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630"/>
        <w:gridCol w:w="630"/>
        <w:gridCol w:w="8280"/>
      </w:tblGrid>
      <w:tr w:rsidR="00D85D4C" w:rsidRPr="00750675" w:rsidTr="00353421">
        <w:tc>
          <w:tcPr>
            <w:tcW w:w="648" w:type="dxa"/>
          </w:tcPr>
          <w:p w:rsidR="00D85D4C" w:rsidRPr="00B05061" w:rsidRDefault="00D85D4C" w:rsidP="00353421">
            <w:pPr>
              <w:pStyle w:val="Footer"/>
              <w:tabs>
                <w:tab w:val="clear" w:pos="4320"/>
                <w:tab w:val="clear" w:pos="8640"/>
              </w:tabs>
              <w:rPr>
                <w:lang w:val="es-ES_tradnl"/>
              </w:rPr>
            </w:pPr>
            <w:bookmarkStart w:id="0" w:name="_GoBack"/>
            <w:bookmarkEnd w:id="0"/>
          </w:p>
        </w:tc>
        <w:tc>
          <w:tcPr>
            <w:tcW w:w="1260" w:type="dxa"/>
            <w:gridSpan w:val="2"/>
          </w:tcPr>
          <w:p w:rsidR="00D85D4C" w:rsidRPr="00B05061" w:rsidRDefault="00D85D4C" w:rsidP="00353421">
            <w:pPr>
              <w:rPr>
                <w:lang w:val="es-ES_tradnl"/>
              </w:rPr>
            </w:pPr>
            <w:r>
              <w:rPr>
                <w:noProof/>
              </w:rPr>
              <w:drawing>
                <wp:inline distT="0" distB="0" distL="0" distR="0">
                  <wp:extent cx="676275" cy="657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c>
          <w:tcPr>
            <w:tcW w:w="8280" w:type="dxa"/>
          </w:tcPr>
          <w:p w:rsidR="00D85D4C" w:rsidRPr="00B05061" w:rsidRDefault="00D85D4C" w:rsidP="00353421">
            <w:pPr>
              <w:rPr>
                <w:lang w:val="es-ES_tradnl"/>
              </w:rPr>
            </w:pPr>
          </w:p>
          <w:p w:rsidR="00D85D4C" w:rsidRPr="00B05061" w:rsidRDefault="00D85D4C" w:rsidP="00353421">
            <w:pPr>
              <w:rPr>
                <w:lang w:val="es-ES_tradnl"/>
              </w:rPr>
            </w:pPr>
          </w:p>
          <w:p w:rsidR="00D85D4C" w:rsidRPr="00B05061" w:rsidRDefault="00D85D4C" w:rsidP="00353421">
            <w:pPr>
              <w:rPr>
                <w:rFonts w:ascii="Univers" w:hAnsi="Univers"/>
                <w:sz w:val="22"/>
                <w:lang w:val="es-ES_tradnl"/>
              </w:rPr>
            </w:pPr>
            <w:r w:rsidRPr="00B05061">
              <w:rPr>
                <w:rFonts w:ascii="Univers" w:hAnsi="Univers"/>
                <w:sz w:val="22"/>
                <w:lang w:val="es-ES_tradnl"/>
              </w:rPr>
              <w:t>ORGANIZACIÓN PANAMERICANA DE LA SALUD</w:t>
            </w:r>
          </w:p>
          <w:p w:rsidR="00D85D4C" w:rsidRPr="00B05061" w:rsidRDefault="00D85D4C" w:rsidP="00353421">
            <w:pPr>
              <w:rPr>
                <w:lang w:val="es-ES_tradnl"/>
              </w:rPr>
            </w:pPr>
            <w:r w:rsidRPr="00B05061">
              <w:rPr>
                <w:rFonts w:ascii="Univers" w:hAnsi="Univers"/>
                <w:sz w:val="22"/>
                <w:lang w:val="es-ES_tradnl"/>
              </w:rPr>
              <w:t>ORGANIZACIÓN MUNDIAL DE LA SALUD</w:t>
            </w:r>
          </w:p>
        </w:tc>
      </w:tr>
      <w:tr w:rsidR="00D85D4C" w:rsidRPr="00750675" w:rsidTr="00353421">
        <w:tc>
          <w:tcPr>
            <w:tcW w:w="1278" w:type="dxa"/>
            <w:gridSpan w:val="2"/>
          </w:tcPr>
          <w:p w:rsidR="00D85D4C" w:rsidRPr="00B05061" w:rsidRDefault="00D85D4C" w:rsidP="00353421">
            <w:pPr>
              <w:rPr>
                <w:lang w:val="es-ES_tradnl"/>
              </w:rPr>
            </w:pPr>
            <w:r>
              <w:rPr>
                <w:noProof/>
              </w:rPr>
              <w:drawing>
                <wp:inline distT="0" distB="0" distL="0" distR="0">
                  <wp:extent cx="752475"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inline>
              </w:drawing>
            </w:r>
          </w:p>
        </w:tc>
        <w:tc>
          <w:tcPr>
            <w:tcW w:w="8910" w:type="dxa"/>
            <w:gridSpan w:val="2"/>
          </w:tcPr>
          <w:p w:rsidR="00D85D4C" w:rsidRPr="00B05061" w:rsidRDefault="00D85D4C" w:rsidP="00353421">
            <w:pPr>
              <w:rPr>
                <w:lang w:val="es-ES_tradnl"/>
              </w:rPr>
            </w:pPr>
          </w:p>
          <w:p w:rsidR="00D85D4C" w:rsidRPr="00B05061" w:rsidRDefault="00D85D4C" w:rsidP="00353421">
            <w:pPr>
              <w:rPr>
                <w:b/>
                <w:sz w:val="36"/>
                <w:lang w:val="es-ES_tradnl"/>
              </w:rPr>
            </w:pPr>
            <w:r>
              <w:rPr>
                <w:b/>
                <w:sz w:val="36"/>
                <w:lang w:val="es-ES_tradnl"/>
              </w:rPr>
              <w:t>28</w:t>
            </w:r>
            <w:r w:rsidRPr="00B05061">
              <w:rPr>
                <w:b/>
                <w:sz w:val="36"/>
                <w:lang w:val="es-ES_tradnl"/>
              </w:rPr>
              <w:t>.</w:t>
            </w:r>
            <w:r w:rsidRPr="00B05061">
              <w:rPr>
                <w:b/>
                <w:sz w:val="36"/>
                <w:vertAlign w:val="superscript"/>
                <w:lang w:val="es-ES_tradnl"/>
              </w:rPr>
              <w:t>a</w:t>
            </w:r>
            <w:r w:rsidRPr="00B05061">
              <w:rPr>
                <w:b/>
                <w:sz w:val="36"/>
                <w:lang w:val="es-ES_tradnl"/>
              </w:rPr>
              <w:t xml:space="preserve"> CONFERENCIA SANITARIA PANAMERICANA</w:t>
            </w:r>
          </w:p>
          <w:p w:rsidR="00D85D4C" w:rsidRPr="005C2D75" w:rsidRDefault="00D85D4C" w:rsidP="00353421">
            <w:pPr>
              <w:rPr>
                <w:sz w:val="24"/>
                <w:szCs w:val="24"/>
                <w:lang w:val="es-ES_tradnl"/>
              </w:rPr>
            </w:pPr>
            <w:r w:rsidRPr="005C2D75">
              <w:rPr>
                <w:b/>
                <w:sz w:val="24"/>
                <w:szCs w:val="24"/>
                <w:lang w:val="es-ES_tradnl"/>
              </w:rPr>
              <w:t>64.</w:t>
            </w:r>
            <w:r w:rsidRPr="005C2D75">
              <w:rPr>
                <w:b/>
                <w:sz w:val="24"/>
                <w:szCs w:val="24"/>
                <w:vertAlign w:val="superscript"/>
                <w:lang w:val="es-ES_tradnl"/>
              </w:rPr>
              <w:t>a</w:t>
            </w:r>
            <w:r w:rsidRPr="005C2D75">
              <w:rPr>
                <w:b/>
                <w:sz w:val="24"/>
                <w:szCs w:val="24"/>
                <w:lang w:val="es-ES_tradnl"/>
              </w:rPr>
              <w:t xml:space="preserve"> SESIÓN DEL COMITÉ REGIONAL</w:t>
            </w:r>
          </w:p>
        </w:tc>
      </w:tr>
    </w:tbl>
    <w:p w:rsidR="00D85D4C" w:rsidRPr="00B05061" w:rsidRDefault="00D85D4C" w:rsidP="00D85D4C">
      <w:pPr>
        <w:jc w:val="right"/>
        <w:rPr>
          <w:i/>
          <w:lang w:val="es-ES_tradnl"/>
        </w:rPr>
      </w:pPr>
    </w:p>
    <w:p w:rsidR="00D85D4C" w:rsidRPr="00D85D4C" w:rsidRDefault="00D85D4C" w:rsidP="00D85D4C">
      <w:pPr>
        <w:jc w:val="right"/>
        <w:rPr>
          <w:sz w:val="24"/>
          <w:lang w:val="es-ES_tradnl"/>
        </w:rPr>
      </w:pPr>
      <w:r w:rsidRPr="00D85D4C">
        <w:rPr>
          <w:i/>
          <w:sz w:val="24"/>
          <w:lang w:val="es-ES_tradnl"/>
        </w:rPr>
        <w:t xml:space="preserve">Washington, D.C., EUA, </w:t>
      </w:r>
      <w:r w:rsidR="00853359">
        <w:rPr>
          <w:i/>
          <w:sz w:val="24"/>
          <w:lang w:val="es-ES_tradnl"/>
        </w:rPr>
        <w:t xml:space="preserve">del </w:t>
      </w:r>
      <w:r w:rsidRPr="00D85D4C">
        <w:rPr>
          <w:i/>
          <w:sz w:val="24"/>
          <w:lang w:val="es-ES_tradnl"/>
        </w:rPr>
        <w:t>17</w:t>
      </w:r>
      <w:r w:rsidR="00853359">
        <w:rPr>
          <w:i/>
          <w:sz w:val="24"/>
          <w:lang w:val="es-ES_tradnl"/>
        </w:rPr>
        <w:t xml:space="preserve"> al </w:t>
      </w:r>
      <w:r w:rsidRPr="00D85D4C">
        <w:rPr>
          <w:i/>
          <w:sz w:val="24"/>
          <w:lang w:val="es-ES_tradnl"/>
        </w:rPr>
        <w:t>21 de septiembre del 2012</w:t>
      </w:r>
    </w:p>
    <w:p w:rsidR="00D85D4C" w:rsidRPr="00D85D4C" w:rsidRDefault="00D85D4C" w:rsidP="00353421">
      <w:pPr>
        <w:pBdr>
          <w:bottom w:val="single" w:sz="18" w:space="1" w:color="auto"/>
        </w:pBdr>
        <w:spacing w:after="480"/>
        <w:jc w:val="both"/>
        <w:rPr>
          <w:sz w:val="24"/>
          <w:szCs w:val="16"/>
          <w:lang w:val="es-ES_tradnl"/>
        </w:rPr>
      </w:pPr>
    </w:p>
    <w:p w:rsidR="00D85D4C" w:rsidRDefault="00D85D4C" w:rsidP="00D85D4C">
      <w:pPr>
        <w:jc w:val="both"/>
        <w:rPr>
          <w:lang w:val="es-ES_tradnl"/>
        </w:rPr>
      </w:pPr>
    </w:p>
    <w:p w:rsidR="00D85D4C" w:rsidRPr="004A1E67" w:rsidRDefault="00D85D4C" w:rsidP="00D85D4C">
      <w:pPr>
        <w:jc w:val="both"/>
        <w:rPr>
          <w:lang w:val="es-ES_tradnl"/>
        </w:rPr>
        <w:sectPr w:rsidR="00D85D4C" w:rsidRPr="004A1E67" w:rsidSect="00D85D4C">
          <w:headerReference w:type="even" r:id="rId10"/>
          <w:headerReference w:type="default" r:id="rId11"/>
          <w:type w:val="continuous"/>
          <w:pgSz w:w="12240" w:h="15840" w:code="1"/>
          <w:pgMar w:top="576" w:right="1152" w:bottom="1440" w:left="1152" w:header="432" w:footer="1008" w:gutter="0"/>
          <w:cols w:space="720"/>
          <w:titlePg/>
        </w:sectPr>
      </w:pPr>
    </w:p>
    <w:p w:rsidR="00D85D4C" w:rsidRPr="00D85D4C" w:rsidRDefault="00D85D4C" w:rsidP="00D85D4C">
      <w:pPr>
        <w:tabs>
          <w:tab w:val="left" w:pos="6192"/>
        </w:tabs>
        <w:rPr>
          <w:sz w:val="24"/>
          <w:szCs w:val="24"/>
          <w:lang w:val="es-ES" w:eastAsia="ja-JP"/>
        </w:rPr>
      </w:pPr>
      <w:r w:rsidRPr="00D85D4C">
        <w:rPr>
          <w:i/>
          <w:sz w:val="24"/>
          <w:szCs w:val="24"/>
          <w:lang w:val="es-ES" w:eastAsia="ja-JP"/>
        </w:rPr>
        <w:lastRenderedPageBreak/>
        <w:t xml:space="preserve">Punto </w:t>
      </w:r>
      <w:r>
        <w:rPr>
          <w:i/>
          <w:sz w:val="24"/>
          <w:szCs w:val="24"/>
          <w:lang w:val="es-ES" w:eastAsia="ja-JP"/>
        </w:rPr>
        <w:t>4.7</w:t>
      </w:r>
      <w:r w:rsidRPr="00D85D4C">
        <w:rPr>
          <w:i/>
          <w:sz w:val="24"/>
          <w:szCs w:val="24"/>
          <w:lang w:val="es-ES" w:eastAsia="ja-JP"/>
        </w:rPr>
        <w:t xml:space="preserve"> del orden del día provisional</w:t>
      </w:r>
      <w:bookmarkStart w:id="1" w:name="PAHOMTS0000011E"/>
      <w:bookmarkEnd w:id="1"/>
      <w:r w:rsidRPr="00D85D4C">
        <w:rPr>
          <w:sz w:val="24"/>
          <w:szCs w:val="24"/>
          <w:lang w:val="es-ES" w:eastAsia="ja-JP"/>
        </w:rPr>
        <w:tab/>
      </w:r>
      <w:bookmarkStart w:id="2" w:name="PAHOMTS0000012B"/>
      <w:bookmarkEnd w:id="2"/>
      <w:r w:rsidRPr="00C0636B">
        <w:rPr>
          <w:sz w:val="24"/>
          <w:szCs w:val="24"/>
          <w:lang w:val="es-ES" w:eastAsia="ja-JP"/>
        </w:rPr>
        <w:t>CSP28/</w:t>
      </w:r>
      <w:r w:rsidR="004B5DE3">
        <w:rPr>
          <w:sz w:val="24"/>
          <w:szCs w:val="24"/>
          <w:lang w:val="es-ES" w:eastAsia="ja-JP"/>
        </w:rPr>
        <w:t>12</w:t>
      </w:r>
      <w:r w:rsidRPr="00D85D4C">
        <w:rPr>
          <w:sz w:val="24"/>
          <w:szCs w:val="24"/>
          <w:lang w:val="es-ES" w:eastAsia="ja-JP"/>
        </w:rPr>
        <w:t xml:space="preserve"> (Esp.)</w:t>
      </w:r>
      <w:bookmarkStart w:id="3" w:name="PAHOMTS0000012E"/>
      <w:bookmarkEnd w:id="3"/>
    </w:p>
    <w:p w:rsidR="00D85D4C" w:rsidRPr="00D85D4C" w:rsidRDefault="00D85D4C" w:rsidP="00D85D4C">
      <w:pPr>
        <w:tabs>
          <w:tab w:val="left" w:pos="6192"/>
        </w:tabs>
        <w:rPr>
          <w:sz w:val="24"/>
          <w:szCs w:val="24"/>
          <w:lang w:val="es-ES" w:eastAsia="ja-JP"/>
        </w:rPr>
      </w:pPr>
      <w:r w:rsidRPr="00D85D4C">
        <w:rPr>
          <w:sz w:val="24"/>
          <w:szCs w:val="24"/>
          <w:lang w:val="es-ES" w:eastAsia="ja-JP"/>
        </w:rPr>
        <w:tab/>
      </w:r>
      <w:bookmarkStart w:id="4" w:name="PAHOMTS0000013B"/>
      <w:bookmarkStart w:id="5" w:name="PAHOMTS0000013E"/>
      <w:bookmarkEnd w:id="4"/>
      <w:bookmarkEnd w:id="5"/>
      <w:r w:rsidR="00C0636B">
        <w:rPr>
          <w:sz w:val="24"/>
          <w:szCs w:val="24"/>
          <w:lang w:val="es-ES" w:eastAsia="ja-JP"/>
        </w:rPr>
        <w:t>13</w:t>
      </w:r>
      <w:r>
        <w:rPr>
          <w:sz w:val="24"/>
          <w:szCs w:val="24"/>
          <w:lang w:val="es-ES" w:eastAsia="ja-JP"/>
        </w:rPr>
        <w:t xml:space="preserve"> de </w:t>
      </w:r>
      <w:r w:rsidR="00C0636B">
        <w:rPr>
          <w:sz w:val="24"/>
          <w:szCs w:val="24"/>
          <w:lang w:val="es-ES" w:eastAsia="ja-JP"/>
        </w:rPr>
        <w:t>julio</w:t>
      </w:r>
      <w:r>
        <w:rPr>
          <w:sz w:val="24"/>
          <w:szCs w:val="24"/>
          <w:lang w:val="es-ES" w:eastAsia="ja-JP"/>
        </w:rPr>
        <w:t xml:space="preserve"> del 2012</w:t>
      </w:r>
    </w:p>
    <w:p w:rsidR="00D85D4C" w:rsidRPr="00D85D4C" w:rsidRDefault="00D85D4C" w:rsidP="00D85D4C">
      <w:pPr>
        <w:tabs>
          <w:tab w:val="left" w:pos="6192"/>
        </w:tabs>
        <w:rPr>
          <w:sz w:val="24"/>
          <w:szCs w:val="24"/>
          <w:lang w:val="es-ES" w:eastAsia="ja-JP"/>
        </w:rPr>
      </w:pPr>
      <w:r w:rsidRPr="00D85D4C">
        <w:rPr>
          <w:sz w:val="24"/>
          <w:szCs w:val="24"/>
          <w:lang w:val="es-ES" w:eastAsia="ja-JP"/>
        </w:rPr>
        <w:tab/>
      </w:r>
      <w:bookmarkStart w:id="6" w:name="PAHOMTS0000014B"/>
      <w:bookmarkEnd w:id="6"/>
      <w:r w:rsidRPr="00D85D4C">
        <w:rPr>
          <w:sz w:val="24"/>
          <w:szCs w:val="24"/>
          <w:lang w:val="es-ES" w:eastAsia="ja-JP"/>
        </w:rPr>
        <w:t>ORIGINAL:</w:t>
      </w:r>
      <w:bookmarkStart w:id="7" w:name="PAHOMTS0000014E"/>
      <w:bookmarkEnd w:id="7"/>
      <w:r w:rsidRPr="00D85D4C">
        <w:rPr>
          <w:sz w:val="24"/>
          <w:szCs w:val="24"/>
          <w:lang w:val="es-ES" w:eastAsia="ja-JP"/>
        </w:rPr>
        <w:t xml:space="preserve"> </w:t>
      </w:r>
      <w:bookmarkStart w:id="8" w:name="PAHOMTS0000015B"/>
      <w:bookmarkStart w:id="9" w:name="PAHOMTS0000015E"/>
      <w:bookmarkEnd w:id="8"/>
      <w:bookmarkEnd w:id="9"/>
      <w:r w:rsidR="00C0636B">
        <w:rPr>
          <w:sz w:val="24"/>
          <w:szCs w:val="24"/>
          <w:lang w:val="es-ES" w:eastAsia="ja-JP"/>
        </w:rPr>
        <w:t>ESPAÑOL</w:t>
      </w:r>
    </w:p>
    <w:p w:rsidR="00380790" w:rsidRPr="00D85D4C" w:rsidRDefault="00380790">
      <w:pPr>
        <w:jc w:val="both"/>
        <w:rPr>
          <w:sz w:val="24"/>
          <w:szCs w:val="22"/>
          <w:lang w:val="es-ES"/>
        </w:rPr>
      </w:pPr>
    </w:p>
    <w:p w:rsidR="00380790" w:rsidRDefault="00380790">
      <w:pPr>
        <w:rPr>
          <w:sz w:val="24"/>
          <w:szCs w:val="24"/>
          <w:lang w:val="es-ES"/>
        </w:rPr>
      </w:pPr>
    </w:p>
    <w:p w:rsidR="00380790" w:rsidRDefault="00380790">
      <w:pPr>
        <w:jc w:val="center"/>
        <w:outlineLvl w:val="0"/>
        <w:rPr>
          <w:b/>
          <w:bCs/>
          <w:caps/>
          <w:kern w:val="36"/>
          <w:sz w:val="24"/>
          <w:szCs w:val="24"/>
          <w:lang w:val="es-ES" w:eastAsia="es-US"/>
        </w:rPr>
      </w:pPr>
      <w:r>
        <w:rPr>
          <w:b/>
          <w:bCs/>
          <w:caps/>
          <w:kern w:val="36"/>
          <w:sz w:val="24"/>
          <w:szCs w:val="24"/>
          <w:lang w:val="es-ES" w:eastAsia="es-US"/>
        </w:rPr>
        <w:t xml:space="preserve">Estrategia y Plan de acción sobre gestión </w:t>
      </w:r>
    </w:p>
    <w:p w:rsidR="00380790" w:rsidRDefault="00380790">
      <w:pPr>
        <w:jc w:val="center"/>
        <w:outlineLvl w:val="0"/>
        <w:rPr>
          <w:b/>
          <w:bCs/>
          <w:caps/>
          <w:kern w:val="36"/>
          <w:sz w:val="24"/>
          <w:szCs w:val="24"/>
          <w:lang w:val="es-ES" w:eastAsia="es-US"/>
        </w:rPr>
      </w:pPr>
      <w:r>
        <w:rPr>
          <w:b/>
          <w:bCs/>
          <w:caps/>
          <w:kern w:val="36"/>
          <w:sz w:val="24"/>
          <w:szCs w:val="24"/>
          <w:lang w:val="es-ES" w:eastAsia="es-US"/>
        </w:rPr>
        <w:t>del conocimiento y comunicaciones</w:t>
      </w:r>
    </w:p>
    <w:p w:rsidR="00380790" w:rsidRPr="00C0636B" w:rsidRDefault="00380790">
      <w:pPr>
        <w:jc w:val="both"/>
        <w:outlineLvl w:val="0"/>
        <w:rPr>
          <w:bCs/>
          <w:kern w:val="36"/>
          <w:sz w:val="24"/>
          <w:szCs w:val="24"/>
          <w:lang w:val="es-ES" w:eastAsia="es-US"/>
        </w:rPr>
      </w:pPr>
    </w:p>
    <w:p w:rsidR="00380790" w:rsidRPr="00C0636B" w:rsidRDefault="00380790">
      <w:pPr>
        <w:jc w:val="both"/>
        <w:outlineLvl w:val="0"/>
        <w:rPr>
          <w:bCs/>
          <w:kern w:val="36"/>
          <w:sz w:val="24"/>
          <w:szCs w:val="24"/>
          <w:lang w:val="es-ES" w:eastAsia="es-US"/>
        </w:rPr>
      </w:pPr>
    </w:p>
    <w:p w:rsidR="00380790" w:rsidRDefault="00380790">
      <w:pPr>
        <w:jc w:val="both"/>
        <w:outlineLvl w:val="0"/>
        <w:rPr>
          <w:b/>
          <w:bCs/>
          <w:kern w:val="36"/>
          <w:sz w:val="24"/>
          <w:szCs w:val="24"/>
          <w:lang w:val="es-ES" w:eastAsia="es-US"/>
        </w:rPr>
      </w:pPr>
      <w:r>
        <w:rPr>
          <w:b/>
          <w:bCs/>
          <w:kern w:val="36"/>
          <w:sz w:val="24"/>
          <w:szCs w:val="24"/>
          <w:lang w:val="es-ES" w:eastAsia="es-US"/>
        </w:rPr>
        <w:t xml:space="preserve">Introducción </w:t>
      </w:r>
    </w:p>
    <w:p w:rsidR="00380790" w:rsidRPr="00C0636B" w:rsidRDefault="00380790">
      <w:pPr>
        <w:jc w:val="both"/>
        <w:outlineLvl w:val="0"/>
        <w:rPr>
          <w:bCs/>
          <w:kern w:val="36"/>
          <w:sz w:val="24"/>
          <w:szCs w:val="24"/>
          <w:lang w:val="es-ES" w:eastAsia="es-US"/>
        </w:rPr>
      </w:pPr>
    </w:p>
    <w:p w:rsidR="00380790" w:rsidRDefault="00750675">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hyperlink r:id="rId12" w:history="1">
        <w:r w:rsidR="00380790">
          <w:rPr>
            <w:rFonts w:ascii="Times New Roman" w:hAnsi="Times New Roman"/>
            <w:color w:val="0000FF"/>
            <w:sz w:val="24"/>
            <w:szCs w:val="24"/>
            <w:u w:val="single"/>
            <w:lang w:val="es-ES" w:eastAsia="es-US"/>
          </w:rPr>
          <w:t>Desde la Declaración de Alma-Ata (1978)</w:t>
        </w:r>
      </w:hyperlink>
      <w:r w:rsidR="00380790">
        <w:t xml:space="preserve"> </w:t>
      </w:r>
      <w:r w:rsidR="00380790">
        <w:rPr>
          <w:rFonts w:ascii="Times New Roman" w:hAnsi="Times New Roman"/>
          <w:sz w:val="24"/>
          <w:szCs w:val="24"/>
          <w:lang w:val="es-ES" w:eastAsia="es-US"/>
        </w:rPr>
        <w:t>(</w:t>
      </w:r>
      <w:r w:rsidR="00380790">
        <w:rPr>
          <w:rFonts w:ascii="Times New Roman" w:hAnsi="Times New Roman"/>
          <w:i/>
          <w:sz w:val="24"/>
          <w:szCs w:val="24"/>
          <w:lang w:val="es-ES" w:eastAsia="es-US"/>
        </w:rPr>
        <w:t>1</w:t>
      </w:r>
      <w:r w:rsidR="00380790">
        <w:rPr>
          <w:rFonts w:ascii="Times New Roman" w:hAnsi="Times New Roman"/>
          <w:sz w:val="24"/>
          <w:szCs w:val="24"/>
          <w:lang w:val="es-ES" w:eastAsia="es-US"/>
        </w:rPr>
        <w:t xml:space="preserve">) hasta la </w:t>
      </w:r>
      <w:hyperlink r:id="rId13" w:history="1">
        <w:r w:rsidR="00380790">
          <w:rPr>
            <w:rFonts w:ascii="Times New Roman" w:hAnsi="Times New Roman"/>
            <w:color w:val="0000FF"/>
            <w:sz w:val="24"/>
            <w:szCs w:val="24"/>
            <w:u w:val="single"/>
            <w:lang w:val="es-ES" w:eastAsia="es-US"/>
          </w:rPr>
          <w:t>Declaración del Milenio</w:t>
        </w:r>
      </w:hyperlink>
      <w:r w:rsidR="00380790">
        <w:rPr>
          <w:rFonts w:ascii="Times New Roman" w:hAnsi="Times New Roman"/>
          <w:color w:val="0000FF"/>
          <w:sz w:val="24"/>
          <w:szCs w:val="24"/>
          <w:u w:val="single"/>
          <w:lang w:val="es-ES" w:eastAsia="es-US"/>
        </w:rPr>
        <w:t xml:space="preserve"> </w:t>
      </w:r>
      <w:r w:rsidR="00380790">
        <w:rPr>
          <w:rFonts w:ascii="Times New Roman" w:hAnsi="Times New Roman"/>
          <w:sz w:val="24"/>
          <w:szCs w:val="24"/>
          <w:lang w:val="es-ES" w:eastAsia="es-US"/>
        </w:rPr>
        <w:t>(</w:t>
      </w:r>
      <w:r w:rsidR="00380790">
        <w:rPr>
          <w:rFonts w:ascii="Times New Roman" w:hAnsi="Times New Roman"/>
          <w:i/>
          <w:sz w:val="24"/>
          <w:szCs w:val="24"/>
          <w:lang w:val="es-ES" w:eastAsia="es-US"/>
        </w:rPr>
        <w:t>2</w:t>
      </w:r>
      <w:r w:rsidR="00380790">
        <w:rPr>
          <w:rFonts w:ascii="Times New Roman" w:hAnsi="Times New Roman"/>
          <w:sz w:val="24"/>
          <w:szCs w:val="24"/>
          <w:lang w:val="es-ES" w:eastAsia="es-US"/>
        </w:rPr>
        <w:t xml:space="preserve">), el tema del acceso a la información confiable y el intercambio de conocimientos sobre salud, mediante un buen uso de las tecnologías de la información y comunicaciones, se ha considerado esencial para el desarrollo de la salud en la Región. </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 xml:space="preserve">En la </w:t>
      </w:r>
      <w:hyperlink r:id="rId14" w:history="1">
        <w:r>
          <w:rPr>
            <w:rFonts w:ascii="Times New Roman" w:hAnsi="Times New Roman"/>
            <w:color w:val="0000FF"/>
            <w:sz w:val="24"/>
            <w:szCs w:val="24"/>
            <w:u w:val="single"/>
            <w:lang w:val="es-ES" w:eastAsia="es-US"/>
          </w:rPr>
          <w:t>Constitución de la Organización Mundial de la Salud</w:t>
        </w:r>
        <w:r w:rsidRPr="00F6110C">
          <w:rPr>
            <w:rFonts w:ascii="Times New Roman" w:hAnsi="Times New Roman"/>
            <w:color w:val="auto"/>
            <w:sz w:val="24"/>
            <w:szCs w:val="24"/>
            <w:lang w:val="es-ES" w:eastAsia="es-US"/>
          </w:rPr>
          <w:t xml:space="preserve"> (OMS</w:t>
        </w:r>
      </w:hyperlink>
      <w:r w:rsidRPr="00F6110C">
        <w:rPr>
          <w:rFonts w:ascii="Times New Roman" w:hAnsi="Times New Roman"/>
          <w:color w:val="auto"/>
          <w:sz w:val="24"/>
          <w:szCs w:val="24"/>
          <w:lang w:val="es-ES" w:eastAsia="es-US"/>
        </w:rPr>
        <w:t>)</w:t>
      </w:r>
      <w:r w:rsidRPr="00F6110C">
        <w:rPr>
          <w:rFonts w:ascii="Times New Roman" w:hAnsi="Times New Roman"/>
          <w:color w:val="0000FF"/>
          <w:sz w:val="24"/>
          <w:szCs w:val="24"/>
          <w:lang w:val="es-ES" w:eastAsia="es-US"/>
        </w:rPr>
        <w:t xml:space="preserve"> </w:t>
      </w:r>
      <w:r w:rsidRPr="00F6110C">
        <w:rPr>
          <w:rFonts w:ascii="Times New Roman" w:hAnsi="Times New Roman"/>
          <w:sz w:val="24"/>
          <w:szCs w:val="24"/>
          <w:lang w:val="es-ES" w:eastAsia="es-US"/>
        </w:rPr>
        <w:t>(</w:t>
      </w:r>
      <w:r>
        <w:rPr>
          <w:rFonts w:ascii="Times New Roman" w:hAnsi="Times New Roman"/>
          <w:i/>
          <w:sz w:val="24"/>
          <w:szCs w:val="24"/>
          <w:lang w:val="es-ES" w:eastAsia="es-US"/>
        </w:rPr>
        <w:t>3</w:t>
      </w:r>
      <w:r>
        <w:rPr>
          <w:rFonts w:ascii="Times New Roman" w:hAnsi="Times New Roman"/>
          <w:sz w:val="24"/>
          <w:szCs w:val="24"/>
          <w:lang w:val="es-ES" w:eastAsia="es-US"/>
        </w:rPr>
        <w:t xml:space="preserve">) se afirma que “La extensión a todos los pueblos de los beneficios de los conocimientos médicos, psicológicos y afines es esencial para alcanzar el más alto grado de salud”. En el </w:t>
      </w:r>
      <w:hyperlink r:id="rId15" w:history="1">
        <w:r>
          <w:rPr>
            <w:rFonts w:ascii="Times New Roman" w:hAnsi="Times New Roman"/>
            <w:color w:val="0000FF"/>
            <w:sz w:val="24"/>
            <w:szCs w:val="24"/>
            <w:u w:val="single"/>
            <w:lang w:val="es-ES" w:eastAsia="es-US"/>
          </w:rPr>
          <w:t>Undécimo Programa General de Trabajo 2006-2015</w:t>
        </w:r>
      </w:hyperlink>
      <w:r>
        <w:t xml:space="preserve"> </w:t>
      </w:r>
      <w:r>
        <w:rPr>
          <w:rFonts w:ascii="Times New Roman" w:hAnsi="Times New Roman"/>
          <w:sz w:val="24"/>
          <w:szCs w:val="24"/>
          <w:lang w:val="es-ES" w:eastAsia="es-US"/>
        </w:rPr>
        <w:t>(</w:t>
      </w:r>
      <w:r>
        <w:rPr>
          <w:rFonts w:ascii="Times New Roman" w:hAnsi="Times New Roman"/>
          <w:i/>
          <w:sz w:val="24"/>
          <w:szCs w:val="24"/>
          <w:lang w:val="es-ES" w:eastAsia="es-US"/>
        </w:rPr>
        <w:t>4</w:t>
      </w:r>
      <w:r>
        <w:rPr>
          <w:rFonts w:ascii="Times New Roman" w:hAnsi="Times New Roman"/>
          <w:sz w:val="24"/>
          <w:szCs w:val="24"/>
          <w:lang w:val="es-ES" w:eastAsia="es-US"/>
        </w:rPr>
        <w:t>) se reconoce el déficit de conocimientos como un problema estratégico fundamental e incluye como función básica de la OMS “…determinar las líneas de investigación y estimular la producción de conocimientos valiosos, así como la traducción y divulgación del correspondiente material informativo”.</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La OMS utiliza el término gestión del conocimiento para describir cómo la Secretaría utiliza la tecnología para permitir a las personas crear, captar, almacenar, recuperar, utilizar y compartir conocimientos (</w:t>
      </w:r>
      <w:r w:rsidRPr="00C227A0">
        <w:rPr>
          <w:rFonts w:ascii="Times New Roman" w:hAnsi="Times New Roman"/>
          <w:i/>
          <w:color w:val="000000" w:themeColor="text1"/>
          <w:sz w:val="24"/>
          <w:szCs w:val="24"/>
          <w:lang w:val="es-ES" w:eastAsia="es-US"/>
        </w:rPr>
        <w:t>5</w:t>
      </w:r>
      <w:r>
        <w:rPr>
          <w:rFonts w:ascii="Times New Roman" w:hAnsi="Times New Roman"/>
          <w:sz w:val="24"/>
          <w:szCs w:val="24"/>
          <w:lang w:val="es-ES" w:eastAsia="es-US"/>
        </w:rPr>
        <w:t>).</w:t>
      </w:r>
    </w:p>
    <w:p w:rsidR="00540C79" w:rsidRPr="00540C79" w:rsidRDefault="00380790" w:rsidP="00540C79">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rPr>
      </w:pPr>
      <w:r w:rsidRPr="00540C79">
        <w:rPr>
          <w:rFonts w:ascii="Times New Roman" w:hAnsi="Times New Roman"/>
          <w:sz w:val="24"/>
          <w:szCs w:val="24"/>
          <w:lang w:val="es-ES"/>
        </w:rPr>
        <w:t xml:space="preserve">Para la OPS, </w:t>
      </w:r>
      <w:r w:rsidR="00943B8E">
        <w:rPr>
          <w:rFonts w:ascii="Times New Roman" w:hAnsi="Times New Roman"/>
          <w:sz w:val="24"/>
          <w:szCs w:val="24"/>
          <w:lang w:val="es-ES"/>
        </w:rPr>
        <w:t xml:space="preserve">la </w:t>
      </w:r>
      <w:r w:rsidR="00DE7E73">
        <w:rPr>
          <w:rFonts w:ascii="Times New Roman" w:hAnsi="Times New Roman"/>
          <w:sz w:val="24"/>
          <w:szCs w:val="24"/>
          <w:lang w:val="es-ES"/>
        </w:rPr>
        <w:t>gestión del conocimiento y las comunicaciones</w:t>
      </w:r>
      <w:r w:rsidRPr="00540C79">
        <w:rPr>
          <w:rFonts w:ascii="Times New Roman" w:hAnsi="Times New Roman"/>
          <w:sz w:val="24"/>
          <w:szCs w:val="24"/>
          <w:lang w:val="es-ES"/>
        </w:rPr>
        <w:t xml:space="preserve"> son herramientas </w:t>
      </w:r>
      <w:r w:rsidR="00DE7E73">
        <w:rPr>
          <w:rFonts w:ascii="Times New Roman" w:hAnsi="Times New Roman"/>
          <w:sz w:val="24"/>
          <w:szCs w:val="24"/>
          <w:lang w:val="es-ES"/>
        </w:rPr>
        <w:t xml:space="preserve">y metodologías importantes </w:t>
      </w:r>
      <w:r w:rsidRPr="00540C79">
        <w:rPr>
          <w:rFonts w:ascii="Times New Roman" w:hAnsi="Times New Roman"/>
          <w:sz w:val="24"/>
          <w:szCs w:val="24"/>
          <w:lang w:val="es-ES"/>
        </w:rPr>
        <w:t>para</w:t>
      </w:r>
      <w:r w:rsidR="00853359">
        <w:rPr>
          <w:rFonts w:ascii="Times New Roman" w:hAnsi="Times New Roman"/>
          <w:sz w:val="24"/>
          <w:szCs w:val="24"/>
          <w:lang w:val="es-ES"/>
        </w:rPr>
        <w:t xml:space="preserve"> la</w:t>
      </w:r>
      <w:r w:rsidRPr="00540C79">
        <w:rPr>
          <w:rFonts w:ascii="Times New Roman" w:hAnsi="Times New Roman"/>
          <w:sz w:val="24"/>
          <w:szCs w:val="24"/>
          <w:lang w:val="es-ES"/>
        </w:rPr>
        <w:t xml:space="preserve"> </w:t>
      </w:r>
      <w:r w:rsidR="00DE7E73">
        <w:rPr>
          <w:rFonts w:ascii="Times New Roman" w:hAnsi="Times New Roman"/>
          <w:sz w:val="24"/>
          <w:szCs w:val="24"/>
          <w:lang w:val="es-ES"/>
        </w:rPr>
        <w:t>toma</w:t>
      </w:r>
      <w:r w:rsidR="00853359">
        <w:rPr>
          <w:rFonts w:ascii="Times New Roman" w:hAnsi="Times New Roman"/>
          <w:sz w:val="24"/>
          <w:szCs w:val="24"/>
          <w:lang w:val="es-ES"/>
        </w:rPr>
        <w:t xml:space="preserve"> de</w:t>
      </w:r>
      <w:r w:rsidR="00DE7E73">
        <w:rPr>
          <w:rFonts w:ascii="Times New Roman" w:hAnsi="Times New Roman"/>
          <w:sz w:val="24"/>
          <w:szCs w:val="24"/>
          <w:lang w:val="es-ES"/>
        </w:rPr>
        <w:t xml:space="preserve"> decisiones </w:t>
      </w:r>
      <w:r w:rsidR="00853359">
        <w:rPr>
          <w:rFonts w:ascii="Times New Roman" w:hAnsi="Times New Roman"/>
          <w:sz w:val="24"/>
          <w:szCs w:val="24"/>
          <w:lang w:val="es-ES"/>
        </w:rPr>
        <w:t>fundamentadas</w:t>
      </w:r>
      <w:r w:rsidR="00DE7E73">
        <w:rPr>
          <w:rFonts w:ascii="Times New Roman" w:hAnsi="Times New Roman"/>
          <w:sz w:val="24"/>
          <w:szCs w:val="24"/>
          <w:lang w:val="es-ES"/>
        </w:rPr>
        <w:t xml:space="preserve">, así como para </w:t>
      </w:r>
      <w:r w:rsidRPr="00540C79">
        <w:rPr>
          <w:rFonts w:ascii="Times New Roman" w:hAnsi="Times New Roman"/>
          <w:sz w:val="24"/>
          <w:szCs w:val="24"/>
          <w:lang w:val="es-ES"/>
        </w:rPr>
        <w:t xml:space="preserve">promover cambios (individuales, sociales y políticos) que conducen al logro y </w:t>
      </w:r>
      <w:r w:rsidR="00DE7E73">
        <w:rPr>
          <w:rFonts w:ascii="Times New Roman" w:hAnsi="Times New Roman"/>
          <w:sz w:val="24"/>
          <w:szCs w:val="24"/>
          <w:lang w:val="es-ES"/>
        </w:rPr>
        <w:t>a</w:t>
      </w:r>
      <w:r w:rsidRPr="00540C79">
        <w:rPr>
          <w:rFonts w:ascii="Times New Roman" w:hAnsi="Times New Roman"/>
          <w:sz w:val="24"/>
          <w:szCs w:val="24"/>
          <w:lang w:val="es-ES"/>
        </w:rPr>
        <w:t>l mantenimiento de la salud. Este es un proceso dinámico caracterizado por las diferentes variables de acceso a la información, producción de conocimiento, difusión y capacitación.</w:t>
      </w:r>
      <w:r w:rsidR="00540C79" w:rsidRPr="00540C79">
        <w:rPr>
          <w:rFonts w:ascii="Times New Roman" w:hAnsi="Times New Roman"/>
          <w:sz w:val="24"/>
          <w:szCs w:val="24"/>
          <w:lang w:val="es-ES"/>
        </w:rPr>
        <w:t xml:space="preserve"> En el caso de la</w:t>
      </w:r>
      <w:r w:rsidR="00DE7E73">
        <w:rPr>
          <w:rFonts w:ascii="Times New Roman" w:hAnsi="Times New Roman"/>
          <w:sz w:val="24"/>
          <w:szCs w:val="24"/>
          <w:lang w:val="es-ES"/>
        </w:rPr>
        <w:t>s</w:t>
      </w:r>
      <w:r w:rsidR="00540C79" w:rsidRPr="00540C79">
        <w:rPr>
          <w:rFonts w:ascii="Times New Roman" w:hAnsi="Times New Roman"/>
          <w:sz w:val="24"/>
          <w:szCs w:val="24"/>
          <w:lang w:val="es-ES"/>
        </w:rPr>
        <w:t xml:space="preserve"> comunicaci</w:t>
      </w:r>
      <w:r w:rsidR="00DE7E73">
        <w:rPr>
          <w:rFonts w:ascii="Times New Roman" w:hAnsi="Times New Roman"/>
          <w:sz w:val="24"/>
          <w:szCs w:val="24"/>
          <w:lang w:val="es-ES"/>
        </w:rPr>
        <w:t>ones</w:t>
      </w:r>
      <w:r w:rsidR="00540C79" w:rsidRPr="00540C79">
        <w:rPr>
          <w:rFonts w:ascii="Times New Roman" w:hAnsi="Times New Roman"/>
          <w:sz w:val="24"/>
          <w:szCs w:val="24"/>
          <w:lang w:val="es-ES"/>
        </w:rPr>
        <w:t xml:space="preserve"> </w:t>
      </w:r>
      <w:r w:rsidR="00943B8E">
        <w:rPr>
          <w:rFonts w:ascii="Times New Roman" w:hAnsi="Times New Roman"/>
          <w:sz w:val="24"/>
          <w:szCs w:val="24"/>
          <w:lang w:val="es-ES"/>
        </w:rPr>
        <w:t>en el ámbito de</w:t>
      </w:r>
      <w:r w:rsidR="00540C79" w:rsidRPr="00540C79">
        <w:rPr>
          <w:rFonts w:ascii="Times New Roman" w:hAnsi="Times New Roman"/>
          <w:sz w:val="24"/>
          <w:szCs w:val="24"/>
          <w:lang w:val="es-ES"/>
        </w:rPr>
        <w:t xml:space="preserve"> la salud, </w:t>
      </w:r>
      <w:r w:rsidR="00943B8E">
        <w:rPr>
          <w:rFonts w:ascii="Times New Roman" w:hAnsi="Times New Roman"/>
          <w:sz w:val="24"/>
          <w:szCs w:val="24"/>
          <w:lang w:val="es-ES"/>
        </w:rPr>
        <w:t xml:space="preserve">destacan </w:t>
      </w:r>
      <w:r w:rsidR="00540C79">
        <w:rPr>
          <w:rFonts w:ascii="Times New Roman" w:hAnsi="Times New Roman"/>
          <w:sz w:val="24"/>
          <w:szCs w:val="24"/>
          <w:lang w:val="es-ES"/>
        </w:rPr>
        <w:t xml:space="preserve">los </w:t>
      </w:r>
      <w:r w:rsidR="00943B8E">
        <w:rPr>
          <w:rFonts w:ascii="Times New Roman" w:hAnsi="Times New Roman"/>
          <w:sz w:val="24"/>
          <w:szCs w:val="24"/>
          <w:lang w:val="es-ES"/>
        </w:rPr>
        <w:t xml:space="preserve">siguientes </w:t>
      </w:r>
      <w:r w:rsidR="00540C79">
        <w:rPr>
          <w:rFonts w:ascii="Times New Roman" w:hAnsi="Times New Roman"/>
          <w:sz w:val="24"/>
          <w:szCs w:val="24"/>
          <w:lang w:val="es-ES"/>
        </w:rPr>
        <w:t xml:space="preserve">enfoques: comunicación para el desarrollo; comunicación para la salud; comunicación para el cambio de comportamientos; comunicación de riesgos; </w:t>
      </w:r>
      <w:r w:rsidR="00540C79">
        <w:rPr>
          <w:rFonts w:ascii="Times New Roman" w:hAnsi="Times New Roman"/>
          <w:sz w:val="24"/>
          <w:szCs w:val="24"/>
          <w:lang w:val="es-ES"/>
        </w:rPr>
        <w:lastRenderedPageBreak/>
        <w:t xml:space="preserve">comunicación institucional; comunicación externa; </w:t>
      </w:r>
      <w:r w:rsidR="00943B8E">
        <w:rPr>
          <w:rFonts w:ascii="Times New Roman" w:hAnsi="Times New Roman"/>
          <w:sz w:val="24"/>
          <w:szCs w:val="24"/>
          <w:lang w:val="es-ES"/>
        </w:rPr>
        <w:t>promoción de la causa de</w:t>
      </w:r>
      <w:r w:rsidR="00540C79">
        <w:rPr>
          <w:rFonts w:ascii="Times New Roman" w:hAnsi="Times New Roman"/>
          <w:sz w:val="24"/>
          <w:szCs w:val="24"/>
          <w:lang w:val="es-ES"/>
        </w:rPr>
        <w:t xml:space="preserve"> la salud; movilización social y </w:t>
      </w:r>
      <w:r w:rsidR="00DE7E73">
        <w:rPr>
          <w:rFonts w:ascii="Times New Roman" w:hAnsi="Times New Roman"/>
          <w:sz w:val="24"/>
          <w:szCs w:val="24"/>
          <w:lang w:val="es-ES"/>
        </w:rPr>
        <w:t>comunicación científica</w:t>
      </w:r>
      <w:r w:rsidR="00540C79">
        <w:rPr>
          <w:rFonts w:ascii="Times New Roman" w:hAnsi="Times New Roman"/>
          <w:sz w:val="24"/>
          <w:szCs w:val="24"/>
          <w:lang w:val="es-ES"/>
        </w:rPr>
        <w:t>.</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 xml:space="preserve">Con esta estrategia y plan de acción se busca guiar a los Estados Miembros en la adopción de normas, políticas y procedimientos en materia de gestión del conocimiento y comunicaciones, al asegurar la convergencia de proyectos, iniciativas, productos y servicios de la Región en estos temas en beneficio de la salud. </w:t>
      </w:r>
    </w:p>
    <w:p w:rsidR="00380790" w:rsidRPr="009B4D2C" w:rsidRDefault="00380790" w:rsidP="009B4D2C">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sidRPr="009B4D2C">
        <w:rPr>
          <w:rFonts w:ascii="Times New Roman" w:hAnsi="Times New Roman"/>
          <w:sz w:val="24"/>
          <w:szCs w:val="24"/>
          <w:lang w:val="es-ES" w:eastAsia="es-US"/>
        </w:rPr>
        <w:t xml:space="preserve">Esta estrategia se fundamenta en algunas resoluciones, documentos oficiales y recomendaciones de diversas fuentes: la </w:t>
      </w:r>
      <w:hyperlink r:id="rId16" w:history="1">
        <w:r w:rsidRPr="009B4D2C">
          <w:rPr>
            <w:rFonts w:ascii="Times New Roman" w:hAnsi="Times New Roman"/>
            <w:sz w:val="24"/>
            <w:szCs w:val="24"/>
          </w:rPr>
          <w:t>resolución A/RES/51/172 sobre la comunicación para los programas de desarrollo en el sistema de las Naciones Unidas (1996)</w:t>
        </w:r>
      </w:hyperlink>
      <w:r w:rsidR="00CA4A85" w:rsidRPr="009B4D2C">
        <w:rPr>
          <w:rFonts w:ascii="Times New Roman" w:hAnsi="Times New Roman"/>
          <w:sz w:val="24"/>
          <w:szCs w:val="24"/>
        </w:rPr>
        <w:t xml:space="preserve"> </w:t>
      </w:r>
      <w:r w:rsidRPr="009B4D2C">
        <w:rPr>
          <w:rFonts w:ascii="Times New Roman" w:hAnsi="Times New Roman"/>
          <w:sz w:val="24"/>
          <w:szCs w:val="24"/>
          <w:lang w:val="es-ES" w:eastAsia="es-US"/>
        </w:rPr>
        <w:t>(</w:t>
      </w:r>
      <w:r w:rsidRPr="009B4D2C">
        <w:rPr>
          <w:rFonts w:ascii="Times New Roman" w:hAnsi="Times New Roman"/>
          <w:i/>
          <w:sz w:val="24"/>
          <w:szCs w:val="24"/>
          <w:lang w:val="es-ES" w:eastAsia="es-US"/>
        </w:rPr>
        <w:t>5</w:t>
      </w:r>
      <w:r w:rsidRPr="009B4D2C">
        <w:rPr>
          <w:rFonts w:ascii="Times New Roman" w:hAnsi="Times New Roman"/>
          <w:sz w:val="24"/>
          <w:szCs w:val="24"/>
          <w:lang w:val="es-ES" w:eastAsia="es-US"/>
        </w:rPr>
        <w:t xml:space="preserve">); la </w:t>
      </w:r>
      <w:proofErr w:type="spellStart"/>
      <w:r w:rsidRPr="009B4D2C">
        <w:rPr>
          <w:rFonts w:ascii="Times New Roman" w:hAnsi="Times New Roman"/>
          <w:i/>
          <w:sz w:val="24"/>
          <w:szCs w:val="24"/>
          <w:lang w:val="es-ES" w:eastAsia="es-US"/>
        </w:rPr>
        <w:t>Knowledge</w:t>
      </w:r>
      <w:proofErr w:type="spellEnd"/>
      <w:r w:rsidRPr="009B4D2C">
        <w:rPr>
          <w:rFonts w:ascii="Times New Roman" w:hAnsi="Times New Roman"/>
          <w:i/>
          <w:sz w:val="24"/>
          <w:szCs w:val="24"/>
          <w:lang w:val="es-ES" w:eastAsia="es-US"/>
        </w:rPr>
        <w:t xml:space="preserve"> Management </w:t>
      </w:r>
      <w:proofErr w:type="spellStart"/>
      <w:r w:rsidRPr="009B4D2C">
        <w:rPr>
          <w:rFonts w:ascii="Times New Roman" w:hAnsi="Times New Roman"/>
          <w:i/>
          <w:sz w:val="24"/>
          <w:szCs w:val="24"/>
          <w:lang w:val="es-ES" w:eastAsia="es-US"/>
        </w:rPr>
        <w:t>Strategy</w:t>
      </w:r>
      <w:proofErr w:type="spellEnd"/>
      <w:r w:rsidRPr="009B4D2C">
        <w:rPr>
          <w:rFonts w:ascii="Times New Roman" w:hAnsi="Times New Roman"/>
          <w:i/>
          <w:sz w:val="24"/>
          <w:szCs w:val="24"/>
          <w:lang w:val="es-ES" w:eastAsia="es-US"/>
        </w:rPr>
        <w:t xml:space="preserve"> of </w:t>
      </w:r>
      <w:proofErr w:type="spellStart"/>
      <w:r w:rsidRPr="009B4D2C">
        <w:rPr>
          <w:rFonts w:ascii="Times New Roman" w:hAnsi="Times New Roman"/>
          <w:i/>
          <w:sz w:val="24"/>
          <w:szCs w:val="24"/>
          <w:lang w:val="es-ES" w:eastAsia="es-US"/>
        </w:rPr>
        <w:t>the</w:t>
      </w:r>
      <w:proofErr w:type="spellEnd"/>
      <w:r w:rsidRPr="009B4D2C">
        <w:rPr>
          <w:rFonts w:ascii="Times New Roman" w:hAnsi="Times New Roman"/>
          <w:i/>
          <w:sz w:val="24"/>
          <w:szCs w:val="24"/>
          <w:lang w:val="es-ES" w:eastAsia="es-US"/>
        </w:rPr>
        <w:t xml:space="preserve"> </w:t>
      </w:r>
      <w:proofErr w:type="spellStart"/>
      <w:r w:rsidRPr="009B4D2C">
        <w:rPr>
          <w:rFonts w:ascii="Times New Roman" w:hAnsi="Times New Roman"/>
          <w:i/>
          <w:sz w:val="24"/>
          <w:szCs w:val="24"/>
          <w:lang w:val="es-ES" w:eastAsia="es-US"/>
        </w:rPr>
        <w:t>World</w:t>
      </w:r>
      <w:proofErr w:type="spellEnd"/>
      <w:r w:rsidRPr="009B4D2C">
        <w:rPr>
          <w:rFonts w:ascii="Times New Roman" w:hAnsi="Times New Roman"/>
          <w:i/>
          <w:sz w:val="24"/>
          <w:szCs w:val="24"/>
          <w:lang w:val="es-ES" w:eastAsia="es-US"/>
        </w:rPr>
        <w:t xml:space="preserve"> </w:t>
      </w:r>
      <w:proofErr w:type="spellStart"/>
      <w:r w:rsidRPr="009B4D2C">
        <w:rPr>
          <w:rFonts w:ascii="Times New Roman" w:hAnsi="Times New Roman"/>
          <w:i/>
          <w:sz w:val="24"/>
          <w:szCs w:val="24"/>
          <w:lang w:val="es-ES" w:eastAsia="es-US"/>
        </w:rPr>
        <w:t>Health</w:t>
      </w:r>
      <w:proofErr w:type="spellEnd"/>
      <w:r w:rsidRPr="009B4D2C">
        <w:rPr>
          <w:rFonts w:ascii="Times New Roman" w:hAnsi="Times New Roman"/>
          <w:i/>
          <w:sz w:val="24"/>
          <w:szCs w:val="24"/>
          <w:lang w:val="es-ES" w:eastAsia="es-US"/>
        </w:rPr>
        <w:t xml:space="preserve"> </w:t>
      </w:r>
      <w:proofErr w:type="spellStart"/>
      <w:r w:rsidRPr="009B4D2C">
        <w:rPr>
          <w:rFonts w:ascii="Times New Roman" w:hAnsi="Times New Roman"/>
          <w:i/>
          <w:sz w:val="24"/>
          <w:szCs w:val="24"/>
          <w:lang w:val="es-ES" w:eastAsia="es-US"/>
        </w:rPr>
        <w:t>Organization</w:t>
      </w:r>
      <w:proofErr w:type="spellEnd"/>
      <w:r w:rsidRPr="009B4D2C">
        <w:rPr>
          <w:rFonts w:ascii="Times New Roman" w:hAnsi="Times New Roman"/>
          <w:sz w:val="24"/>
          <w:szCs w:val="24"/>
          <w:lang w:val="es-ES" w:eastAsia="es-US"/>
        </w:rPr>
        <w:t xml:space="preserve"> (2005) (</w:t>
      </w:r>
      <w:r w:rsidRPr="009B4D2C">
        <w:rPr>
          <w:rFonts w:ascii="Times New Roman" w:hAnsi="Times New Roman"/>
          <w:i/>
          <w:color w:val="auto"/>
          <w:sz w:val="24"/>
          <w:szCs w:val="24"/>
          <w:lang w:val="es-ES" w:eastAsia="es-US"/>
        </w:rPr>
        <w:t>6</w:t>
      </w:r>
      <w:r w:rsidRPr="009B4D2C">
        <w:rPr>
          <w:rFonts w:ascii="Times New Roman" w:hAnsi="Times New Roman"/>
          <w:sz w:val="24"/>
          <w:szCs w:val="24"/>
          <w:lang w:val="es-ES" w:eastAsia="es-US"/>
        </w:rPr>
        <w:t xml:space="preserve">); la Estrategia de Intercambio de Información y Conocimientos de la Organización Panamericana de la Salud (OPS) (2006) </w:t>
      </w:r>
      <w:r w:rsidRPr="009B4D2C">
        <w:rPr>
          <w:rFonts w:ascii="Times New Roman" w:hAnsi="Times New Roman"/>
          <w:sz w:val="24"/>
          <w:szCs w:val="24"/>
          <w:lang w:val="es-ES"/>
        </w:rPr>
        <w:t>(</w:t>
      </w:r>
      <w:r w:rsidRPr="009B4D2C">
        <w:rPr>
          <w:rFonts w:ascii="Times New Roman" w:hAnsi="Times New Roman"/>
          <w:i/>
          <w:sz w:val="24"/>
          <w:szCs w:val="24"/>
          <w:lang w:val="es-ES"/>
        </w:rPr>
        <w:t>7</w:t>
      </w:r>
      <w:r w:rsidRPr="009B4D2C">
        <w:rPr>
          <w:rFonts w:ascii="Times New Roman" w:hAnsi="Times New Roman"/>
          <w:sz w:val="24"/>
          <w:szCs w:val="24"/>
          <w:lang w:val="es-ES"/>
        </w:rPr>
        <w:t xml:space="preserve">); </w:t>
      </w:r>
      <w:r w:rsidRPr="009B4D2C">
        <w:rPr>
          <w:rFonts w:ascii="Times New Roman" w:hAnsi="Times New Roman"/>
          <w:sz w:val="24"/>
          <w:szCs w:val="24"/>
          <w:lang w:val="es-ES" w:eastAsia="es-US"/>
        </w:rPr>
        <w:t xml:space="preserve">el </w:t>
      </w:r>
      <w:hyperlink r:id="rId17" w:history="1">
        <w:r w:rsidRPr="009B4D2C">
          <w:rPr>
            <w:rFonts w:ascii="Times New Roman" w:hAnsi="Times New Roman"/>
            <w:sz w:val="24"/>
            <w:szCs w:val="24"/>
          </w:rPr>
          <w:t xml:space="preserve">informe </w:t>
        </w:r>
        <w:r w:rsidR="009B4D2C" w:rsidRPr="009B4D2C">
          <w:rPr>
            <w:rFonts w:ascii="Times New Roman" w:hAnsi="Times New Roman"/>
            <w:sz w:val="24"/>
            <w:szCs w:val="24"/>
          </w:rPr>
          <w:t xml:space="preserve">JIU/REP/2007/6 </w:t>
        </w:r>
        <w:r w:rsidRPr="009B4D2C">
          <w:rPr>
            <w:rFonts w:ascii="Times New Roman" w:hAnsi="Times New Roman"/>
            <w:sz w:val="24"/>
            <w:szCs w:val="24"/>
          </w:rPr>
          <w:t xml:space="preserve">sobre Gestión de los conocimientos en el sistema de las Naciones Unidas </w:t>
        </w:r>
      </w:hyperlink>
      <w:r w:rsidRPr="009B4D2C">
        <w:rPr>
          <w:rFonts w:ascii="Times New Roman" w:hAnsi="Times New Roman"/>
          <w:sz w:val="24"/>
          <w:szCs w:val="24"/>
        </w:rPr>
        <w:t xml:space="preserve"> (2007)</w:t>
      </w:r>
      <w:r w:rsidR="00CA4A85" w:rsidRPr="009B4D2C">
        <w:rPr>
          <w:rFonts w:ascii="Times New Roman" w:hAnsi="Times New Roman"/>
          <w:sz w:val="24"/>
          <w:szCs w:val="24"/>
        </w:rPr>
        <w:t xml:space="preserve"> </w:t>
      </w:r>
      <w:r w:rsidRPr="009B4D2C">
        <w:rPr>
          <w:rFonts w:ascii="Times New Roman" w:hAnsi="Times New Roman"/>
          <w:sz w:val="24"/>
          <w:szCs w:val="24"/>
          <w:lang w:val="es-ES" w:eastAsia="es-US"/>
        </w:rPr>
        <w:t>(</w:t>
      </w:r>
      <w:r w:rsidRPr="009B4D2C">
        <w:rPr>
          <w:rFonts w:ascii="Times New Roman" w:hAnsi="Times New Roman"/>
          <w:i/>
          <w:sz w:val="24"/>
          <w:szCs w:val="24"/>
          <w:lang w:val="es-ES" w:eastAsia="es-US"/>
        </w:rPr>
        <w:t>8</w:t>
      </w:r>
      <w:r w:rsidRPr="009B4D2C">
        <w:rPr>
          <w:rFonts w:ascii="Times New Roman" w:hAnsi="Times New Roman"/>
          <w:sz w:val="24"/>
          <w:szCs w:val="24"/>
          <w:lang w:val="es-ES" w:eastAsia="es-US"/>
        </w:rPr>
        <w:t xml:space="preserve">); la </w:t>
      </w:r>
      <w:hyperlink r:id="rId18" w:history="1">
        <w:r w:rsidRPr="009B4D2C">
          <w:rPr>
            <w:rFonts w:ascii="Times New Roman" w:hAnsi="Times New Roman"/>
            <w:i/>
            <w:color w:val="0000FF"/>
            <w:sz w:val="24"/>
            <w:szCs w:val="24"/>
            <w:u w:val="single"/>
          </w:rPr>
          <w:t xml:space="preserve">Regional </w:t>
        </w:r>
        <w:proofErr w:type="spellStart"/>
        <w:r w:rsidRPr="009B4D2C">
          <w:rPr>
            <w:rFonts w:ascii="Times New Roman" w:hAnsi="Times New Roman"/>
            <w:i/>
            <w:color w:val="0000FF"/>
            <w:sz w:val="24"/>
            <w:szCs w:val="24"/>
            <w:u w:val="single"/>
          </w:rPr>
          <w:t>Strategy</w:t>
        </w:r>
        <w:proofErr w:type="spellEnd"/>
        <w:r w:rsidRPr="009B4D2C">
          <w:rPr>
            <w:rFonts w:ascii="Times New Roman" w:hAnsi="Times New Roman"/>
            <w:i/>
            <w:color w:val="0000FF"/>
            <w:sz w:val="24"/>
            <w:szCs w:val="24"/>
            <w:u w:val="single"/>
          </w:rPr>
          <w:t xml:space="preserve"> </w:t>
        </w:r>
        <w:proofErr w:type="spellStart"/>
        <w:r w:rsidRPr="009B4D2C">
          <w:rPr>
            <w:rFonts w:ascii="Times New Roman" w:hAnsi="Times New Roman"/>
            <w:i/>
            <w:color w:val="0000FF"/>
            <w:sz w:val="24"/>
            <w:szCs w:val="24"/>
            <w:u w:val="single"/>
          </w:rPr>
          <w:t>for</w:t>
        </w:r>
        <w:proofErr w:type="spellEnd"/>
        <w:r w:rsidRPr="009B4D2C">
          <w:rPr>
            <w:rFonts w:ascii="Times New Roman" w:hAnsi="Times New Roman"/>
            <w:i/>
            <w:color w:val="0000FF"/>
            <w:sz w:val="24"/>
            <w:szCs w:val="24"/>
            <w:u w:val="single"/>
          </w:rPr>
          <w:t xml:space="preserve"> </w:t>
        </w:r>
        <w:proofErr w:type="spellStart"/>
        <w:r w:rsidRPr="009B4D2C">
          <w:rPr>
            <w:rFonts w:ascii="Times New Roman" w:hAnsi="Times New Roman"/>
            <w:i/>
            <w:color w:val="0000FF"/>
            <w:sz w:val="24"/>
            <w:szCs w:val="24"/>
            <w:u w:val="single"/>
          </w:rPr>
          <w:t>Knowledge</w:t>
        </w:r>
        <w:proofErr w:type="spellEnd"/>
        <w:r w:rsidRPr="009B4D2C">
          <w:rPr>
            <w:rFonts w:ascii="Times New Roman" w:hAnsi="Times New Roman"/>
            <w:i/>
            <w:color w:val="0000FF"/>
            <w:sz w:val="24"/>
            <w:szCs w:val="24"/>
            <w:u w:val="single"/>
          </w:rPr>
          <w:t xml:space="preserve"> Management </w:t>
        </w:r>
        <w:proofErr w:type="spellStart"/>
        <w:r w:rsidRPr="009B4D2C">
          <w:rPr>
            <w:rFonts w:ascii="Times New Roman" w:hAnsi="Times New Roman"/>
            <w:i/>
            <w:color w:val="0000FF"/>
            <w:sz w:val="24"/>
            <w:szCs w:val="24"/>
            <w:u w:val="single"/>
          </w:rPr>
          <w:t>to</w:t>
        </w:r>
        <w:proofErr w:type="spellEnd"/>
        <w:r w:rsidRPr="009B4D2C">
          <w:rPr>
            <w:rFonts w:ascii="Times New Roman" w:hAnsi="Times New Roman"/>
            <w:i/>
            <w:color w:val="0000FF"/>
            <w:sz w:val="24"/>
            <w:szCs w:val="24"/>
            <w:u w:val="single"/>
          </w:rPr>
          <w:t xml:space="preserve"> </w:t>
        </w:r>
        <w:proofErr w:type="spellStart"/>
        <w:r w:rsidRPr="009B4D2C">
          <w:rPr>
            <w:rFonts w:ascii="Times New Roman" w:hAnsi="Times New Roman"/>
            <w:i/>
            <w:color w:val="0000FF"/>
            <w:sz w:val="24"/>
            <w:szCs w:val="24"/>
            <w:u w:val="single"/>
          </w:rPr>
          <w:t>Support</w:t>
        </w:r>
        <w:proofErr w:type="spellEnd"/>
        <w:r w:rsidRPr="009B4D2C">
          <w:rPr>
            <w:rFonts w:ascii="Times New Roman" w:hAnsi="Times New Roman"/>
            <w:i/>
            <w:color w:val="0000FF"/>
            <w:sz w:val="24"/>
            <w:szCs w:val="24"/>
            <w:u w:val="single"/>
          </w:rPr>
          <w:t xml:space="preserve"> </w:t>
        </w:r>
        <w:proofErr w:type="spellStart"/>
        <w:r w:rsidRPr="009B4D2C">
          <w:rPr>
            <w:rFonts w:ascii="Times New Roman" w:hAnsi="Times New Roman"/>
            <w:i/>
            <w:color w:val="0000FF"/>
            <w:sz w:val="24"/>
            <w:szCs w:val="24"/>
            <w:u w:val="single"/>
          </w:rPr>
          <w:t>Public</w:t>
        </w:r>
        <w:proofErr w:type="spellEnd"/>
        <w:r w:rsidRPr="009B4D2C">
          <w:rPr>
            <w:rFonts w:ascii="Times New Roman" w:hAnsi="Times New Roman"/>
            <w:i/>
            <w:color w:val="0000FF"/>
            <w:sz w:val="24"/>
            <w:szCs w:val="24"/>
            <w:u w:val="single"/>
          </w:rPr>
          <w:t xml:space="preserve"> </w:t>
        </w:r>
        <w:proofErr w:type="spellStart"/>
        <w:r w:rsidRPr="009B4D2C">
          <w:rPr>
            <w:rFonts w:ascii="Times New Roman" w:hAnsi="Times New Roman"/>
            <w:i/>
            <w:color w:val="0000FF"/>
            <w:sz w:val="24"/>
            <w:szCs w:val="24"/>
            <w:u w:val="single"/>
          </w:rPr>
          <w:t>Health</w:t>
        </w:r>
        <w:proofErr w:type="spellEnd"/>
        <w:r w:rsidRPr="009B4D2C">
          <w:rPr>
            <w:rFonts w:ascii="Times New Roman" w:hAnsi="Times New Roman"/>
            <w:i/>
            <w:sz w:val="24"/>
            <w:szCs w:val="24"/>
          </w:rPr>
          <w:t xml:space="preserve"> </w:t>
        </w:r>
        <w:r w:rsidR="009B4D2C" w:rsidRPr="00D71988">
          <w:rPr>
            <w:rStyle w:val="Hyperlink"/>
            <w:rFonts w:ascii="Times New Roman" w:hAnsi="Times New Roman"/>
            <w:color w:val="auto"/>
            <w:sz w:val="24"/>
            <w:szCs w:val="24"/>
            <w:u w:val="none"/>
            <w:lang w:val="es-ES" w:eastAsia="es-US"/>
          </w:rPr>
          <w:t>[</w:t>
        </w:r>
        <w:r w:rsidR="009B4D2C" w:rsidRPr="00D71988">
          <w:rPr>
            <w:rFonts w:ascii="Times New Roman" w:hAnsi="Times New Roman"/>
            <w:color w:val="auto"/>
            <w:sz w:val="24"/>
            <w:szCs w:val="24"/>
            <w:lang w:val="es-ES" w:eastAsia="es-US"/>
          </w:rPr>
          <w:t>Estra</w:t>
        </w:r>
        <w:r w:rsidR="009B4D2C" w:rsidRPr="00110195">
          <w:rPr>
            <w:rFonts w:ascii="Times New Roman" w:hAnsi="Times New Roman"/>
            <w:sz w:val="24"/>
            <w:szCs w:val="24"/>
            <w:lang w:val="es-ES" w:eastAsia="es-US"/>
          </w:rPr>
          <w:t>tegia regional de gestión del conocimiento para apoyar a la salud pública</w:t>
        </w:r>
        <w:r w:rsidR="009B4D2C">
          <w:rPr>
            <w:rFonts w:ascii="Times New Roman" w:hAnsi="Times New Roman"/>
            <w:sz w:val="24"/>
            <w:szCs w:val="24"/>
            <w:lang w:val="es-ES" w:eastAsia="es-US"/>
          </w:rPr>
          <w:t>]</w:t>
        </w:r>
        <w:r w:rsidR="009B4D2C" w:rsidRPr="00110195">
          <w:rPr>
            <w:rFonts w:ascii="Times New Roman" w:hAnsi="Times New Roman"/>
            <w:sz w:val="24"/>
            <w:szCs w:val="24"/>
            <w:lang w:val="es-ES" w:eastAsia="es-US"/>
          </w:rPr>
          <w:t xml:space="preserve"> </w:t>
        </w:r>
        <w:r w:rsidR="00AA6966" w:rsidRPr="009B4D2C">
          <w:rPr>
            <w:rFonts w:ascii="Times New Roman" w:hAnsi="Times New Roman"/>
            <w:sz w:val="24"/>
            <w:szCs w:val="24"/>
          </w:rPr>
          <w:t xml:space="preserve">de la </w:t>
        </w:r>
        <w:r w:rsidR="00110195" w:rsidRPr="009B4D2C">
          <w:rPr>
            <w:rFonts w:ascii="Times New Roman" w:hAnsi="Times New Roman"/>
            <w:sz w:val="24"/>
            <w:szCs w:val="24"/>
          </w:rPr>
          <w:t>Región del Me</w:t>
        </w:r>
        <w:r w:rsidR="00AA6966" w:rsidRPr="009B4D2C">
          <w:rPr>
            <w:rFonts w:ascii="Times New Roman" w:hAnsi="Times New Roman"/>
            <w:sz w:val="24"/>
            <w:szCs w:val="24"/>
          </w:rPr>
          <w:t xml:space="preserve">diterráneo Oriental </w:t>
        </w:r>
        <w:r w:rsidR="00110195" w:rsidRPr="009B4D2C">
          <w:rPr>
            <w:rFonts w:ascii="Times New Roman" w:hAnsi="Times New Roman"/>
            <w:sz w:val="24"/>
            <w:szCs w:val="24"/>
          </w:rPr>
          <w:t xml:space="preserve">(resolución </w:t>
        </w:r>
        <w:r w:rsidRPr="009B4D2C">
          <w:rPr>
            <w:rFonts w:ascii="Times New Roman" w:hAnsi="Times New Roman"/>
            <w:sz w:val="24"/>
            <w:szCs w:val="24"/>
          </w:rPr>
          <w:t xml:space="preserve">EM/RC53/R.10 </w:t>
        </w:r>
        <w:r w:rsidR="00110195" w:rsidRPr="009B4D2C">
          <w:rPr>
            <w:rFonts w:ascii="Times New Roman" w:hAnsi="Times New Roman"/>
            <w:sz w:val="24"/>
            <w:szCs w:val="24"/>
          </w:rPr>
          <w:t>[</w:t>
        </w:r>
        <w:r w:rsidRPr="009B4D2C">
          <w:rPr>
            <w:rFonts w:ascii="Times New Roman" w:hAnsi="Times New Roman"/>
            <w:sz w:val="24"/>
            <w:szCs w:val="24"/>
          </w:rPr>
          <w:t>2009</w:t>
        </w:r>
        <w:r w:rsidR="00110195" w:rsidRPr="009B4D2C">
          <w:rPr>
            <w:rFonts w:ascii="Times New Roman" w:hAnsi="Times New Roman"/>
            <w:sz w:val="24"/>
            <w:szCs w:val="24"/>
          </w:rPr>
          <w:t>]</w:t>
        </w:r>
        <w:r w:rsidRPr="009B4D2C">
          <w:rPr>
            <w:rFonts w:ascii="Times New Roman" w:hAnsi="Times New Roman"/>
            <w:sz w:val="24"/>
            <w:szCs w:val="24"/>
          </w:rPr>
          <w:t>)</w:t>
        </w:r>
      </w:hyperlink>
      <w:r w:rsidR="00CA4A85" w:rsidRPr="009B4D2C">
        <w:rPr>
          <w:rFonts w:ascii="Times New Roman" w:hAnsi="Times New Roman"/>
          <w:sz w:val="24"/>
          <w:szCs w:val="24"/>
        </w:rPr>
        <w:t xml:space="preserve"> </w:t>
      </w:r>
      <w:hyperlink r:id="rId19" w:history="1"/>
      <w:r w:rsidRPr="009B4D2C">
        <w:rPr>
          <w:rFonts w:ascii="Times New Roman" w:hAnsi="Times New Roman"/>
          <w:sz w:val="24"/>
          <w:szCs w:val="24"/>
          <w:lang w:val="es-ES" w:eastAsia="es-US"/>
        </w:rPr>
        <w:t>(</w:t>
      </w:r>
      <w:r w:rsidRPr="009B4D2C">
        <w:rPr>
          <w:rFonts w:ascii="Times New Roman" w:hAnsi="Times New Roman"/>
          <w:i/>
          <w:color w:val="auto"/>
          <w:sz w:val="24"/>
          <w:szCs w:val="24"/>
          <w:lang w:val="es-ES" w:eastAsia="es-US"/>
        </w:rPr>
        <w:t>9</w:t>
      </w:r>
      <w:r w:rsidRPr="009B4D2C">
        <w:rPr>
          <w:rFonts w:ascii="Times New Roman" w:hAnsi="Times New Roman"/>
          <w:sz w:val="24"/>
          <w:szCs w:val="24"/>
          <w:lang w:val="es-ES" w:eastAsia="es-US"/>
        </w:rPr>
        <w:t xml:space="preserve">); las conferencias ministeriales sobre la sociedad de la información celebradas en el 2005, 2008 y 2010; la </w:t>
      </w:r>
      <w:hyperlink r:id="rId20" w:history="1">
        <w:r w:rsidRPr="009B4D2C">
          <w:rPr>
            <w:rFonts w:ascii="Times New Roman" w:hAnsi="Times New Roman"/>
            <w:sz w:val="24"/>
            <w:szCs w:val="24"/>
            <w:lang w:val="es-ES" w:eastAsia="es-US"/>
          </w:rPr>
          <w:t>Estrategia en Gestión del Conocimiento y Comunicaciones para todas las entidades de la OPS/OMS (2011)</w:t>
        </w:r>
      </w:hyperlink>
      <w:r w:rsidR="00CA4A85" w:rsidRPr="009B4D2C">
        <w:rPr>
          <w:rFonts w:ascii="Times New Roman" w:hAnsi="Times New Roman"/>
          <w:sz w:val="24"/>
          <w:szCs w:val="24"/>
          <w:lang w:val="es-ES" w:eastAsia="es-US"/>
        </w:rPr>
        <w:t xml:space="preserve"> </w:t>
      </w:r>
      <w:r w:rsidRPr="009B4D2C">
        <w:rPr>
          <w:rFonts w:ascii="Times New Roman" w:hAnsi="Times New Roman"/>
          <w:sz w:val="24"/>
          <w:szCs w:val="24"/>
          <w:lang w:val="es-ES" w:eastAsia="es-US"/>
        </w:rPr>
        <w:t>(</w:t>
      </w:r>
      <w:r w:rsidRPr="009B4D2C">
        <w:rPr>
          <w:rFonts w:ascii="Times New Roman" w:hAnsi="Times New Roman"/>
          <w:i/>
          <w:sz w:val="24"/>
          <w:szCs w:val="24"/>
          <w:lang w:val="es-ES" w:eastAsia="es-US"/>
        </w:rPr>
        <w:t>10</w:t>
      </w:r>
      <w:r w:rsidRPr="009B4D2C">
        <w:rPr>
          <w:rFonts w:ascii="Times New Roman" w:hAnsi="Times New Roman"/>
          <w:sz w:val="24"/>
          <w:szCs w:val="24"/>
          <w:lang w:val="es-ES" w:eastAsia="es-US"/>
        </w:rPr>
        <w:t xml:space="preserve">) y la </w:t>
      </w:r>
      <w:hyperlink r:id="rId21" w:history="1">
        <w:r w:rsidRPr="009B4D2C">
          <w:rPr>
            <w:rStyle w:val="Hyperlink"/>
            <w:rFonts w:ascii="Times New Roman" w:hAnsi="Times New Roman"/>
            <w:sz w:val="24"/>
            <w:szCs w:val="24"/>
            <w:lang w:val="es-ES"/>
          </w:rPr>
          <w:t xml:space="preserve">Estrategia y Plan de acción sobre </w:t>
        </w:r>
        <w:proofErr w:type="spellStart"/>
        <w:r w:rsidRPr="009B4D2C">
          <w:rPr>
            <w:rStyle w:val="Hyperlink"/>
            <w:rFonts w:ascii="Times New Roman" w:hAnsi="Times New Roman"/>
            <w:i/>
            <w:sz w:val="24"/>
            <w:szCs w:val="24"/>
            <w:lang w:val="es-ES"/>
          </w:rPr>
          <w:t>eSalud</w:t>
        </w:r>
        <w:proofErr w:type="spellEnd"/>
      </w:hyperlink>
      <w:r w:rsidRPr="009B4D2C">
        <w:rPr>
          <w:rFonts w:ascii="Times New Roman" w:hAnsi="Times New Roman"/>
          <w:sz w:val="24"/>
          <w:szCs w:val="24"/>
          <w:lang w:val="es-ES"/>
        </w:rPr>
        <w:t xml:space="preserve"> de la </w:t>
      </w:r>
      <w:r w:rsidRPr="005C2D75">
        <w:rPr>
          <w:rFonts w:ascii="Times New Roman" w:hAnsi="Times New Roman"/>
          <w:sz w:val="24"/>
          <w:szCs w:val="24"/>
          <w:lang w:val="es-ES"/>
        </w:rPr>
        <w:t xml:space="preserve">OPS </w:t>
      </w:r>
      <w:r w:rsidR="00110195" w:rsidRPr="005C2D75">
        <w:rPr>
          <w:rFonts w:ascii="Times New Roman" w:hAnsi="Times New Roman"/>
          <w:sz w:val="24"/>
          <w:szCs w:val="24"/>
          <w:lang w:val="es-ES"/>
        </w:rPr>
        <w:t>(documento CD51/1</w:t>
      </w:r>
      <w:r w:rsidR="00C74925" w:rsidRPr="005C2D75">
        <w:rPr>
          <w:rFonts w:ascii="Times New Roman" w:hAnsi="Times New Roman"/>
          <w:sz w:val="24"/>
          <w:szCs w:val="24"/>
          <w:lang w:val="es-ES"/>
        </w:rPr>
        <w:t>3</w:t>
      </w:r>
      <w:r w:rsidR="00110195" w:rsidRPr="009B4D2C">
        <w:rPr>
          <w:rFonts w:ascii="Times New Roman" w:hAnsi="Times New Roman"/>
          <w:sz w:val="24"/>
          <w:szCs w:val="24"/>
          <w:lang w:val="es-ES"/>
        </w:rPr>
        <w:t xml:space="preserve"> [</w:t>
      </w:r>
      <w:r w:rsidRPr="009B4D2C">
        <w:rPr>
          <w:rFonts w:ascii="Times New Roman" w:hAnsi="Times New Roman"/>
          <w:sz w:val="24"/>
          <w:szCs w:val="24"/>
          <w:lang w:val="es-ES"/>
        </w:rPr>
        <w:t>2011</w:t>
      </w:r>
      <w:r w:rsidR="00110195" w:rsidRPr="009B4D2C">
        <w:rPr>
          <w:rFonts w:ascii="Times New Roman" w:hAnsi="Times New Roman"/>
          <w:sz w:val="24"/>
          <w:szCs w:val="24"/>
          <w:lang w:val="es-ES"/>
        </w:rPr>
        <w:t>]</w:t>
      </w:r>
      <w:r w:rsidRPr="009B4D2C">
        <w:rPr>
          <w:rFonts w:ascii="Times New Roman" w:hAnsi="Times New Roman"/>
          <w:sz w:val="24"/>
          <w:szCs w:val="24"/>
          <w:lang w:val="es-ES"/>
        </w:rPr>
        <w:t>)</w:t>
      </w:r>
      <w:r w:rsidR="00CA4A85" w:rsidRPr="009B4D2C">
        <w:rPr>
          <w:rFonts w:ascii="Times New Roman" w:hAnsi="Times New Roman"/>
          <w:sz w:val="24"/>
          <w:szCs w:val="24"/>
          <w:lang w:val="es-ES"/>
        </w:rPr>
        <w:t xml:space="preserve"> </w:t>
      </w:r>
      <w:r w:rsidRPr="009B4D2C">
        <w:rPr>
          <w:rFonts w:ascii="Times New Roman" w:hAnsi="Times New Roman"/>
          <w:sz w:val="24"/>
          <w:szCs w:val="24"/>
          <w:lang w:val="es-ES" w:eastAsia="es-US"/>
        </w:rPr>
        <w:t>(</w:t>
      </w:r>
      <w:r w:rsidRPr="009B4D2C">
        <w:rPr>
          <w:rFonts w:ascii="Times New Roman" w:hAnsi="Times New Roman"/>
          <w:i/>
          <w:sz w:val="24"/>
          <w:szCs w:val="24"/>
          <w:lang w:val="es-ES" w:eastAsia="es-US"/>
        </w:rPr>
        <w:t>11</w:t>
      </w:r>
      <w:r w:rsidRPr="009B4D2C">
        <w:rPr>
          <w:rFonts w:ascii="Times New Roman" w:hAnsi="Times New Roman"/>
          <w:sz w:val="24"/>
          <w:szCs w:val="24"/>
          <w:lang w:val="es-ES" w:eastAsia="es-US"/>
        </w:rPr>
        <w:t>).</w:t>
      </w:r>
    </w:p>
    <w:p w:rsidR="00380790" w:rsidRDefault="00380790">
      <w:pPr>
        <w:spacing w:after="240"/>
        <w:jc w:val="both"/>
        <w:rPr>
          <w:b/>
          <w:bCs/>
          <w:kern w:val="36"/>
          <w:sz w:val="24"/>
          <w:szCs w:val="24"/>
          <w:lang w:val="es-ES" w:eastAsia="es-US"/>
        </w:rPr>
      </w:pPr>
      <w:r>
        <w:rPr>
          <w:b/>
          <w:bCs/>
          <w:kern w:val="36"/>
          <w:sz w:val="24"/>
          <w:szCs w:val="24"/>
          <w:lang w:val="es-ES" w:eastAsia="es-US"/>
        </w:rPr>
        <w:t xml:space="preserve">Antecedentes </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Basada en la Estrategia Mundial de la OMS (</w:t>
      </w:r>
      <w:r>
        <w:rPr>
          <w:rFonts w:ascii="Times New Roman" w:hAnsi="Times New Roman"/>
          <w:i/>
          <w:sz w:val="24"/>
          <w:szCs w:val="24"/>
          <w:lang w:val="es-ES" w:eastAsia="es-US"/>
        </w:rPr>
        <w:t>6</w:t>
      </w:r>
      <w:r>
        <w:rPr>
          <w:rFonts w:ascii="Times New Roman" w:hAnsi="Times New Roman"/>
          <w:sz w:val="24"/>
          <w:szCs w:val="24"/>
          <w:lang w:val="es-ES" w:eastAsia="es-US"/>
        </w:rPr>
        <w:t xml:space="preserve">), la misión de esta estrategia y plan de acción es cerrar la brecha entre el conocimiento y la toma de decisiones sobre salud en la Región fomentando un entorno que promueva la producción, el intercambio, la comunicación, el acceso y la aplicación eficaz de los conocimientos en beneficio de la salud. </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 xml:space="preserve">Desde 1992, el Centro Latinoamericano y del Caribe </w:t>
      </w:r>
      <w:r w:rsidR="008C3C1E">
        <w:rPr>
          <w:rFonts w:ascii="Times New Roman" w:hAnsi="Times New Roman"/>
          <w:sz w:val="24"/>
          <w:szCs w:val="24"/>
          <w:lang w:val="es-ES" w:eastAsia="es-US"/>
        </w:rPr>
        <w:t xml:space="preserve">para </w:t>
      </w:r>
      <w:r>
        <w:rPr>
          <w:rFonts w:ascii="Times New Roman" w:hAnsi="Times New Roman"/>
          <w:sz w:val="24"/>
          <w:szCs w:val="24"/>
          <w:lang w:val="es-ES" w:eastAsia="es-US"/>
        </w:rPr>
        <w:t xml:space="preserve">Información en Ciencias de la Salud (BIREME) celebra cada dos años el Congreso Regional de Información en Ciencias de la Salud (CRICS) que </w:t>
      </w:r>
      <w:r>
        <w:rPr>
          <w:rFonts w:ascii="Times New Roman" w:hAnsi="Times New Roman"/>
          <w:sz w:val="24"/>
          <w:szCs w:val="24"/>
          <w:lang w:val="es-ES"/>
        </w:rPr>
        <w:t>se ha consolidado como una actividad de referencia que refleja y sintetiza el estado del arte regional e internacional en las disciplinas y áreas temáticas de gestión de información científica y técnica, la comunicación científica, la bibliotecología y las tecnologías de la información.</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 xml:space="preserve">En 1996, mediante la </w:t>
      </w:r>
      <w:hyperlink r:id="rId22" w:history="1">
        <w:r>
          <w:rPr>
            <w:rStyle w:val="Hyperlink"/>
            <w:rFonts w:ascii="Times New Roman" w:hAnsi="Times New Roman"/>
            <w:sz w:val="24"/>
            <w:szCs w:val="24"/>
            <w:lang w:val="es-ES" w:eastAsia="es-US"/>
          </w:rPr>
          <w:t>resolución A/RES/51/172 sobre la comunicación para los programas de desarrollo en el sistema de las Naciones Unidas</w:t>
        </w:r>
      </w:hyperlink>
      <w:r w:rsidRPr="00872350">
        <w:rPr>
          <w:rStyle w:val="Hyperlink"/>
          <w:rFonts w:ascii="Times New Roman" w:hAnsi="Times New Roman"/>
          <w:sz w:val="24"/>
          <w:szCs w:val="24"/>
          <w:u w:val="none"/>
          <w:lang w:val="es-ES" w:eastAsia="es-US"/>
        </w:rPr>
        <w:t xml:space="preserve"> </w:t>
      </w:r>
      <w:r>
        <w:rPr>
          <w:rFonts w:ascii="Times New Roman" w:hAnsi="Times New Roman"/>
          <w:sz w:val="24"/>
          <w:szCs w:val="24"/>
          <w:lang w:val="es-ES" w:eastAsia="es-US"/>
        </w:rPr>
        <w:t>(</w:t>
      </w:r>
      <w:r>
        <w:rPr>
          <w:rFonts w:ascii="Times New Roman" w:hAnsi="Times New Roman"/>
          <w:i/>
          <w:sz w:val="24"/>
          <w:szCs w:val="24"/>
          <w:lang w:val="es-ES" w:eastAsia="es-US"/>
        </w:rPr>
        <w:t>5</w:t>
      </w:r>
      <w:r>
        <w:rPr>
          <w:rFonts w:ascii="Times New Roman" w:hAnsi="Times New Roman"/>
          <w:sz w:val="24"/>
          <w:szCs w:val="24"/>
          <w:lang w:val="es-ES" w:eastAsia="es-US"/>
        </w:rPr>
        <w:t>), se reconoció la importancia de asignar prioridad a la comunicación para el desarrollo y se destacó la necesidad de apoyar a los sistemas de comunicación recíproca que propicien el diálogo y permitan que las comunidades se manifiesten, expresen sus aspiraciones e intereses y participen en las decisiones relacionadas con su desarrollo.</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lastRenderedPageBreak/>
        <w:t xml:space="preserve">En el 2005, la OMS, a través de su </w:t>
      </w:r>
      <w:hyperlink r:id="rId23" w:history="1">
        <w:r w:rsidR="00CE0CAF">
          <w:rPr>
            <w:rStyle w:val="Hyperlink"/>
            <w:rFonts w:ascii="Times New Roman" w:hAnsi="Times New Roman"/>
            <w:sz w:val="24"/>
            <w:szCs w:val="24"/>
            <w:lang w:val="es-ES" w:eastAsia="es-US"/>
          </w:rPr>
          <w:t>estrategia de gestión del conocimiento</w:t>
        </w:r>
      </w:hyperlink>
      <w:r>
        <w:t xml:space="preserve"> </w:t>
      </w:r>
      <w:r>
        <w:rPr>
          <w:rFonts w:ascii="Times New Roman" w:hAnsi="Times New Roman"/>
          <w:sz w:val="24"/>
          <w:szCs w:val="24"/>
          <w:lang w:val="es-ES" w:eastAsia="es-US"/>
        </w:rPr>
        <w:t>(</w:t>
      </w:r>
      <w:r>
        <w:rPr>
          <w:rFonts w:ascii="Times New Roman" w:hAnsi="Times New Roman"/>
          <w:i/>
          <w:sz w:val="24"/>
          <w:szCs w:val="24"/>
          <w:lang w:val="es-ES" w:eastAsia="es-US"/>
        </w:rPr>
        <w:t>6</w:t>
      </w:r>
      <w:r>
        <w:rPr>
          <w:rFonts w:ascii="Times New Roman" w:hAnsi="Times New Roman"/>
          <w:sz w:val="24"/>
          <w:szCs w:val="24"/>
          <w:lang w:val="es-ES" w:eastAsia="es-US"/>
        </w:rPr>
        <w:t xml:space="preserve">), definió las orientaciones estratégicas en materia de gestión del conocimiento, a saber: mejorar el acceso a la información sanitaria mundial; traducir los conocimientos en políticas y acción; compartir y aplicar los conocimientos derivados de la experiencia; potenciar la </w:t>
      </w:r>
      <w:proofErr w:type="spellStart"/>
      <w:r>
        <w:rPr>
          <w:rFonts w:ascii="Times New Roman" w:hAnsi="Times New Roman"/>
          <w:i/>
          <w:sz w:val="24"/>
          <w:szCs w:val="24"/>
          <w:lang w:val="es-ES" w:eastAsia="es-US"/>
        </w:rPr>
        <w:t>eSalud</w:t>
      </w:r>
      <w:proofErr w:type="spellEnd"/>
      <w:r>
        <w:rPr>
          <w:rFonts w:ascii="Times New Roman" w:hAnsi="Times New Roman"/>
          <w:sz w:val="24"/>
          <w:szCs w:val="24"/>
          <w:lang w:val="es-ES" w:eastAsia="es-US"/>
        </w:rPr>
        <w:t xml:space="preserve"> en los países y fomentar un entorno propicio.</w:t>
      </w:r>
    </w:p>
    <w:p w:rsidR="00380790" w:rsidRDefault="00380790" w:rsidP="004C5A42">
      <w:pPr>
        <w:pStyle w:val="ListParagraph"/>
        <w:numPr>
          <w:ilvl w:val="0"/>
          <w:numId w:val="11"/>
        </w:numPr>
        <w:tabs>
          <w:tab w:val="left" w:pos="720"/>
        </w:tabs>
        <w:spacing w:after="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En el 2006, la OPS aprobó su primera Estrategia de Intercambio de Información y Conocimientos para la OPS (</w:t>
      </w:r>
      <w:r w:rsidRPr="00A366DD">
        <w:rPr>
          <w:rFonts w:ascii="Times New Roman" w:hAnsi="Times New Roman"/>
          <w:i/>
          <w:sz w:val="24"/>
          <w:szCs w:val="24"/>
          <w:lang w:val="es-ES" w:eastAsia="es-US"/>
        </w:rPr>
        <w:t>7</w:t>
      </w:r>
      <w:r>
        <w:rPr>
          <w:rFonts w:ascii="Times New Roman" w:hAnsi="Times New Roman"/>
          <w:sz w:val="24"/>
          <w:szCs w:val="24"/>
          <w:lang w:val="es-ES" w:eastAsia="es-US"/>
        </w:rPr>
        <w:t>) y definió cuatro estados deseados para transformarse en una organización basada en el conocimiento:</w:t>
      </w:r>
    </w:p>
    <w:p w:rsidR="00246D66" w:rsidRDefault="00246D66" w:rsidP="004C5A42">
      <w:pPr>
        <w:pStyle w:val="ListParagraph"/>
        <w:tabs>
          <w:tab w:val="left" w:pos="720"/>
        </w:tabs>
        <w:spacing w:after="0" w:line="240" w:lineRule="auto"/>
        <w:ind w:left="0"/>
        <w:contextualSpacing w:val="0"/>
        <w:jc w:val="both"/>
        <w:rPr>
          <w:rFonts w:ascii="Times New Roman" w:hAnsi="Times New Roman"/>
          <w:sz w:val="24"/>
          <w:szCs w:val="24"/>
          <w:lang w:val="es-ES" w:eastAsia="es-US"/>
        </w:rPr>
      </w:pPr>
    </w:p>
    <w:p w:rsidR="00380790" w:rsidRDefault="00380790" w:rsidP="000C5D7B">
      <w:pPr>
        <w:numPr>
          <w:ilvl w:val="0"/>
          <w:numId w:val="2"/>
        </w:numPr>
        <w:tabs>
          <w:tab w:val="clear" w:pos="360"/>
          <w:tab w:val="num" w:pos="720"/>
        </w:tabs>
        <w:spacing w:after="120"/>
        <w:ind w:left="720" w:hanging="720"/>
        <w:jc w:val="both"/>
        <w:rPr>
          <w:sz w:val="24"/>
          <w:szCs w:val="24"/>
          <w:lang w:val="es-ES" w:eastAsia="es-US"/>
        </w:rPr>
      </w:pPr>
      <w:r>
        <w:rPr>
          <w:sz w:val="24"/>
          <w:szCs w:val="24"/>
          <w:lang w:val="es-ES" w:eastAsia="es-US"/>
        </w:rPr>
        <w:t xml:space="preserve">una fuente autorizada  de información sanitaria y conocimientos basados en datos científicos; </w:t>
      </w:r>
    </w:p>
    <w:p w:rsidR="00380790" w:rsidRDefault="00380790" w:rsidP="000C5D7B">
      <w:pPr>
        <w:numPr>
          <w:ilvl w:val="0"/>
          <w:numId w:val="2"/>
        </w:numPr>
        <w:tabs>
          <w:tab w:val="clear" w:pos="360"/>
          <w:tab w:val="num" w:pos="720"/>
        </w:tabs>
        <w:spacing w:after="120"/>
        <w:ind w:left="720" w:hanging="720"/>
        <w:jc w:val="both"/>
        <w:rPr>
          <w:sz w:val="24"/>
          <w:szCs w:val="24"/>
          <w:lang w:val="es-ES" w:eastAsia="es-US"/>
        </w:rPr>
      </w:pPr>
      <w:r>
        <w:rPr>
          <w:sz w:val="24"/>
          <w:szCs w:val="24"/>
          <w:lang w:val="es-ES" w:eastAsia="es-US"/>
        </w:rPr>
        <w:t xml:space="preserve">una organización basada en la colaboración eficaz; </w:t>
      </w:r>
    </w:p>
    <w:p w:rsidR="00380790" w:rsidRDefault="00380790" w:rsidP="000C5D7B">
      <w:pPr>
        <w:numPr>
          <w:ilvl w:val="0"/>
          <w:numId w:val="2"/>
        </w:numPr>
        <w:tabs>
          <w:tab w:val="clear" w:pos="360"/>
          <w:tab w:val="num" w:pos="720"/>
        </w:tabs>
        <w:spacing w:after="120"/>
        <w:ind w:left="720" w:hanging="720"/>
        <w:jc w:val="both"/>
        <w:rPr>
          <w:sz w:val="24"/>
          <w:szCs w:val="24"/>
          <w:lang w:val="es-ES" w:eastAsia="es-US"/>
        </w:rPr>
      </w:pPr>
      <w:r>
        <w:rPr>
          <w:sz w:val="24"/>
          <w:szCs w:val="24"/>
          <w:lang w:val="es-ES" w:eastAsia="es-US"/>
        </w:rPr>
        <w:t>una organización basada en el aprendizaje; y</w:t>
      </w:r>
    </w:p>
    <w:p w:rsidR="00380790" w:rsidRDefault="00380790" w:rsidP="000C5D7B">
      <w:pPr>
        <w:numPr>
          <w:ilvl w:val="0"/>
          <w:numId w:val="2"/>
        </w:numPr>
        <w:tabs>
          <w:tab w:val="clear" w:pos="360"/>
          <w:tab w:val="num" w:pos="720"/>
        </w:tabs>
        <w:ind w:left="720" w:hanging="720"/>
        <w:jc w:val="both"/>
        <w:rPr>
          <w:sz w:val="24"/>
          <w:szCs w:val="24"/>
          <w:lang w:val="es-ES" w:eastAsia="es-US"/>
        </w:rPr>
      </w:pPr>
      <w:r>
        <w:rPr>
          <w:sz w:val="24"/>
          <w:szCs w:val="24"/>
          <w:lang w:val="es-ES" w:eastAsia="es-US"/>
        </w:rPr>
        <w:t>una organización que forje alianzas y redes.</w:t>
      </w:r>
    </w:p>
    <w:p w:rsidR="00380790" w:rsidRDefault="00380790" w:rsidP="004C5A42">
      <w:pPr>
        <w:pStyle w:val="ListParagraph"/>
        <w:tabs>
          <w:tab w:val="left" w:pos="720"/>
        </w:tabs>
        <w:spacing w:after="0" w:line="240" w:lineRule="auto"/>
        <w:ind w:left="360"/>
        <w:jc w:val="both"/>
        <w:rPr>
          <w:rFonts w:ascii="Times New Roman" w:hAnsi="Times New Roman"/>
          <w:sz w:val="24"/>
          <w:szCs w:val="24"/>
          <w:lang w:val="es-ES" w:eastAsia="es-US"/>
        </w:rPr>
      </w:pP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 xml:space="preserve">En el 2007, en el </w:t>
      </w:r>
      <w:hyperlink r:id="rId24" w:history="1">
        <w:r>
          <w:rPr>
            <w:rStyle w:val="Hyperlink"/>
            <w:rFonts w:ascii="Times New Roman" w:hAnsi="Times New Roman"/>
            <w:sz w:val="24"/>
            <w:szCs w:val="24"/>
            <w:lang w:val="es-ES" w:eastAsia="es-US"/>
          </w:rPr>
          <w:t>informe JIU/REP/2007/6 sobre Gestión de los conocimientos en el sistema de las Naciones Unidas</w:t>
        </w:r>
      </w:hyperlink>
      <w:r>
        <w:rPr>
          <w:rFonts w:ascii="Times New Roman" w:hAnsi="Times New Roman"/>
          <w:i/>
          <w:sz w:val="24"/>
          <w:szCs w:val="24"/>
          <w:lang w:val="es-ES" w:eastAsia="es-US"/>
        </w:rPr>
        <w:t xml:space="preserve"> </w:t>
      </w:r>
      <w:r w:rsidRPr="00A366DD">
        <w:rPr>
          <w:rFonts w:ascii="Times New Roman" w:hAnsi="Times New Roman"/>
          <w:sz w:val="24"/>
          <w:szCs w:val="24"/>
          <w:lang w:val="es-ES" w:eastAsia="es-US"/>
        </w:rPr>
        <w:t>(</w:t>
      </w:r>
      <w:r>
        <w:rPr>
          <w:rFonts w:ascii="Times New Roman" w:hAnsi="Times New Roman"/>
          <w:i/>
          <w:sz w:val="24"/>
          <w:szCs w:val="24"/>
          <w:lang w:val="es-ES" w:eastAsia="es-US"/>
        </w:rPr>
        <w:t>8</w:t>
      </w:r>
      <w:r w:rsidRPr="00A366DD">
        <w:rPr>
          <w:rFonts w:ascii="Times New Roman" w:hAnsi="Times New Roman"/>
          <w:sz w:val="24"/>
          <w:szCs w:val="24"/>
          <w:lang w:val="es-ES" w:eastAsia="es-US"/>
        </w:rPr>
        <w:t>)</w:t>
      </w:r>
      <w:r>
        <w:rPr>
          <w:rFonts w:ascii="Times New Roman" w:hAnsi="Times New Roman"/>
          <w:i/>
          <w:sz w:val="24"/>
          <w:szCs w:val="24"/>
          <w:lang w:val="es-ES" w:eastAsia="es-US"/>
        </w:rPr>
        <w:t xml:space="preserve"> </w:t>
      </w:r>
      <w:r>
        <w:rPr>
          <w:rFonts w:ascii="Times New Roman" w:hAnsi="Times New Roman"/>
          <w:sz w:val="24"/>
          <w:szCs w:val="24"/>
          <w:lang w:val="es-ES" w:eastAsia="es-US"/>
        </w:rPr>
        <w:t>se</w:t>
      </w:r>
      <w:r>
        <w:rPr>
          <w:rFonts w:ascii="Times New Roman" w:hAnsi="Times New Roman"/>
          <w:i/>
          <w:sz w:val="24"/>
          <w:szCs w:val="24"/>
          <w:lang w:val="es-ES" w:eastAsia="es-US"/>
        </w:rPr>
        <w:t xml:space="preserve"> </w:t>
      </w:r>
      <w:r>
        <w:rPr>
          <w:rFonts w:ascii="Times New Roman" w:hAnsi="Times New Roman"/>
          <w:sz w:val="24"/>
          <w:szCs w:val="24"/>
          <w:lang w:val="es-ES" w:eastAsia="es-US"/>
        </w:rPr>
        <w:t>analizaba el uso del término gestión del conocimiento en el marco de las Naciones Unidas.</w:t>
      </w:r>
    </w:p>
    <w:p w:rsidR="00110195" w:rsidRPr="00110195" w:rsidRDefault="00380790" w:rsidP="00110195">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 xml:space="preserve">En el 2009, la </w:t>
      </w:r>
      <w:r w:rsidR="00110195" w:rsidRPr="00110195">
        <w:rPr>
          <w:rFonts w:ascii="Times New Roman" w:hAnsi="Times New Roman"/>
          <w:sz w:val="24"/>
          <w:szCs w:val="24"/>
          <w:lang w:val="es-ES" w:eastAsia="es-US"/>
        </w:rPr>
        <w:t>Estrategia regional de gestión del conocimiento para apoyar a la salud pública de la Región del Mediterráneo Oriental</w:t>
      </w:r>
      <w:r w:rsidR="00110195">
        <w:rPr>
          <w:rFonts w:ascii="Times New Roman" w:hAnsi="Times New Roman"/>
          <w:sz w:val="24"/>
          <w:szCs w:val="24"/>
          <w:lang w:val="es-ES" w:eastAsia="es-US"/>
        </w:rPr>
        <w:t xml:space="preserve"> </w:t>
      </w:r>
      <w:r w:rsidR="00110195" w:rsidRPr="00110195">
        <w:rPr>
          <w:rFonts w:ascii="Times New Roman" w:hAnsi="Times New Roman"/>
          <w:sz w:val="24"/>
          <w:szCs w:val="24"/>
          <w:lang w:val="es-ES" w:eastAsia="es-US"/>
        </w:rPr>
        <w:t>(resolución EM/RC53/R.10</w:t>
      </w:r>
      <w:r w:rsidR="00110195" w:rsidRPr="00F6110C">
        <w:rPr>
          <w:rStyle w:val="Hyperlink"/>
          <w:rFonts w:ascii="Times New Roman" w:hAnsi="Times New Roman"/>
          <w:color w:val="auto"/>
          <w:sz w:val="24"/>
          <w:szCs w:val="24"/>
          <w:u w:val="none"/>
          <w:lang w:val="es-ES" w:eastAsia="es-US"/>
        </w:rPr>
        <w:t>)</w:t>
      </w:r>
      <w:r>
        <w:rPr>
          <w:rFonts w:ascii="Times New Roman" w:hAnsi="Times New Roman"/>
          <w:sz w:val="24"/>
          <w:szCs w:val="24"/>
          <w:lang w:val="es-ES" w:eastAsia="es-US"/>
        </w:rPr>
        <w:t xml:space="preserve"> </w:t>
      </w:r>
      <w:r w:rsidRPr="00A366DD">
        <w:rPr>
          <w:rFonts w:ascii="Times New Roman" w:hAnsi="Times New Roman"/>
          <w:sz w:val="24"/>
          <w:szCs w:val="24"/>
          <w:lang w:val="es-ES" w:eastAsia="es-US"/>
        </w:rPr>
        <w:t>(</w:t>
      </w:r>
      <w:r>
        <w:rPr>
          <w:rFonts w:ascii="Times New Roman" w:hAnsi="Times New Roman"/>
          <w:i/>
          <w:sz w:val="24"/>
          <w:szCs w:val="24"/>
          <w:lang w:val="es-ES" w:eastAsia="es-US"/>
        </w:rPr>
        <w:t>9</w:t>
      </w:r>
      <w:r w:rsidRPr="00A366DD">
        <w:rPr>
          <w:rFonts w:ascii="Times New Roman" w:hAnsi="Times New Roman"/>
          <w:sz w:val="24"/>
          <w:szCs w:val="24"/>
          <w:lang w:val="es-ES" w:eastAsia="es-US"/>
        </w:rPr>
        <w:t>)</w:t>
      </w:r>
      <w:r>
        <w:rPr>
          <w:rFonts w:ascii="Times New Roman" w:hAnsi="Times New Roman"/>
          <w:sz w:val="24"/>
          <w:szCs w:val="24"/>
          <w:lang w:val="es-ES" w:eastAsia="es-US"/>
        </w:rPr>
        <w:t>, instó a los países a tomar medidas hacia la institucionalización de las actividades sobre gestión del conocimiento, a desarrollar la capacidad y hacer pleno uso de los conocimientos de salud disponibles.</w:t>
      </w:r>
    </w:p>
    <w:p w:rsidR="00380790" w:rsidRPr="00C227A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sidRPr="00C227A0">
        <w:rPr>
          <w:rFonts w:ascii="Times New Roman" w:hAnsi="Times New Roman"/>
          <w:sz w:val="24"/>
          <w:szCs w:val="24"/>
          <w:lang w:val="es-ES" w:eastAsia="es-US"/>
        </w:rPr>
        <w:t xml:space="preserve">En noviembre del 2010, la Tercera Conferencia Ministerial sobre la Sociedad de la Información de América Latina y el Caribe realizada en Lima (Perú) estableció su </w:t>
      </w:r>
      <w:hyperlink r:id="rId25" w:history="1">
        <w:r w:rsidRPr="00C227A0">
          <w:rPr>
            <w:rStyle w:val="Hyperlink"/>
            <w:rFonts w:ascii="Times New Roman" w:hAnsi="Times New Roman"/>
            <w:sz w:val="24"/>
            <w:szCs w:val="24"/>
            <w:lang w:val="es-ES" w:eastAsia="es-US"/>
          </w:rPr>
          <w:t>Plan de Acción sobre la Sociedad de la Información y del Conocimiento de América Latina y el Caribe</w:t>
        </w:r>
      </w:hyperlink>
      <w:r w:rsidR="00C227A0" w:rsidRPr="00C227A0">
        <w:rPr>
          <w:rFonts w:ascii="Times New Roman" w:hAnsi="Times New Roman"/>
          <w:sz w:val="24"/>
          <w:szCs w:val="24"/>
        </w:rPr>
        <w:t xml:space="preserve"> (</w:t>
      </w:r>
      <w:r w:rsidR="00C227A0" w:rsidRPr="00C227A0">
        <w:rPr>
          <w:rFonts w:ascii="Times New Roman" w:hAnsi="Times New Roman"/>
          <w:i/>
          <w:sz w:val="24"/>
          <w:szCs w:val="24"/>
        </w:rPr>
        <w:t>12</w:t>
      </w:r>
      <w:r w:rsidR="00C227A0" w:rsidRPr="00C227A0">
        <w:rPr>
          <w:rFonts w:ascii="Times New Roman" w:hAnsi="Times New Roman"/>
          <w:sz w:val="24"/>
          <w:szCs w:val="24"/>
        </w:rPr>
        <w:t>)</w:t>
      </w:r>
      <w:r w:rsidRPr="00A366DD">
        <w:rPr>
          <w:rFonts w:ascii="Times New Roman" w:hAnsi="Times New Roman"/>
          <w:sz w:val="24"/>
          <w:szCs w:val="24"/>
          <w:lang w:val="es-ES" w:eastAsia="es-US"/>
        </w:rPr>
        <w:t>.</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 xml:space="preserve">En el 2011, fue aprobada la nueva </w:t>
      </w:r>
      <w:hyperlink r:id="rId26" w:history="1">
        <w:r>
          <w:rPr>
            <w:rFonts w:ascii="Times New Roman" w:hAnsi="Times New Roman"/>
            <w:color w:val="0000FF"/>
            <w:sz w:val="24"/>
            <w:szCs w:val="24"/>
            <w:u w:val="single"/>
            <w:lang w:val="es-ES" w:eastAsia="es-US"/>
          </w:rPr>
          <w:t>Estrategia de gestión del conocimiento y comunicaciones para todas las entidades de la Oficina</w:t>
        </w:r>
      </w:hyperlink>
      <w:r>
        <w:rPr>
          <w:rFonts w:ascii="Times New Roman" w:hAnsi="Times New Roman"/>
          <w:color w:val="0000FF"/>
          <w:sz w:val="24"/>
          <w:szCs w:val="24"/>
          <w:u w:val="single"/>
          <w:lang w:val="es-ES" w:eastAsia="es-US"/>
        </w:rPr>
        <w:t xml:space="preserve"> Sanitaria </w:t>
      </w:r>
      <w:r w:rsidRPr="00D82F2B">
        <w:rPr>
          <w:rFonts w:ascii="Times New Roman" w:hAnsi="Times New Roman"/>
          <w:color w:val="0000FF"/>
          <w:sz w:val="24"/>
          <w:szCs w:val="24"/>
          <w:u w:val="single"/>
          <w:lang w:val="es-ES" w:eastAsia="es-US"/>
        </w:rPr>
        <w:t>Panamericana</w:t>
      </w:r>
      <w:r w:rsidRPr="00D82F2B">
        <w:rPr>
          <w:rFonts w:ascii="Times New Roman" w:hAnsi="Times New Roman"/>
          <w:color w:val="0000FF"/>
          <w:sz w:val="24"/>
          <w:szCs w:val="24"/>
          <w:lang w:val="es-ES" w:eastAsia="es-US"/>
        </w:rPr>
        <w:t xml:space="preserve"> </w:t>
      </w:r>
      <w:r w:rsidRPr="00D82F2B">
        <w:rPr>
          <w:rFonts w:ascii="Times New Roman" w:hAnsi="Times New Roman"/>
          <w:color w:val="auto"/>
          <w:sz w:val="24"/>
          <w:szCs w:val="24"/>
          <w:lang w:val="es-ES" w:eastAsia="es-US"/>
        </w:rPr>
        <w:t>(OSP)</w:t>
      </w:r>
      <w:r w:rsidRPr="00D82F2B">
        <w:rPr>
          <w:rFonts w:ascii="Times New Roman" w:hAnsi="Times New Roman"/>
          <w:i/>
          <w:color w:val="auto"/>
          <w:sz w:val="24"/>
          <w:szCs w:val="24"/>
          <w:lang w:val="es-ES" w:eastAsia="es-US"/>
        </w:rPr>
        <w:t xml:space="preserve"> </w:t>
      </w:r>
      <w:r w:rsidRPr="00A366DD">
        <w:rPr>
          <w:rFonts w:ascii="Times New Roman" w:hAnsi="Times New Roman"/>
          <w:sz w:val="24"/>
          <w:szCs w:val="24"/>
          <w:lang w:val="es-ES" w:eastAsia="es-US"/>
        </w:rPr>
        <w:t>(</w:t>
      </w:r>
      <w:r>
        <w:rPr>
          <w:rFonts w:ascii="Times New Roman" w:hAnsi="Times New Roman"/>
          <w:i/>
          <w:sz w:val="24"/>
          <w:szCs w:val="24"/>
          <w:lang w:val="es-ES" w:eastAsia="es-US"/>
        </w:rPr>
        <w:t>10</w:t>
      </w:r>
      <w:r w:rsidRPr="00A366DD">
        <w:rPr>
          <w:rFonts w:ascii="Times New Roman" w:hAnsi="Times New Roman"/>
          <w:sz w:val="24"/>
          <w:szCs w:val="24"/>
          <w:lang w:val="es-ES" w:eastAsia="es-US"/>
        </w:rPr>
        <w:t>)</w:t>
      </w:r>
      <w:r>
        <w:rPr>
          <w:rFonts w:ascii="Times New Roman" w:hAnsi="Times New Roman"/>
          <w:sz w:val="24"/>
          <w:szCs w:val="24"/>
          <w:lang w:val="es-ES" w:eastAsia="es-US"/>
        </w:rPr>
        <w:t>, que sirve como guía para todas las entidades, incluyendo oficinas de país y centros especializados de la Organización para la adopción de prácticas, políticas, normas y procedimientos de gestión del conocimiento y comunicaciones. En esta estrategia se define el último estado deseado: la OPS como un catalizador del uso eficiente de la comunicación para el logro y el mantenimiento de la salud.</w:t>
      </w:r>
    </w:p>
    <w:p w:rsidR="00380790" w:rsidRDefault="00380790">
      <w:pPr>
        <w:pStyle w:val="ListParagraph"/>
        <w:numPr>
          <w:ilvl w:val="0"/>
          <w:numId w:val="11"/>
        </w:numPr>
        <w:tabs>
          <w:tab w:val="left" w:pos="720"/>
        </w:tabs>
        <w:spacing w:after="240" w:line="240" w:lineRule="auto"/>
        <w:ind w:left="0" w:firstLine="0"/>
        <w:jc w:val="both"/>
        <w:rPr>
          <w:rFonts w:ascii="Times New Roman" w:hAnsi="Times New Roman"/>
          <w:sz w:val="24"/>
          <w:szCs w:val="24"/>
          <w:lang w:val="es-ES" w:eastAsia="es-US"/>
        </w:rPr>
      </w:pPr>
      <w:r>
        <w:rPr>
          <w:rFonts w:ascii="Times New Roman" w:hAnsi="Times New Roman"/>
          <w:sz w:val="24"/>
          <w:szCs w:val="24"/>
          <w:lang w:val="es-ES" w:eastAsia="es-US"/>
        </w:rPr>
        <w:t xml:space="preserve">En septiembre del 2011, fue aprobada la </w:t>
      </w:r>
      <w:hyperlink r:id="rId27" w:history="1">
        <w:r>
          <w:rPr>
            <w:rStyle w:val="Hyperlink"/>
            <w:rFonts w:ascii="Times New Roman" w:hAnsi="Times New Roman"/>
            <w:sz w:val="24"/>
            <w:szCs w:val="24"/>
            <w:lang w:val="es-ES" w:eastAsia="es-US"/>
          </w:rPr>
          <w:t xml:space="preserve">Estrategia y Plan de acción sobre </w:t>
        </w:r>
        <w:proofErr w:type="spellStart"/>
        <w:r>
          <w:rPr>
            <w:rStyle w:val="Hyperlink"/>
            <w:rFonts w:ascii="Times New Roman" w:hAnsi="Times New Roman"/>
            <w:i/>
            <w:sz w:val="24"/>
            <w:szCs w:val="24"/>
            <w:lang w:val="es-ES" w:eastAsia="es-US"/>
          </w:rPr>
          <w:t>eSalud</w:t>
        </w:r>
        <w:proofErr w:type="spellEnd"/>
        <w:r>
          <w:rPr>
            <w:rStyle w:val="Hyperlink"/>
            <w:rFonts w:ascii="Times New Roman" w:hAnsi="Times New Roman"/>
            <w:sz w:val="24"/>
            <w:szCs w:val="24"/>
            <w:lang w:val="es-ES" w:eastAsia="es-US"/>
          </w:rPr>
          <w:t xml:space="preserve"> </w:t>
        </w:r>
        <w:r w:rsidR="00F6110C">
          <w:rPr>
            <w:rStyle w:val="Hyperlink"/>
            <w:rFonts w:ascii="Times New Roman" w:hAnsi="Times New Roman"/>
            <w:color w:val="auto"/>
            <w:sz w:val="24"/>
            <w:szCs w:val="24"/>
            <w:u w:val="none"/>
            <w:lang w:val="es-ES" w:eastAsia="es-US"/>
          </w:rPr>
          <w:t>de la OPS</w:t>
        </w:r>
        <w:r w:rsidRPr="00F6110C">
          <w:rPr>
            <w:rStyle w:val="Hyperlink"/>
            <w:rFonts w:ascii="Times New Roman" w:hAnsi="Times New Roman"/>
            <w:color w:val="auto"/>
            <w:sz w:val="24"/>
            <w:szCs w:val="24"/>
            <w:u w:val="none"/>
            <w:lang w:val="es-ES" w:eastAsia="es-US"/>
          </w:rPr>
          <w:t xml:space="preserve"> </w:t>
        </w:r>
        <w:r w:rsidR="00F6110C">
          <w:rPr>
            <w:rStyle w:val="Hyperlink"/>
            <w:rFonts w:ascii="Times New Roman" w:hAnsi="Times New Roman"/>
            <w:color w:val="auto"/>
            <w:sz w:val="24"/>
            <w:szCs w:val="24"/>
            <w:u w:val="none"/>
            <w:lang w:val="es-ES" w:eastAsia="es-US"/>
          </w:rPr>
          <w:t>(</w:t>
        </w:r>
        <w:r w:rsidRPr="00F6110C">
          <w:rPr>
            <w:rStyle w:val="Hyperlink"/>
            <w:rFonts w:ascii="Times New Roman" w:hAnsi="Times New Roman"/>
            <w:color w:val="auto"/>
            <w:sz w:val="24"/>
            <w:szCs w:val="24"/>
            <w:u w:val="none"/>
            <w:lang w:val="es-ES" w:eastAsia="es-US"/>
          </w:rPr>
          <w:t>documento CD51/13</w:t>
        </w:r>
      </w:hyperlink>
      <w:r w:rsidR="00F6110C" w:rsidRPr="00F6110C">
        <w:rPr>
          <w:rStyle w:val="Hyperlink"/>
          <w:rFonts w:ascii="Times New Roman" w:hAnsi="Times New Roman"/>
          <w:color w:val="auto"/>
          <w:sz w:val="24"/>
          <w:szCs w:val="24"/>
          <w:u w:val="none"/>
          <w:lang w:val="es-ES" w:eastAsia="es-US"/>
        </w:rPr>
        <w:t>)</w:t>
      </w:r>
      <w:r>
        <w:rPr>
          <w:rFonts w:ascii="Times New Roman" w:hAnsi="Times New Roman"/>
          <w:sz w:val="24"/>
          <w:szCs w:val="24"/>
          <w:lang w:val="es-ES" w:eastAsia="es-US"/>
        </w:rPr>
        <w:t xml:space="preserve"> (</w:t>
      </w:r>
      <w:r>
        <w:rPr>
          <w:rFonts w:ascii="Times New Roman" w:hAnsi="Times New Roman"/>
          <w:i/>
          <w:sz w:val="24"/>
          <w:szCs w:val="24"/>
          <w:lang w:val="es-ES" w:eastAsia="es-US"/>
        </w:rPr>
        <w:t>11</w:t>
      </w:r>
      <w:r>
        <w:rPr>
          <w:rFonts w:ascii="Times New Roman" w:hAnsi="Times New Roman"/>
          <w:sz w:val="24"/>
          <w:szCs w:val="24"/>
          <w:lang w:val="es-ES" w:eastAsia="es-US"/>
        </w:rPr>
        <w:t>), cuyo propósito es contribuir al desarrollo sostenible de los sistemas de salud de los Estados Miembros.</w:t>
      </w:r>
    </w:p>
    <w:p w:rsidR="00380790" w:rsidRDefault="00380790">
      <w:pPr>
        <w:spacing w:after="240"/>
        <w:jc w:val="both"/>
        <w:outlineLvl w:val="0"/>
        <w:rPr>
          <w:b/>
          <w:bCs/>
          <w:kern w:val="36"/>
          <w:sz w:val="24"/>
          <w:szCs w:val="24"/>
          <w:lang w:val="es-ES" w:eastAsia="es-US"/>
        </w:rPr>
      </w:pPr>
      <w:r>
        <w:rPr>
          <w:b/>
          <w:bCs/>
          <w:kern w:val="36"/>
          <w:sz w:val="24"/>
          <w:szCs w:val="24"/>
          <w:lang w:val="es-ES" w:eastAsia="es-US"/>
        </w:rPr>
        <w:lastRenderedPageBreak/>
        <w:t xml:space="preserve">Análisis de la situación </w:t>
      </w:r>
    </w:p>
    <w:p w:rsidR="00380790" w:rsidRDefault="00380790">
      <w:pPr>
        <w:pStyle w:val="ListParagraph"/>
        <w:numPr>
          <w:ilvl w:val="0"/>
          <w:numId w:val="11"/>
        </w:numPr>
        <w:tabs>
          <w:tab w:val="left" w:pos="720"/>
        </w:tabs>
        <w:spacing w:after="240" w:line="240" w:lineRule="auto"/>
        <w:ind w:left="0" w:firstLine="0"/>
        <w:jc w:val="both"/>
        <w:rPr>
          <w:rFonts w:ascii="Times New Roman" w:hAnsi="Times New Roman"/>
          <w:sz w:val="24"/>
          <w:szCs w:val="24"/>
          <w:lang w:val="es-ES" w:eastAsia="es-US"/>
        </w:rPr>
      </w:pPr>
      <w:r>
        <w:rPr>
          <w:rFonts w:ascii="Times New Roman" w:hAnsi="Times New Roman"/>
          <w:sz w:val="24"/>
          <w:szCs w:val="24"/>
          <w:lang w:val="es-ES" w:eastAsia="es-US"/>
        </w:rPr>
        <w:t>En materia de gestión del conocimiento y comunicaciones se pueden identificar al menos cuatro grandes desafíos en la Región (</w:t>
      </w:r>
      <w:r>
        <w:rPr>
          <w:rFonts w:ascii="Times New Roman" w:hAnsi="Times New Roman"/>
          <w:i/>
          <w:sz w:val="24"/>
          <w:szCs w:val="24"/>
          <w:lang w:val="es-ES" w:eastAsia="es-US"/>
        </w:rPr>
        <w:t>1</w:t>
      </w:r>
      <w:r w:rsidR="00C227A0">
        <w:rPr>
          <w:rFonts w:ascii="Times New Roman" w:hAnsi="Times New Roman"/>
          <w:i/>
          <w:sz w:val="24"/>
          <w:szCs w:val="24"/>
          <w:lang w:val="es-ES" w:eastAsia="es-US"/>
        </w:rPr>
        <w:t>0</w:t>
      </w:r>
      <w:r>
        <w:rPr>
          <w:rFonts w:ascii="Times New Roman" w:hAnsi="Times New Roman"/>
          <w:sz w:val="24"/>
          <w:szCs w:val="24"/>
          <w:lang w:val="es-ES" w:eastAsia="es-US"/>
        </w:rPr>
        <w:t>):</w:t>
      </w:r>
    </w:p>
    <w:p w:rsidR="00380790" w:rsidRDefault="00380790">
      <w:pPr>
        <w:numPr>
          <w:ilvl w:val="0"/>
          <w:numId w:val="2"/>
        </w:numPr>
        <w:tabs>
          <w:tab w:val="clear" w:pos="360"/>
          <w:tab w:val="num" w:pos="720"/>
        </w:tabs>
        <w:spacing w:after="120"/>
        <w:ind w:left="720" w:hanging="720"/>
        <w:jc w:val="both"/>
        <w:rPr>
          <w:rStyle w:val="hps"/>
          <w:sz w:val="24"/>
          <w:szCs w:val="24"/>
          <w:lang w:val="es-ES" w:eastAsia="es-US"/>
        </w:rPr>
      </w:pPr>
      <w:r>
        <w:rPr>
          <w:rStyle w:val="hps"/>
          <w:sz w:val="24"/>
          <w:szCs w:val="24"/>
          <w:lang w:val="es-ES"/>
        </w:rPr>
        <w:t>La Región pierde muchas oportunidades para captar y promover el capital de conocimiento de los Estados Miembros en el área de la salud pública.</w:t>
      </w:r>
    </w:p>
    <w:p w:rsidR="00380790" w:rsidRDefault="00380790">
      <w:pPr>
        <w:numPr>
          <w:ilvl w:val="0"/>
          <w:numId w:val="2"/>
        </w:numPr>
        <w:tabs>
          <w:tab w:val="clear" w:pos="360"/>
          <w:tab w:val="num" w:pos="720"/>
        </w:tabs>
        <w:spacing w:after="120"/>
        <w:ind w:left="720" w:hanging="720"/>
        <w:jc w:val="both"/>
        <w:rPr>
          <w:rStyle w:val="hps"/>
          <w:sz w:val="24"/>
          <w:szCs w:val="24"/>
          <w:lang w:val="es-ES" w:eastAsia="es-US"/>
        </w:rPr>
      </w:pPr>
      <w:r>
        <w:rPr>
          <w:rStyle w:val="hps"/>
          <w:sz w:val="24"/>
          <w:szCs w:val="24"/>
          <w:lang w:val="es-ES"/>
        </w:rPr>
        <w:t>Hay una capacidad limitada en la Región para la gestión de la producción</w:t>
      </w:r>
      <w:r>
        <w:rPr>
          <w:sz w:val="24"/>
          <w:szCs w:val="24"/>
          <w:lang w:val="es-ES"/>
        </w:rPr>
        <w:t xml:space="preserve">, la clasificación, preservación y </w:t>
      </w:r>
      <w:r>
        <w:rPr>
          <w:rStyle w:val="hps"/>
          <w:sz w:val="24"/>
          <w:szCs w:val="24"/>
          <w:lang w:val="es-ES"/>
        </w:rPr>
        <w:t>difusión de información científica y técnica sobre salud.</w:t>
      </w:r>
    </w:p>
    <w:p w:rsidR="00380790" w:rsidRDefault="00380790">
      <w:pPr>
        <w:numPr>
          <w:ilvl w:val="0"/>
          <w:numId w:val="2"/>
        </w:numPr>
        <w:tabs>
          <w:tab w:val="clear" w:pos="360"/>
          <w:tab w:val="num" w:pos="720"/>
        </w:tabs>
        <w:spacing w:after="120"/>
        <w:ind w:left="720" w:hanging="720"/>
        <w:jc w:val="both"/>
        <w:rPr>
          <w:rStyle w:val="hps"/>
          <w:sz w:val="24"/>
          <w:szCs w:val="24"/>
          <w:lang w:val="es-ES" w:eastAsia="es-US"/>
        </w:rPr>
      </w:pPr>
      <w:r>
        <w:rPr>
          <w:sz w:val="24"/>
          <w:szCs w:val="24"/>
          <w:lang w:val="es-ES"/>
        </w:rPr>
        <w:t xml:space="preserve">El uso de las comunicaciones </w:t>
      </w:r>
      <w:r>
        <w:rPr>
          <w:rStyle w:val="hps"/>
          <w:sz w:val="24"/>
          <w:szCs w:val="24"/>
          <w:lang w:val="es-ES"/>
        </w:rPr>
        <w:t>(</w:t>
      </w:r>
      <w:r>
        <w:rPr>
          <w:sz w:val="24"/>
          <w:szCs w:val="24"/>
          <w:lang w:val="es-ES"/>
        </w:rPr>
        <w:t xml:space="preserve">información pública y </w:t>
      </w:r>
      <w:r>
        <w:rPr>
          <w:rStyle w:val="hps"/>
          <w:sz w:val="24"/>
          <w:szCs w:val="24"/>
          <w:lang w:val="es-ES"/>
        </w:rPr>
        <w:t>comunicación social</w:t>
      </w:r>
      <w:r>
        <w:rPr>
          <w:sz w:val="24"/>
          <w:szCs w:val="24"/>
          <w:lang w:val="es-ES"/>
        </w:rPr>
        <w:t xml:space="preserve">) </w:t>
      </w:r>
      <w:r>
        <w:rPr>
          <w:rStyle w:val="hps"/>
          <w:sz w:val="24"/>
          <w:szCs w:val="24"/>
          <w:lang w:val="es-ES"/>
        </w:rPr>
        <w:t>por los Estados Miembros como una herramienta para el logro y el mantenimiento de la salud</w:t>
      </w:r>
      <w:r>
        <w:rPr>
          <w:sz w:val="24"/>
          <w:szCs w:val="24"/>
          <w:lang w:val="es-ES"/>
        </w:rPr>
        <w:t xml:space="preserve"> es fragmentado y no suele considerarse como un componente al planificar estrategias de salud.</w:t>
      </w:r>
    </w:p>
    <w:p w:rsidR="00380790" w:rsidRDefault="00380790">
      <w:pPr>
        <w:numPr>
          <w:ilvl w:val="0"/>
          <w:numId w:val="2"/>
        </w:numPr>
        <w:tabs>
          <w:tab w:val="clear" w:pos="360"/>
          <w:tab w:val="num" w:pos="720"/>
        </w:tabs>
        <w:ind w:left="720" w:hanging="720"/>
        <w:jc w:val="both"/>
        <w:rPr>
          <w:rStyle w:val="hps"/>
          <w:sz w:val="24"/>
          <w:szCs w:val="24"/>
          <w:lang w:val="es-ES" w:eastAsia="es-US"/>
        </w:rPr>
      </w:pPr>
      <w:r>
        <w:rPr>
          <w:rStyle w:val="hps"/>
          <w:sz w:val="24"/>
          <w:szCs w:val="24"/>
          <w:lang w:val="es-ES"/>
        </w:rPr>
        <w:t xml:space="preserve">Las poblaciones y comunidades </w:t>
      </w:r>
      <w:r w:rsidR="00C15A2A">
        <w:rPr>
          <w:rStyle w:val="hps"/>
          <w:sz w:val="24"/>
          <w:szCs w:val="24"/>
          <w:lang w:val="es-ES"/>
        </w:rPr>
        <w:t>en situación de vulnerabilidad</w:t>
      </w:r>
      <w:r>
        <w:rPr>
          <w:rStyle w:val="hps"/>
          <w:sz w:val="24"/>
          <w:szCs w:val="24"/>
          <w:lang w:val="es-ES"/>
        </w:rPr>
        <w:t xml:space="preserve"> de la Región tienen un acceso desigual a la información sobre salud y a la comunicación</w:t>
      </w:r>
      <w:r>
        <w:rPr>
          <w:sz w:val="24"/>
          <w:szCs w:val="24"/>
          <w:lang w:val="es-ES"/>
        </w:rPr>
        <w:t xml:space="preserve">, con énfasis en </w:t>
      </w:r>
      <w:r>
        <w:rPr>
          <w:rStyle w:val="hps"/>
          <w:sz w:val="24"/>
          <w:szCs w:val="24"/>
          <w:lang w:val="es-ES"/>
        </w:rPr>
        <w:t>género y etnicidad.</w:t>
      </w:r>
    </w:p>
    <w:p w:rsidR="00380790" w:rsidRDefault="00380790">
      <w:pPr>
        <w:ind w:left="720"/>
        <w:jc w:val="both"/>
        <w:rPr>
          <w:sz w:val="24"/>
          <w:szCs w:val="24"/>
          <w:lang w:val="es-ES" w:eastAsia="es-US"/>
        </w:rPr>
      </w:pPr>
    </w:p>
    <w:p w:rsidR="00380790" w:rsidRDefault="00380790">
      <w:pPr>
        <w:pStyle w:val="ListParagraph"/>
        <w:numPr>
          <w:ilvl w:val="0"/>
          <w:numId w:val="11"/>
        </w:numPr>
        <w:tabs>
          <w:tab w:val="left" w:pos="720"/>
        </w:tabs>
        <w:spacing w:after="240" w:line="240" w:lineRule="auto"/>
        <w:ind w:left="0" w:firstLine="0"/>
        <w:jc w:val="both"/>
        <w:rPr>
          <w:rFonts w:ascii="Times New Roman" w:hAnsi="Times New Roman"/>
          <w:sz w:val="24"/>
          <w:szCs w:val="24"/>
          <w:lang w:val="es-ES" w:eastAsia="es-US"/>
        </w:rPr>
      </w:pPr>
      <w:r>
        <w:rPr>
          <w:rFonts w:ascii="Times New Roman" w:hAnsi="Times New Roman"/>
          <w:sz w:val="24"/>
          <w:szCs w:val="24"/>
          <w:lang w:val="es-ES" w:eastAsia="es-US"/>
        </w:rPr>
        <w:t>Se consideran fundamentales varios paradigmas nuevos que representan enfoques novedosos en materia de gestión del conocimiento y comunicaciones: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4230"/>
      </w:tblGrid>
      <w:tr w:rsidR="00380790" w:rsidRPr="00C0636B">
        <w:trPr>
          <w:trHeight w:val="432"/>
          <w:tblHeader/>
        </w:trPr>
        <w:tc>
          <w:tcPr>
            <w:tcW w:w="4410" w:type="dxa"/>
            <w:vAlign w:val="center"/>
          </w:tcPr>
          <w:p w:rsidR="00380790" w:rsidRPr="00C0636B" w:rsidRDefault="00380790" w:rsidP="00ED5E2E">
            <w:pPr>
              <w:spacing w:before="100" w:beforeAutospacing="1" w:after="100" w:afterAutospacing="1"/>
              <w:jc w:val="center"/>
              <w:rPr>
                <w:b/>
                <w:sz w:val="22"/>
                <w:szCs w:val="22"/>
                <w:lang w:val="es-ES" w:eastAsia="es-US"/>
              </w:rPr>
            </w:pPr>
            <w:r w:rsidRPr="00C0636B">
              <w:rPr>
                <w:b/>
                <w:sz w:val="22"/>
                <w:szCs w:val="22"/>
                <w:lang w:val="es-ES"/>
              </w:rPr>
              <w:t>Paradigmas anteriores</w:t>
            </w:r>
          </w:p>
        </w:tc>
        <w:tc>
          <w:tcPr>
            <w:tcW w:w="4230" w:type="dxa"/>
            <w:vAlign w:val="center"/>
          </w:tcPr>
          <w:p w:rsidR="00380790" w:rsidRPr="00C0636B" w:rsidRDefault="00380790" w:rsidP="00ED5E2E">
            <w:pPr>
              <w:spacing w:before="100" w:beforeAutospacing="1" w:after="100" w:afterAutospacing="1"/>
              <w:jc w:val="center"/>
              <w:rPr>
                <w:b/>
                <w:sz w:val="22"/>
                <w:szCs w:val="22"/>
                <w:lang w:val="es-ES" w:eastAsia="es-US"/>
              </w:rPr>
            </w:pPr>
            <w:r w:rsidRPr="00C0636B">
              <w:rPr>
                <w:b/>
                <w:sz w:val="22"/>
                <w:szCs w:val="22"/>
                <w:lang w:val="es-ES"/>
              </w:rPr>
              <w:t>Paradigmas nuevos</w:t>
            </w:r>
          </w:p>
        </w:tc>
      </w:tr>
      <w:tr w:rsidR="00380790" w:rsidRPr="00C0636B">
        <w:tc>
          <w:tcPr>
            <w:tcW w:w="4410" w:type="dxa"/>
            <w:tcMar>
              <w:top w:w="43" w:type="dxa"/>
              <w:left w:w="115" w:type="dxa"/>
              <w:bottom w:w="43"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Comunicación para intercambiar información</w:t>
            </w:r>
          </w:p>
        </w:tc>
        <w:tc>
          <w:tcPr>
            <w:tcW w:w="4230" w:type="dxa"/>
            <w:tcMar>
              <w:top w:w="43" w:type="dxa"/>
              <w:left w:w="115" w:type="dxa"/>
              <w:bottom w:w="43"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Comunicación para generar cambios</w:t>
            </w:r>
          </w:p>
        </w:tc>
      </w:tr>
      <w:tr w:rsidR="00380790" w:rsidRPr="00C0636B">
        <w:tc>
          <w:tcPr>
            <w:tcW w:w="441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Derechos de autor</w:t>
            </w:r>
          </w:p>
        </w:tc>
        <w:tc>
          <w:tcPr>
            <w:tcW w:w="423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Patrimonio creativo común</w:t>
            </w:r>
          </w:p>
        </w:tc>
      </w:tr>
      <w:tr w:rsidR="00380790" w:rsidRPr="00C0636B">
        <w:tc>
          <w:tcPr>
            <w:tcW w:w="441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Mensaje</w:t>
            </w:r>
          </w:p>
        </w:tc>
        <w:tc>
          <w:tcPr>
            <w:tcW w:w="423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Diálogo</w:t>
            </w:r>
          </w:p>
        </w:tc>
      </w:tr>
      <w:tr w:rsidR="00380790" w:rsidRPr="00750675">
        <w:tc>
          <w:tcPr>
            <w:tcW w:w="441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Un mensaje central</w:t>
            </w:r>
          </w:p>
        </w:tc>
        <w:tc>
          <w:tcPr>
            <w:tcW w:w="423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eastAsia="es-US"/>
              </w:rPr>
              <w:t>Varios mensajes coherentes y vinculados</w:t>
            </w:r>
          </w:p>
        </w:tc>
      </w:tr>
      <w:tr w:rsidR="00380790" w:rsidRPr="00750675">
        <w:tc>
          <w:tcPr>
            <w:tcW w:w="441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Producción individual</w:t>
            </w:r>
          </w:p>
        </w:tc>
        <w:tc>
          <w:tcPr>
            <w:tcW w:w="423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eastAsia="es-US"/>
              </w:rPr>
              <w:t>Creación de normas (nuevas formas de producción colectiva)</w:t>
            </w:r>
          </w:p>
        </w:tc>
      </w:tr>
      <w:tr w:rsidR="00380790" w:rsidRPr="00C0636B">
        <w:tc>
          <w:tcPr>
            <w:tcW w:w="441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Fuentes de información patentada</w:t>
            </w:r>
          </w:p>
        </w:tc>
        <w:tc>
          <w:tcPr>
            <w:tcW w:w="423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Fuentes abiertas</w:t>
            </w:r>
          </w:p>
        </w:tc>
      </w:tr>
      <w:tr w:rsidR="00380790" w:rsidRPr="00C0636B">
        <w:tc>
          <w:tcPr>
            <w:tcW w:w="441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Publicación</w:t>
            </w:r>
          </w:p>
        </w:tc>
        <w:tc>
          <w:tcPr>
            <w:tcW w:w="423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Producción de contenidos</w:t>
            </w:r>
          </w:p>
        </w:tc>
      </w:tr>
      <w:tr w:rsidR="00380790" w:rsidRPr="00750675">
        <w:tc>
          <w:tcPr>
            <w:tcW w:w="441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Venta de publicaciones</w:t>
            </w:r>
          </w:p>
        </w:tc>
        <w:tc>
          <w:tcPr>
            <w:tcW w:w="423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eastAsia="es-US"/>
              </w:rPr>
              <w:t>Acceso abierto a las publicaciones</w:t>
            </w:r>
          </w:p>
        </w:tc>
      </w:tr>
      <w:tr w:rsidR="00380790" w:rsidRPr="00750675">
        <w:tc>
          <w:tcPr>
            <w:tcW w:w="441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Público destinatario pasivo</w:t>
            </w:r>
          </w:p>
        </w:tc>
        <w:tc>
          <w:tcPr>
            <w:tcW w:w="423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Diferentes actores son participantes plenos</w:t>
            </w:r>
          </w:p>
        </w:tc>
      </w:tr>
      <w:tr w:rsidR="00380790" w:rsidRPr="00C0636B">
        <w:tc>
          <w:tcPr>
            <w:tcW w:w="441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Comunicación unidireccional</w:t>
            </w:r>
          </w:p>
        </w:tc>
        <w:tc>
          <w:tcPr>
            <w:tcW w:w="423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Comunicación multidireccional</w:t>
            </w:r>
          </w:p>
        </w:tc>
      </w:tr>
      <w:tr w:rsidR="00380790" w:rsidRPr="00750675">
        <w:tc>
          <w:tcPr>
            <w:tcW w:w="441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rPr>
              <w:t>Datos globales</w:t>
            </w:r>
          </w:p>
        </w:tc>
        <w:tc>
          <w:tcPr>
            <w:tcW w:w="4230" w:type="dxa"/>
            <w:tcMar>
              <w:top w:w="58" w:type="dxa"/>
              <w:left w:w="115" w:type="dxa"/>
              <w:bottom w:w="58" w:type="dxa"/>
              <w:right w:w="115" w:type="dxa"/>
            </w:tcMar>
            <w:vAlign w:val="center"/>
          </w:tcPr>
          <w:p w:rsidR="00380790" w:rsidRPr="00C0636B" w:rsidRDefault="00380790">
            <w:pPr>
              <w:spacing w:before="100" w:beforeAutospacing="1" w:after="100" w:afterAutospacing="1"/>
              <w:rPr>
                <w:sz w:val="22"/>
                <w:szCs w:val="22"/>
                <w:lang w:val="es-ES" w:eastAsia="es-US"/>
              </w:rPr>
            </w:pPr>
            <w:r w:rsidRPr="00C0636B">
              <w:rPr>
                <w:sz w:val="22"/>
                <w:szCs w:val="22"/>
                <w:lang w:val="es-ES" w:eastAsia="es-US"/>
              </w:rPr>
              <w:t>Datos desglosados según sexo, edad, grupo étnico, situación socioeconómica y otras variables</w:t>
            </w:r>
          </w:p>
        </w:tc>
      </w:tr>
    </w:tbl>
    <w:p w:rsidR="00380790" w:rsidRDefault="00380790">
      <w:pPr>
        <w:pStyle w:val="ListParagraph"/>
        <w:tabs>
          <w:tab w:val="left" w:pos="720"/>
        </w:tabs>
        <w:spacing w:after="240"/>
        <w:ind w:left="0"/>
        <w:jc w:val="both"/>
        <w:rPr>
          <w:rFonts w:ascii="Times New Roman" w:hAnsi="Times New Roman"/>
          <w:sz w:val="24"/>
          <w:szCs w:val="24"/>
          <w:lang w:val="es-ES" w:eastAsia="es-US"/>
        </w:rPr>
      </w:pP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lastRenderedPageBreak/>
        <w:t xml:space="preserve">Existe consenso en que el conocimiento científico actualizado contribuye a la equidad en el ámbito de la salud y al desarrollo de los sistemas de salud, al continuo mejoramiento de la atención sanitaria, a los procesos de definición de políticas y programas de salud, a sustentar las decisiones en los niveles de la salud colectiva e individual, así como al enfrentamiento de los problemas y a atender las prioridades de los países. </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A nivel regional, existen grandes diferencias entre los países con respecto a la producción, la difusión, el acceso y la utilización del conocimiento científico sobre salud debido a la diversidad de recursos humanos, de sistemas y de recursos tecnológicos. En general, la tasa de producción de información sobre salud es baja con respecto a la producción mundial (en el caso de MEDLINE, la Región representa sólo el 2,88% de la producción mundial)</w:t>
      </w:r>
      <w:r w:rsidR="00771D46">
        <w:rPr>
          <w:rFonts w:ascii="Times New Roman" w:hAnsi="Times New Roman"/>
          <w:sz w:val="24"/>
          <w:szCs w:val="24"/>
          <w:lang w:val="es-ES" w:eastAsia="es-US"/>
        </w:rPr>
        <w:t xml:space="preserve"> (</w:t>
      </w:r>
      <w:r w:rsidR="00771D46" w:rsidRPr="00CE0CAF">
        <w:rPr>
          <w:rFonts w:ascii="Times New Roman" w:hAnsi="Times New Roman"/>
          <w:i/>
          <w:sz w:val="24"/>
          <w:szCs w:val="24"/>
          <w:lang w:val="es-ES" w:eastAsia="es-US"/>
        </w:rPr>
        <w:t>13</w:t>
      </w:r>
      <w:r w:rsidR="00771D46">
        <w:rPr>
          <w:rFonts w:ascii="Times New Roman" w:hAnsi="Times New Roman"/>
          <w:sz w:val="24"/>
          <w:szCs w:val="24"/>
          <w:lang w:val="es-ES" w:eastAsia="es-US"/>
        </w:rPr>
        <w:t>)</w:t>
      </w:r>
      <w:r>
        <w:rPr>
          <w:rFonts w:ascii="Times New Roman" w:hAnsi="Times New Roman"/>
          <w:sz w:val="24"/>
          <w:szCs w:val="24"/>
          <w:lang w:val="es-ES" w:eastAsia="es-US"/>
        </w:rPr>
        <w:t>; los procedimientos de las instituciones en materia de gestión del conocimiento son débiles debido a la falta de infraestructura, normas y recursos; existen redes de información y conocimiento que deben ser fortalecidas y carecen de recursos financieros para apoyar estas iniciativas.</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rPr>
      </w:pPr>
      <w:r>
        <w:rPr>
          <w:rFonts w:ascii="Times New Roman" w:hAnsi="Times New Roman"/>
          <w:sz w:val="24"/>
          <w:szCs w:val="24"/>
        </w:rPr>
        <w:t xml:space="preserve">El acceso a las tecnologías de la información y la comunicación no es universal y muchos países y poblaciones de la Región disponen de manera desigual de las mismas. Un estudio realizado en el 2010 por la </w:t>
      </w:r>
      <w:hyperlink r:id="rId28" w:history="1">
        <w:r>
          <w:rPr>
            <w:rStyle w:val="Hyperlink"/>
            <w:rFonts w:ascii="Times New Roman" w:hAnsi="Times New Roman"/>
            <w:sz w:val="24"/>
            <w:szCs w:val="24"/>
          </w:rPr>
          <w:t>Unión Internacional de Telecomunicaciones</w:t>
        </w:r>
      </w:hyperlink>
      <w:r>
        <w:rPr>
          <w:rFonts w:ascii="Times New Roman" w:hAnsi="Times New Roman"/>
          <w:sz w:val="24"/>
          <w:szCs w:val="24"/>
        </w:rPr>
        <w:t xml:space="preserve"> (UIT) </w:t>
      </w:r>
      <w:r>
        <w:rPr>
          <w:rFonts w:ascii="Times New Roman" w:hAnsi="Times New Roman"/>
          <w:sz w:val="24"/>
          <w:szCs w:val="24"/>
          <w:lang w:eastAsia="es-ES"/>
        </w:rPr>
        <w:t>(</w:t>
      </w:r>
      <w:r w:rsidR="00771D46">
        <w:rPr>
          <w:rFonts w:ascii="Times New Roman" w:hAnsi="Times New Roman"/>
          <w:i/>
          <w:sz w:val="24"/>
          <w:szCs w:val="24"/>
          <w:lang w:eastAsia="es-ES"/>
        </w:rPr>
        <w:t>14</w:t>
      </w:r>
      <w:r>
        <w:rPr>
          <w:rFonts w:ascii="Times New Roman" w:hAnsi="Times New Roman"/>
          <w:sz w:val="24"/>
          <w:szCs w:val="24"/>
          <w:lang w:eastAsia="es-ES"/>
        </w:rPr>
        <w:t>), muestra que para la Región de las Américas la media de altas de línea fija por cada 100 habitantes es de 17,15 y de 83,27% en el caso de líneas móviles. En cuanto a la proporción de hogares con una computadora, la media es de 24,20% mientras que la media de hogares con acceso a Internet es de 13,30% siendo 25,2% la media de usuarios de Internet por cada 100 habitantes.</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rPr>
      </w:pPr>
      <w:r>
        <w:rPr>
          <w:rFonts w:ascii="Times New Roman" w:hAnsi="Times New Roman"/>
          <w:sz w:val="24"/>
          <w:szCs w:val="24"/>
        </w:rPr>
        <w:t>En la Región hay un esfuerzo continuo por organizar, clasificar, preservar y difundir la producción científica en ciencias de la salud. Algunos de ellos son la estrategia de la OPS Web 2.0, el Campus Virtual de Salud Pública, el Observatorio Regional de Salud Pública y la Biblioteca Virtual en Sal</w:t>
      </w:r>
      <w:r w:rsidR="00CE0CAF">
        <w:rPr>
          <w:rFonts w:ascii="Times New Roman" w:hAnsi="Times New Roman"/>
          <w:sz w:val="24"/>
          <w:szCs w:val="24"/>
        </w:rPr>
        <w:t xml:space="preserve">ud (BVS), una red científica y </w:t>
      </w:r>
      <w:r>
        <w:rPr>
          <w:rFonts w:ascii="Times New Roman" w:hAnsi="Times New Roman"/>
          <w:sz w:val="24"/>
          <w:szCs w:val="24"/>
        </w:rPr>
        <w:t>de sitios web sobre información técnica en materia de salud que hace uso de las tecnologías de la información y la comunicación. La BVS avanza hacia la consolidación como un espacio de integración de fuentes y flujos de información y para lograr una mayor interoperabilidad con las aplicaciones disponibles y los servicios de salud en línea, como los dispositivos móviles.</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eastAsia="es-US"/>
        </w:rPr>
      </w:pPr>
      <w:r>
        <w:rPr>
          <w:rFonts w:ascii="Times New Roman" w:hAnsi="Times New Roman"/>
          <w:sz w:val="24"/>
          <w:szCs w:val="24"/>
          <w:lang w:eastAsia="es-US"/>
        </w:rPr>
        <w:t xml:space="preserve">Distintos debates técnicos y tendencias sustentan la necesidad de formular una Estrategia y </w:t>
      </w:r>
      <w:r w:rsidR="00150312">
        <w:rPr>
          <w:rFonts w:ascii="Times New Roman" w:hAnsi="Times New Roman"/>
          <w:sz w:val="24"/>
          <w:szCs w:val="24"/>
          <w:lang w:eastAsia="es-US"/>
        </w:rPr>
        <w:t>P</w:t>
      </w:r>
      <w:r>
        <w:rPr>
          <w:rFonts w:ascii="Times New Roman" w:hAnsi="Times New Roman"/>
          <w:sz w:val="24"/>
          <w:szCs w:val="24"/>
          <w:lang w:eastAsia="es-US"/>
        </w:rPr>
        <w:t>lan de acción de gestión del conocimiento y las comunicaciones para la Región de las Américas, que asegure la convergencia de las actividades y apoye iniciativas mediante una Agenda Regional.</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rPr>
      </w:pPr>
      <w:r>
        <w:rPr>
          <w:rFonts w:ascii="Times New Roman" w:hAnsi="Times New Roman"/>
          <w:sz w:val="24"/>
          <w:szCs w:val="24"/>
        </w:rPr>
        <w:t xml:space="preserve">La gestión del conocimiento y comunicaciones, al facilitar el acceso a la tecnología y al conocimiento, ha demostrado servir para mejorar la calidad de vida de las personas. Por ende, se trata de un requisito indispensable para alcanzar los Objetivos de </w:t>
      </w:r>
      <w:r>
        <w:rPr>
          <w:rFonts w:ascii="Times New Roman" w:hAnsi="Times New Roman"/>
          <w:sz w:val="24"/>
          <w:szCs w:val="24"/>
        </w:rPr>
        <w:lastRenderedPageBreak/>
        <w:t>Desarrollo del Milenio (</w:t>
      </w:r>
      <w:r>
        <w:rPr>
          <w:rFonts w:ascii="Times New Roman" w:hAnsi="Times New Roman"/>
          <w:i/>
          <w:sz w:val="24"/>
          <w:szCs w:val="24"/>
        </w:rPr>
        <w:t>2</w:t>
      </w:r>
      <w:r>
        <w:rPr>
          <w:rFonts w:ascii="Times New Roman" w:hAnsi="Times New Roman"/>
          <w:sz w:val="24"/>
          <w:szCs w:val="24"/>
        </w:rPr>
        <w:t>), especialmente sus metas 4.A (“Reducir en dos terceras partes, entre 1990 y 2015, la mortalidad de niños menores de cinco años”), 5.A (“Reducir, entre 1990 y 2015, la mortalidad materna en tres cuartas partes”) y 8.F (“</w:t>
      </w:r>
      <w:r>
        <w:rPr>
          <w:rFonts w:ascii="Times New Roman" w:hAnsi="Times New Roman"/>
          <w:sz w:val="24"/>
          <w:szCs w:val="24"/>
          <w:lang w:eastAsia="es-ES"/>
        </w:rPr>
        <w:t>En colaboración con el sector privado, dar acceso a los beneficios de las nuevas tecnologías, en particular los de las tecnologías de la información y de las comunicaciones”).</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pacing w:val="-2"/>
          <w:sz w:val="24"/>
          <w:szCs w:val="24"/>
        </w:rPr>
      </w:pPr>
      <w:r>
        <w:rPr>
          <w:rFonts w:ascii="Times New Roman" w:hAnsi="Times New Roman"/>
          <w:sz w:val="24"/>
          <w:szCs w:val="24"/>
          <w:lang w:eastAsia="es-ES"/>
        </w:rPr>
        <w:t xml:space="preserve">Reconociendo que la Región es heterogénea y que los países y sus poblaciones tienen diferentes necesidades, idiomas y adoptan diversos métodos socioculturales para el mejoramiento de la salud, esta Estrategia y </w:t>
      </w:r>
      <w:r w:rsidR="00150312">
        <w:rPr>
          <w:rFonts w:ascii="Times New Roman" w:hAnsi="Times New Roman"/>
          <w:sz w:val="24"/>
          <w:szCs w:val="24"/>
          <w:lang w:eastAsia="es-ES"/>
        </w:rPr>
        <w:t>P</w:t>
      </w:r>
      <w:r>
        <w:rPr>
          <w:rFonts w:ascii="Times New Roman" w:hAnsi="Times New Roman"/>
          <w:sz w:val="24"/>
          <w:szCs w:val="24"/>
          <w:lang w:eastAsia="es-ES"/>
        </w:rPr>
        <w:t xml:space="preserve">lan de acción respeta y cumple con los siguientes principios y valores estipulados en la Agenda de Salud para las Américas (2008-2017) </w:t>
      </w:r>
      <w:r>
        <w:rPr>
          <w:rFonts w:ascii="Times New Roman" w:hAnsi="Times New Roman"/>
          <w:sz w:val="24"/>
          <w:szCs w:val="24"/>
        </w:rPr>
        <w:t>(</w:t>
      </w:r>
      <w:r w:rsidR="00771D46">
        <w:rPr>
          <w:rFonts w:ascii="Times New Roman" w:hAnsi="Times New Roman"/>
          <w:i/>
          <w:sz w:val="24"/>
          <w:szCs w:val="24"/>
        </w:rPr>
        <w:t>15</w:t>
      </w:r>
      <w:r>
        <w:rPr>
          <w:rFonts w:ascii="Times New Roman" w:hAnsi="Times New Roman"/>
          <w:sz w:val="24"/>
          <w:szCs w:val="24"/>
        </w:rPr>
        <w:t xml:space="preserve">): </w:t>
      </w:r>
      <w:r>
        <w:rPr>
          <w:rFonts w:ascii="Times New Roman" w:hAnsi="Times New Roman"/>
          <w:i/>
          <w:sz w:val="24"/>
          <w:szCs w:val="24"/>
        </w:rPr>
        <w:t>a)</w:t>
      </w:r>
      <w:r w:rsidR="00A366DD">
        <w:rPr>
          <w:rFonts w:ascii="Times New Roman" w:hAnsi="Times New Roman"/>
          <w:i/>
          <w:sz w:val="24"/>
          <w:szCs w:val="24"/>
        </w:rPr>
        <w:t xml:space="preserve"> </w:t>
      </w:r>
      <w:r>
        <w:rPr>
          <w:rFonts w:ascii="Times New Roman" w:hAnsi="Times New Roman"/>
          <w:spacing w:val="-2"/>
          <w:sz w:val="24"/>
          <w:szCs w:val="24"/>
        </w:rPr>
        <w:t xml:space="preserve">derechos humanos; </w:t>
      </w:r>
      <w:r>
        <w:rPr>
          <w:rFonts w:ascii="Times New Roman" w:hAnsi="Times New Roman"/>
          <w:i/>
          <w:spacing w:val="-2"/>
          <w:sz w:val="24"/>
          <w:szCs w:val="24"/>
        </w:rPr>
        <w:t>b)</w:t>
      </w:r>
      <w:r>
        <w:rPr>
          <w:rFonts w:ascii="Times New Roman" w:hAnsi="Times New Roman"/>
          <w:spacing w:val="-2"/>
          <w:sz w:val="24"/>
          <w:szCs w:val="24"/>
        </w:rPr>
        <w:t xml:space="preserve"> universalidad; </w:t>
      </w:r>
      <w:r>
        <w:rPr>
          <w:rFonts w:ascii="Times New Roman" w:hAnsi="Times New Roman"/>
          <w:i/>
          <w:spacing w:val="-2"/>
          <w:sz w:val="24"/>
          <w:szCs w:val="24"/>
        </w:rPr>
        <w:t>c)</w:t>
      </w:r>
      <w:r>
        <w:rPr>
          <w:rFonts w:ascii="Times New Roman" w:hAnsi="Times New Roman"/>
          <w:spacing w:val="-2"/>
          <w:sz w:val="24"/>
          <w:szCs w:val="24"/>
        </w:rPr>
        <w:t xml:space="preserve"> accesibilidad e </w:t>
      </w:r>
      <w:proofErr w:type="spellStart"/>
      <w:r>
        <w:rPr>
          <w:rFonts w:ascii="Times New Roman" w:hAnsi="Times New Roman"/>
          <w:spacing w:val="-2"/>
          <w:sz w:val="24"/>
          <w:szCs w:val="24"/>
        </w:rPr>
        <w:t>inclusividad</w:t>
      </w:r>
      <w:proofErr w:type="spellEnd"/>
      <w:r>
        <w:rPr>
          <w:rFonts w:ascii="Times New Roman" w:hAnsi="Times New Roman"/>
          <w:spacing w:val="-2"/>
          <w:sz w:val="24"/>
          <w:szCs w:val="24"/>
        </w:rPr>
        <w:t xml:space="preserve">; </w:t>
      </w:r>
      <w:r>
        <w:rPr>
          <w:rFonts w:ascii="Times New Roman" w:hAnsi="Times New Roman"/>
          <w:i/>
          <w:spacing w:val="-2"/>
          <w:sz w:val="24"/>
          <w:szCs w:val="24"/>
        </w:rPr>
        <w:t>d)</w:t>
      </w:r>
      <w:r>
        <w:rPr>
          <w:rFonts w:ascii="Times New Roman" w:hAnsi="Times New Roman"/>
          <w:spacing w:val="-2"/>
          <w:sz w:val="24"/>
          <w:szCs w:val="24"/>
        </w:rPr>
        <w:t xml:space="preserve"> solidaridad panamericana; </w:t>
      </w:r>
      <w:r>
        <w:rPr>
          <w:rFonts w:ascii="Times New Roman" w:hAnsi="Times New Roman"/>
          <w:i/>
          <w:spacing w:val="-2"/>
          <w:sz w:val="24"/>
          <w:szCs w:val="24"/>
        </w:rPr>
        <w:t>e)</w:t>
      </w:r>
      <w:r>
        <w:rPr>
          <w:rFonts w:ascii="Times New Roman" w:hAnsi="Times New Roman"/>
          <w:spacing w:val="-2"/>
          <w:sz w:val="24"/>
          <w:szCs w:val="24"/>
        </w:rPr>
        <w:t xml:space="preserve"> equidad en salud; y </w:t>
      </w:r>
      <w:r>
        <w:rPr>
          <w:rFonts w:ascii="Times New Roman" w:hAnsi="Times New Roman"/>
          <w:i/>
          <w:spacing w:val="-2"/>
          <w:sz w:val="24"/>
          <w:szCs w:val="24"/>
        </w:rPr>
        <w:t xml:space="preserve">f) </w:t>
      </w:r>
      <w:r>
        <w:rPr>
          <w:rFonts w:ascii="Times New Roman" w:hAnsi="Times New Roman"/>
          <w:sz w:val="24"/>
          <w:szCs w:val="24"/>
        </w:rPr>
        <w:t xml:space="preserve">participación social. </w:t>
      </w:r>
    </w:p>
    <w:p w:rsidR="00380790" w:rsidRDefault="00380790">
      <w:pPr>
        <w:spacing w:after="240"/>
        <w:jc w:val="both"/>
        <w:outlineLvl w:val="0"/>
        <w:rPr>
          <w:b/>
          <w:bCs/>
          <w:kern w:val="36"/>
          <w:sz w:val="24"/>
          <w:szCs w:val="24"/>
          <w:lang w:val="es-ES" w:eastAsia="es-US"/>
        </w:rPr>
      </w:pPr>
      <w:r>
        <w:rPr>
          <w:b/>
          <w:bCs/>
          <w:kern w:val="36"/>
          <w:sz w:val="24"/>
          <w:szCs w:val="24"/>
          <w:lang w:val="es-ES" w:eastAsia="es-US"/>
        </w:rPr>
        <w:t xml:space="preserve">Propuesta </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 xml:space="preserve">La Estrategia y </w:t>
      </w:r>
      <w:r w:rsidR="00150312">
        <w:rPr>
          <w:rFonts w:ascii="Times New Roman" w:hAnsi="Times New Roman"/>
          <w:sz w:val="24"/>
          <w:szCs w:val="24"/>
          <w:lang w:val="es-ES" w:eastAsia="es-US"/>
        </w:rPr>
        <w:t>P</w:t>
      </w:r>
      <w:r>
        <w:rPr>
          <w:rFonts w:ascii="Times New Roman" w:hAnsi="Times New Roman"/>
          <w:sz w:val="24"/>
          <w:szCs w:val="24"/>
          <w:lang w:val="es-ES" w:eastAsia="es-US"/>
        </w:rPr>
        <w:t>lan de acción sobre gestión del c</w:t>
      </w:r>
      <w:r w:rsidR="00046426">
        <w:rPr>
          <w:rFonts w:ascii="Times New Roman" w:hAnsi="Times New Roman"/>
          <w:sz w:val="24"/>
          <w:szCs w:val="24"/>
          <w:lang w:val="es-ES" w:eastAsia="es-US"/>
        </w:rPr>
        <w:t xml:space="preserve">onocimiento y </w:t>
      </w:r>
      <w:r>
        <w:rPr>
          <w:rFonts w:ascii="Times New Roman" w:hAnsi="Times New Roman"/>
          <w:sz w:val="24"/>
          <w:szCs w:val="24"/>
          <w:lang w:val="es-ES" w:eastAsia="es-US"/>
        </w:rPr>
        <w:t xml:space="preserve">comunicaciones del 2013 al 2018, se fundamenta en: </w:t>
      </w:r>
    </w:p>
    <w:p w:rsidR="00380790" w:rsidRDefault="00380790">
      <w:pPr>
        <w:numPr>
          <w:ilvl w:val="0"/>
          <w:numId w:val="2"/>
        </w:numPr>
        <w:tabs>
          <w:tab w:val="clear" w:pos="360"/>
          <w:tab w:val="num" w:pos="720"/>
        </w:tabs>
        <w:spacing w:after="120"/>
        <w:ind w:left="720" w:hanging="720"/>
        <w:jc w:val="both"/>
        <w:rPr>
          <w:sz w:val="24"/>
          <w:szCs w:val="24"/>
          <w:lang w:val="es-ES" w:eastAsia="ja-JP"/>
        </w:rPr>
      </w:pPr>
      <w:r>
        <w:rPr>
          <w:sz w:val="24"/>
          <w:szCs w:val="24"/>
          <w:lang w:val="es-ES" w:eastAsia="ja-JP"/>
        </w:rPr>
        <w:t>la instauración de políticas nacionales y regionales para promover el acceso libre y equitativo a la información basada en datos científicos sobre la salud como un derecho humano;</w:t>
      </w:r>
    </w:p>
    <w:p w:rsidR="00380790" w:rsidRDefault="00380790">
      <w:pPr>
        <w:numPr>
          <w:ilvl w:val="0"/>
          <w:numId w:val="2"/>
        </w:numPr>
        <w:tabs>
          <w:tab w:val="clear" w:pos="360"/>
          <w:tab w:val="num" w:pos="720"/>
        </w:tabs>
        <w:spacing w:after="120"/>
        <w:ind w:left="720" w:hanging="720"/>
        <w:jc w:val="both"/>
        <w:rPr>
          <w:sz w:val="24"/>
          <w:szCs w:val="24"/>
          <w:lang w:val="es-ES" w:eastAsia="ja-JP"/>
        </w:rPr>
      </w:pPr>
      <w:r>
        <w:rPr>
          <w:sz w:val="24"/>
          <w:szCs w:val="24"/>
          <w:lang w:val="es-ES" w:eastAsia="ja-JP"/>
        </w:rPr>
        <w:t>el acceso equitativo a la información, la innovación, la formación de redes, la optimización de recursos y el uso adecuado de las tecnologías de la información y la comunicación para lograr la interoperabilidad entre las fuentes y los sistemas de información sanitaria sin importar la ubicación geográfica;</w:t>
      </w:r>
    </w:p>
    <w:p w:rsidR="00380790" w:rsidRDefault="00380790">
      <w:pPr>
        <w:numPr>
          <w:ilvl w:val="0"/>
          <w:numId w:val="2"/>
        </w:numPr>
        <w:tabs>
          <w:tab w:val="clear" w:pos="360"/>
          <w:tab w:val="num" w:pos="720"/>
        </w:tabs>
        <w:spacing w:after="120"/>
        <w:ind w:left="720" w:hanging="720"/>
        <w:jc w:val="both"/>
        <w:rPr>
          <w:sz w:val="24"/>
          <w:szCs w:val="24"/>
          <w:lang w:val="es-ES" w:eastAsia="ja-JP"/>
        </w:rPr>
      </w:pPr>
      <w:r>
        <w:rPr>
          <w:sz w:val="24"/>
          <w:szCs w:val="24"/>
          <w:lang w:val="es-ES" w:eastAsia="ja-JP"/>
        </w:rPr>
        <w:t>personal sanitario de la Región capaz de funcionar en la “sociedad de la información”;</w:t>
      </w:r>
    </w:p>
    <w:p w:rsidR="00380790" w:rsidRDefault="00380790">
      <w:pPr>
        <w:numPr>
          <w:ilvl w:val="0"/>
          <w:numId w:val="2"/>
        </w:numPr>
        <w:tabs>
          <w:tab w:val="clear" w:pos="360"/>
          <w:tab w:val="num" w:pos="720"/>
        </w:tabs>
        <w:spacing w:after="120"/>
        <w:ind w:left="720" w:hanging="720"/>
        <w:jc w:val="both"/>
        <w:rPr>
          <w:sz w:val="24"/>
          <w:szCs w:val="24"/>
          <w:lang w:val="es-ES" w:eastAsia="ja-JP"/>
        </w:rPr>
      </w:pPr>
      <w:r>
        <w:rPr>
          <w:sz w:val="24"/>
          <w:szCs w:val="24"/>
          <w:lang w:val="es-ES" w:eastAsia="ja-JP"/>
        </w:rPr>
        <w:t>las alianzas para el desarrollo de competencias y donantes que financien proyectos para democratizar el acceso a fuentes de información sanitaria;</w:t>
      </w:r>
    </w:p>
    <w:p w:rsidR="00380790" w:rsidRDefault="00380790">
      <w:pPr>
        <w:numPr>
          <w:ilvl w:val="0"/>
          <w:numId w:val="2"/>
        </w:numPr>
        <w:tabs>
          <w:tab w:val="clear" w:pos="360"/>
          <w:tab w:val="num" w:pos="720"/>
        </w:tabs>
        <w:spacing w:after="120"/>
        <w:ind w:left="720" w:hanging="720"/>
        <w:jc w:val="both"/>
        <w:rPr>
          <w:sz w:val="24"/>
          <w:szCs w:val="24"/>
          <w:lang w:val="es-ES" w:eastAsia="ja-JP"/>
        </w:rPr>
      </w:pPr>
      <w:r>
        <w:rPr>
          <w:sz w:val="24"/>
          <w:szCs w:val="24"/>
          <w:lang w:val="es-ES" w:eastAsia="ja-JP"/>
        </w:rPr>
        <w:t>la preservación del patrimonio documental y de multimedios sobre ciencias de la salud;</w:t>
      </w:r>
    </w:p>
    <w:p w:rsidR="00380790" w:rsidRDefault="00380790">
      <w:pPr>
        <w:numPr>
          <w:ilvl w:val="0"/>
          <w:numId w:val="2"/>
        </w:numPr>
        <w:tabs>
          <w:tab w:val="clear" w:pos="360"/>
          <w:tab w:val="num" w:pos="720"/>
        </w:tabs>
        <w:spacing w:after="120"/>
        <w:ind w:left="720" w:hanging="720"/>
        <w:jc w:val="both"/>
        <w:rPr>
          <w:sz w:val="24"/>
          <w:szCs w:val="24"/>
          <w:lang w:val="es-ES" w:eastAsia="ja-JP"/>
        </w:rPr>
      </w:pPr>
      <w:r>
        <w:rPr>
          <w:sz w:val="24"/>
          <w:szCs w:val="24"/>
          <w:lang w:val="es-ES" w:eastAsia="ja-JP"/>
        </w:rPr>
        <w:t xml:space="preserve">la convergencia de las acciones con la estrategia de </w:t>
      </w:r>
      <w:proofErr w:type="spellStart"/>
      <w:r>
        <w:rPr>
          <w:i/>
          <w:sz w:val="24"/>
          <w:szCs w:val="24"/>
          <w:lang w:val="es-ES" w:eastAsia="ja-JP"/>
        </w:rPr>
        <w:t>eSalud</w:t>
      </w:r>
      <w:proofErr w:type="spellEnd"/>
      <w:r>
        <w:rPr>
          <w:sz w:val="24"/>
          <w:szCs w:val="24"/>
          <w:lang w:val="es-ES" w:eastAsia="ja-JP"/>
        </w:rPr>
        <w:t>;</w:t>
      </w:r>
    </w:p>
    <w:p w:rsidR="00380790" w:rsidRDefault="00380790">
      <w:pPr>
        <w:numPr>
          <w:ilvl w:val="0"/>
          <w:numId w:val="2"/>
        </w:numPr>
        <w:tabs>
          <w:tab w:val="clear" w:pos="360"/>
          <w:tab w:val="num" w:pos="720"/>
        </w:tabs>
        <w:spacing w:after="240"/>
        <w:ind w:left="720" w:hanging="720"/>
        <w:jc w:val="both"/>
        <w:rPr>
          <w:sz w:val="24"/>
          <w:szCs w:val="24"/>
          <w:lang w:val="es-ES" w:eastAsia="ja-JP"/>
        </w:rPr>
      </w:pPr>
      <w:r>
        <w:rPr>
          <w:sz w:val="24"/>
          <w:szCs w:val="24"/>
          <w:lang w:val="es-ES" w:eastAsia="ja-JP"/>
        </w:rPr>
        <w:t>la difusión óptima de información sobre salud al público general que permita tomar decisiones favorables al estado de salud de las poblaciones.</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 xml:space="preserve">Con la presente propuesta se procura apoyar a los Estados Miembros de la OPS en el mejoramiento continuo de la salud pública en la Región de las Américas por medio de la gestión del conocimiento y comunicaciones. </w:t>
      </w:r>
    </w:p>
    <w:p w:rsidR="00380790" w:rsidRDefault="00380790" w:rsidP="000C5D7B">
      <w:pPr>
        <w:keepNext/>
        <w:spacing w:after="240"/>
        <w:jc w:val="both"/>
        <w:outlineLvl w:val="0"/>
        <w:rPr>
          <w:b/>
          <w:bCs/>
          <w:kern w:val="36"/>
          <w:sz w:val="24"/>
          <w:szCs w:val="24"/>
          <w:lang w:val="es-ES" w:eastAsia="es-US"/>
        </w:rPr>
      </w:pPr>
      <w:r>
        <w:rPr>
          <w:b/>
          <w:bCs/>
          <w:kern w:val="36"/>
          <w:sz w:val="24"/>
          <w:szCs w:val="24"/>
          <w:lang w:val="es-ES" w:eastAsia="es-US"/>
        </w:rPr>
        <w:lastRenderedPageBreak/>
        <w:t xml:space="preserve">Estrategia y </w:t>
      </w:r>
      <w:r w:rsidR="00150312">
        <w:rPr>
          <w:b/>
          <w:bCs/>
          <w:kern w:val="36"/>
          <w:sz w:val="24"/>
          <w:szCs w:val="24"/>
          <w:lang w:val="es-ES" w:eastAsia="es-US"/>
        </w:rPr>
        <w:t>P</w:t>
      </w:r>
      <w:r>
        <w:rPr>
          <w:b/>
          <w:bCs/>
          <w:kern w:val="36"/>
          <w:sz w:val="24"/>
          <w:szCs w:val="24"/>
          <w:lang w:val="es-ES" w:eastAsia="es-US"/>
        </w:rPr>
        <w:t>lan de acción</w:t>
      </w:r>
    </w:p>
    <w:p w:rsidR="00380790" w:rsidRDefault="00380790" w:rsidP="000C5D7B">
      <w:pPr>
        <w:pStyle w:val="ListParagraph"/>
        <w:keepNext/>
        <w:numPr>
          <w:ilvl w:val="0"/>
          <w:numId w:val="11"/>
        </w:numPr>
        <w:tabs>
          <w:tab w:val="left" w:pos="720"/>
        </w:tabs>
        <w:spacing w:after="240" w:line="240" w:lineRule="auto"/>
        <w:ind w:left="0" w:firstLine="0"/>
        <w:contextualSpacing w:val="0"/>
        <w:jc w:val="both"/>
        <w:rPr>
          <w:rFonts w:ascii="Times New Roman" w:hAnsi="Times New Roman"/>
          <w:sz w:val="24"/>
          <w:szCs w:val="24"/>
          <w:lang w:val="es-ES" w:eastAsia="es-US"/>
        </w:rPr>
      </w:pPr>
      <w:r>
        <w:rPr>
          <w:rFonts w:ascii="Times New Roman" w:hAnsi="Times New Roman"/>
          <w:sz w:val="24"/>
          <w:szCs w:val="24"/>
          <w:lang w:val="es-ES" w:eastAsia="es-US"/>
        </w:rPr>
        <w:t xml:space="preserve">La Estrategia y </w:t>
      </w:r>
      <w:r w:rsidR="00150312">
        <w:rPr>
          <w:rFonts w:ascii="Times New Roman" w:hAnsi="Times New Roman"/>
          <w:sz w:val="24"/>
          <w:szCs w:val="24"/>
          <w:lang w:val="es-ES" w:eastAsia="es-US"/>
        </w:rPr>
        <w:t>P</w:t>
      </w:r>
      <w:r>
        <w:rPr>
          <w:rFonts w:ascii="Times New Roman" w:hAnsi="Times New Roman"/>
          <w:sz w:val="24"/>
          <w:szCs w:val="24"/>
          <w:lang w:val="es-ES" w:eastAsia="es-US"/>
        </w:rPr>
        <w:t xml:space="preserve">lan de acción incluye las siguientes metas y objetivos: </w:t>
      </w:r>
    </w:p>
    <w:p w:rsidR="00380790" w:rsidRDefault="00380790" w:rsidP="000C5D7B">
      <w:pPr>
        <w:keepNext/>
        <w:spacing w:after="240"/>
        <w:jc w:val="both"/>
        <w:outlineLvl w:val="1"/>
        <w:rPr>
          <w:b/>
          <w:bCs/>
          <w:sz w:val="24"/>
          <w:szCs w:val="24"/>
          <w:lang w:val="es-ES" w:eastAsia="es-US"/>
        </w:rPr>
      </w:pPr>
      <w:r>
        <w:rPr>
          <w:b/>
          <w:bCs/>
          <w:sz w:val="24"/>
          <w:szCs w:val="24"/>
          <w:lang w:val="es-ES" w:eastAsia="es-US"/>
        </w:rPr>
        <w:t>Meta 1: Promover la formulación, la ejecución y la evaluación de políticas públicas, normas y directrices para el desarrollo y difusión de información sanitaria y conocimientos sobre salud basados en datos científicos</w:t>
      </w:r>
      <w:r w:rsidR="00822190">
        <w:rPr>
          <w:b/>
          <w:bCs/>
          <w:sz w:val="24"/>
          <w:szCs w:val="24"/>
          <w:lang w:val="es-ES" w:eastAsia="es-US"/>
        </w:rPr>
        <w:t>.</w:t>
      </w:r>
      <w:r>
        <w:rPr>
          <w:b/>
          <w:bCs/>
          <w:sz w:val="24"/>
          <w:szCs w:val="24"/>
          <w:lang w:val="es-ES" w:eastAsia="es-US"/>
        </w:rPr>
        <w:t xml:space="preserve"> </w:t>
      </w:r>
    </w:p>
    <w:p w:rsidR="00380790" w:rsidRDefault="00380790">
      <w:pPr>
        <w:spacing w:after="240"/>
        <w:jc w:val="both"/>
        <w:rPr>
          <w:sz w:val="24"/>
          <w:szCs w:val="24"/>
          <w:lang w:val="es-ES" w:eastAsia="es-US"/>
        </w:rPr>
      </w:pPr>
      <w:r w:rsidRPr="00413694">
        <w:rPr>
          <w:b/>
          <w:i/>
          <w:sz w:val="24"/>
          <w:szCs w:val="24"/>
          <w:lang w:val="es-ES" w:eastAsia="es-US"/>
        </w:rPr>
        <w:t>Objetivo 1.1</w:t>
      </w:r>
      <w:r w:rsidR="008A5DFD">
        <w:rPr>
          <w:b/>
          <w:i/>
          <w:sz w:val="24"/>
          <w:szCs w:val="24"/>
          <w:lang w:val="es-ES" w:eastAsia="es-US"/>
        </w:rPr>
        <w:t>:</w:t>
      </w:r>
      <w:r>
        <w:rPr>
          <w:sz w:val="24"/>
          <w:szCs w:val="24"/>
          <w:lang w:val="es-ES" w:eastAsia="es-US"/>
        </w:rPr>
        <w:t xml:space="preserve"> Apoyar a los Estados Miembros en los procesos de formulación y adopción de políticas públicas, normas y directrices en materia de gestión del conocimiento y  comunicaciones sobre salud. </w:t>
      </w:r>
    </w:p>
    <w:p w:rsidR="00380790" w:rsidRDefault="00380790">
      <w:pPr>
        <w:keepNext/>
        <w:spacing w:after="240"/>
        <w:jc w:val="both"/>
        <w:rPr>
          <w:i/>
          <w:sz w:val="24"/>
          <w:szCs w:val="24"/>
          <w:lang w:val="es-ES" w:eastAsia="es-US"/>
        </w:rPr>
      </w:pPr>
      <w:r>
        <w:rPr>
          <w:i/>
          <w:sz w:val="24"/>
          <w:szCs w:val="24"/>
          <w:lang w:val="es-ES" w:eastAsia="es-US"/>
        </w:rPr>
        <w:t xml:space="preserve">Indicador </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1.1.1</w:t>
      </w:r>
      <w:r w:rsidR="008A5DFD">
        <w:rPr>
          <w:sz w:val="24"/>
          <w:szCs w:val="24"/>
          <w:lang w:val="es-ES" w:eastAsia="es-US"/>
        </w:rPr>
        <w:tab/>
      </w:r>
      <w:r>
        <w:rPr>
          <w:sz w:val="24"/>
          <w:szCs w:val="24"/>
          <w:lang w:val="es-ES" w:eastAsia="es-US"/>
        </w:rPr>
        <w:t>Número de Estados Miembros que cuentan con una política sobre temas relacionados con la gestión del conocimiento y comunicaciones sobre salud. (Línea de base: 3 [fuente: OSP/KMC</w:t>
      </w:r>
      <w:r>
        <w:rPr>
          <w:rStyle w:val="FootnoteReference"/>
          <w:rFonts w:ascii="Times New Roman" w:hAnsi="Times New Roman"/>
          <w:szCs w:val="24"/>
          <w:lang w:eastAsia="es-US"/>
        </w:rPr>
        <w:footnoteReference w:id="2"/>
      </w:r>
      <w:r>
        <w:rPr>
          <w:sz w:val="24"/>
          <w:szCs w:val="24"/>
          <w:lang w:val="es-ES" w:eastAsia="es-US"/>
        </w:rPr>
        <w:t xml:space="preserve">]. Meta: 15 para el 2017). </w:t>
      </w:r>
    </w:p>
    <w:p w:rsidR="00380790" w:rsidRDefault="00380790">
      <w:pPr>
        <w:spacing w:after="240"/>
        <w:jc w:val="both"/>
        <w:rPr>
          <w:sz w:val="24"/>
          <w:szCs w:val="24"/>
          <w:lang w:val="es-ES" w:eastAsia="es-US"/>
        </w:rPr>
      </w:pPr>
      <w:r w:rsidRPr="00413694">
        <w:rPr>
          <w:b/>
          <w:i/>
          <w:sz w:val="24"/>
          <w:szCs w:val="24"/>
          <w:lang w:val="es-ES" w:eastAsia="es-US"/>
        </w:rPr>
        <w:t>Objetivo 1.2</w:t>
      </w:r>
      <w:r w:rsidR="008A5DFD">
        <w:rPr>
          <w:b/>
          <w:i/>
          <w:sz w:val="24"/>
          <w:szCs w:val="24"/>
          <w:lang w:val="es-ES" w:eastAsia="es-US"/>
        </w:rPr>
        <w:t>:</w:t>
      </w:r>
      <w:r>
        <w:rPr>
          <w:sz w:val="24"/>
          <w:szCs w:val="24"/>
          <w:lang w:val="es-ES" w:eastAsia="es-US"/>
        </w:rPr>
        <w:t xml:space="preserve"> Ayudar a definir prioridades políticas para el nivel local, nacional y regional relacionadas con la gestión del conocimiento y comunicaciones sobre salud. </w:t>
      </w:r>
    </w:p>
    <w:p w:rsidR="00380790" w:rsidRDefault="00380790">
      <w:pPr>
        <w:spacing w:after="240"/>
        <w:jc w:val="both"/>
        <w:rPr>
          <w:i/>
          <w:sz w:val="24"/>
          <w:szCs w:val="24"/>
          <w:lang w:val="es-ES" w:eastAsia="es-US"/>
        </w:rPr>
      </w:pPr>
      <w:r>
        <w:rPr>
          <w:i/>
          <w:sz w:val="24"/>
          <w:szCs w:val="24"/>
          <w:lang w:val="es-ES" w:eastAsia="es-US"/>
        </w:rPr>
        <w:t xml:space="preserve">Indicadores </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1.2.1</w:t>
      </w:r>
      <w:r w:rsidR="008A5DFD">
        <w:rPr>
          <w:sz w:val="24"/>
          <w:szCs w:val="24"/>
          <w:lang w:val="es-ES" w:eastAsia="es-US"/>
        </w:rPr>
        <w:tab/>
      </w:r>
      <w:r>
        <w:rPr>
          <w:sz w:val="24"/>
          <w:szCs w:val="24"/>
          <w:lang w:val="es-ES" w:eastAsia="es-US"/>
        </w:rPr>
        <w:t xml:space="preserve">La OPS contará con un comité técnico asesor en materia de gestión del conocimiento y comunicaciones. (Línea de base: 0. Meta: 1 para el 2013). </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1.2.2</w:t>
      </w:r>
      <w:r w:rsidR="008A5DFD">
        <w:rPr>
          <w:sz w:val="24"/>
          <w:szCs w:val="24"/>
          <w:lang w:val="es-ES" w:eastAsia="es-US"/>
        </w:rPr>
        <w:tab/>
      </w:r>
      <w:r>
        <w:rPr>
          <w:sz w:val="24"/>
          <w:szCs w:val="24"/>
          <w:lang w:val="es-ES" w:eastAsia="es-US"/>
        </w:rPr>
        <w:t xml:space="preserve">La OPS y los Estados Miembros habrán definido las prioridades a nivel local, nacional y regional para el desarrollo de políticas de gestión del conocimiento y  comunicaciones sobre salud. (Línea de base: No. Meta: Sí para el 2016). </w:t>
      </w:r>
    </w:p>
    <w:p w:rsidR="00380790" w:rsidRDefault="00380790">
      <w:pPr>
        <w:spacing w:after="240"/>
        <w:jc w:val="both"/>
        <w:rPr>
          <w:sz w:val="24"/>
          <w:szCs w:val="24"/>
          <w:lang w:val="es-ES" w:eastAsia="es-US"/>
        </w:rPr>
      </w:pPr>
      <w:r w:rsidRPr="00413694">
        <w:rPr>
          <w:b/>
          <w:i/>
          <w:sz w:val="24"/>
          <w:szCs w:val="24"/>
          <w:lang w:val="es-ES" w:eastAsia="es-US"/>
        </w:rPr>
        <w:t>Objetivo 1.3</w:t>
      </w:r>
      <w:r w:rsidR="008A5DFD">
        <w:rPr>
          <w:b/>
          <w:i/>
          <w:sz w:val="24"/>
          <w:szCs w:val="24"/>
          <w:lang w:val="es-ES" w:eastAsia="es-US"/>
        </w:rPr>
        <w:t>:</w:t>
      </w:r>
      <w:r>
        <w:rPr>
          <w:sz w:val="24"/>
          <w:szCs w:val="24"/>
          <w:lang w:val="es-ES" w:eastAsia="es-US"/>
        </w:rPr>
        <w:t xml:space="preserve"> Consolidar un sistema regional para la evaluación y el análisis de las políticas de los Estados Miembros en materia de gestión del conocimiento y comunicaciones sobre salud. </w:t>
      </w:r>
    </w:p>
    <w:p w:rsidR="00380790" w:rsidRDefault="00380790">
      <w:pPr>
        <w:spacing w:after="240"/>
        <w:jc w:val="both"/>
        <w:rPr>
          <w:i/>
          <w:sz w:val="24"/>
          <w:szCs w:val="24"/>
          <w:lang w:val="es-ES" w:eastAsia="es-US"/>
        </w:rPr>
      </w:pPr>
      <w:r>
        <w:rPr>
          <w:i/>
          <w:sz w:val="24"/>
          <w:szCs w:val="24"/>
          <w:lang w:val="es-ES" w:eastAsia="es-US"/>
        </w:rPr>
        <w:t xml:space="preserve">Indicador </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1.3.1</w:t>
      </w:r>
      <w:r w:rsidR="008A5DFD">
        <w:rPr>
          <w:sz w:val="24"/>
          <w:szCs w:val="24"/>
          <w:lang w:val="es-ES" w:eastAsia="es-US"/>
        </w:rPr>
        <w:tab/>
      </w:r>
      <w:r>
        <w:rPr>
          <w:sz w:val="24"/>
          <w:szCs w:val="24"/>
          <w:lang w:val="es-ES" w:eastAsia="es-US"/>
        </w:rPr>
        <w:t xml:space="preserve">Para el 2014, funcionará un observatorio regional </w:t>
      </w:r>
      <w:r w:rsidR="00C15A2A">
        <w:rPr>
          <w:sz w:val="24"/>
          <w:szCs w:val="24"/>
          <w:lang w:val="es-ES" w:eastAsia="es-US"/>
        </w:rPr>
        <w:t xml:space="preserve">para los países de las Américas </w:t>
      </w:r>
      <w:r>
        <w:rPr>
          <w:sz w:val="24"/>
          <w:szCs w:val="24"/>
          <w:lang w:val="es-ES" w:eastAsia="es-US"/>
        </w:rPr>
        <w:t xml:space="preserve">destinado al análisis, evaluación y desarrollo de políticas, con metodologías y herramientas para dar apoyo a la aplicación de las políticas de gestión del conocimiento y comunicaciones sobre salud. (Línea de base: 0. Meta: 1 para el 2014). </w:t>
      </w:r>
    </w:p>
    <w:p w:rsidR="00380790" w:rsidRDefault="00380790" w:rsidP="00842279">
      <w:pPr>
        <w:keepNext/>
        <w:spacing w:after="240"/>
        <w:jc w:val="both"/>
        <w:outlineLvl w:val="1"/>
        <w:rPr>
          <w:b/>
          <w:bCs/>
          <w:sz w:val="24"/>
          <w:szCs w:val="24"/>
          <w:lang w:val="es-ES" w:eastAsia="es-US"/>
        </w:rPr>
      </w:pPr>
      <w:r>
        <w:rPr>
          <w:b/>
          <w:bCs/>
          <w:sz w:val="24"/>
          <w:szCs w:val="24"/>
          <w:lang w:val="es-ES" w:eastAsia="es-US"/>
        </w:rPr>
        <w:lastRenderedPageBreak/>
        <w:t>Meta 2: Apoyar iniciativas de salud pública por medio de la colaboración eficaz y el establecimiento de entornos que faciliten la creación, el acceso y la difusión del conocimiento sobre salud.</w:t>
      </w:r>
    </w:p>
    <w:p w:rsidR="00380790" w:rsidRDefault="00380790" w:rsidP="00842279">
      <w:pPr>
        <w:keepNext/>
        <w:spacing w:after="240"/>
        <w:jc w:val="both"/>
        <w:outlineLvl w:val="1"/>
        <w:rPr>
          <w:sz w:val="24"/>
          <w:szCs w:val="24"/>
          <w:lang w:val="es-ES" w:eastAsia="es-US"/>
        </w:rPr>
      </w:pPr>
      <w:r w:rsidRPr="004322FA">
        <w:rPr>
          <w:b/>
          <w:bCs/>
          <w:i/>
          <w:sz w:val="24"/>
          <w:szCs w:val="24"/>
          <w:lang w:val="es-ES" w:eastAsia="es-US"/>
        </w:rPr>
        <w:t>Objetivo 2.1</w:t>
      </w:r>
      <w:r w:rsidR="008A5DFD">
        <w:rPr>
          <w:b/>
          <w:bCs/>
          <w:i/>
          <w:sz w:val="24"/>
          <w:szCs w:val="24"/>
          <w:lang w:val="es-ES" w:eastAsia="es-US"/>
        </w:rPr>
        <w:t>:</w:t>
      </w:r>
      <w:r>
        <w:rPr>
          <w:bCs/>
          <w:sz w:val="24"/>
          <w:szCs w:val="24"/>
          <w:lang w:val="es-ES" w:eastAsia="es-US"/>
        </w:rPr>
        <w:t xml:space="preserve"> Promover un proceso de aprendizaje continuo para que las autoridades  sanitarias se conviertan en una fuente autorizada de información y conocimientos sobre salud.</w:t>
      </w:r>
    </w:p>
    <w:p w:rsidR="00380790" w:rsidRDefault="00380790">
      <w:pPr>
        <w:spacing w:after="240"/>
        <w:jc w:val="both"/>
        <w:outlineLvl w:val="1"/>
        <w:rPr>
          <w:i/>
          <w:sz w:val="24"/>
          <w:szCs w:val="24"/>
          <w:lang w:val="es-ES" w:eastAsia="es-US"/>
        </w:rPr>
      </w:pPr>
      <w:r>
        <w:rPr>
          <w:i/>
          <w:sz w:val="24"/>
          <w:szCs w:val="24"/>
          <w:lang w:val="es-ES" w:eastAsia="es-US"/>
        </w:rPr>
        <w:t xml:space="preserve">Indicadores </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2.1.1</w:t>
      </w:r>
      <w:r w:rsidR="008A5DFD">
        <w:rPr>
          <w:sz w:val="24"/>
          <w:szCs w:val="24"/>
          <w:lang w:val="es-ES" w:eastAsia="es-US"/>
        </w:rPr>
        <w:tab/>
      </w:r>
      <w:r>
        <w:rPr>
          <w:sz w:val="24"/>
          <w:szCs w:val="24"/>
          <w:lang w:val="es-ES" w:eastAsia="es-US"/>
        </w:rPr>
        <w:t xml:space="preserve">La OPS y los Estados Miembros habrán establecido una metodología de aprendizaje institucional, basada en un programa de alfabetización digital, para incorporar a sus modelos institucionales las enseñanzas extraídas y la experiencia adquirida en el desarrollo de sus actividades; las políticas y los procedimientos administrativos, lo que incluye prácticas adecuadas, proyectos exitosos e ideas innovadoras de redes y comunidades de práctica regionales, nacionales y temáticas (Línea de base: 0. Meta: 1 para el 2015). </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2.1.2</w:t>
      </w:r>
      <w:r w:rsidR="008A5DFD">
        <w:rPr>
          <w:sz w:val="24"/>
          <w:szCs w:val="24"/>
          <w:lang w:val="es-ES" w:eastAsia="es-US"/>
        </w:rPr>
        <w:tab/>
      </w:r>
      <w:r>
        <w:rPr>
          <w:sz w:val="24"/>
          <w:szCs w:val="24"/>
          <w:lang w:val="es-ES" w:eastAsia="es-US"/>
        </w:rPr>
        <w:t>La OPS y los Estados Miembros habrán establecido un marco que fortalezca la formación para profesionales y trabajadores de salud, gestores y formuladores de políticas, en el uso de la información científica para la toma de decisiones relacionadas con la salud. (Línea de base: 0. Meta: 1 para el 2015).</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2.1.3</w:t>
      </w:r>
      <w:r w:rsidR="008A5DFD">
        <w:rPr>
          <w:sz w:val="24"/>
          <w:szCs w:val="24"/>
          <w:lang w:val="es-ES" w:eastAsia="es-US"/>
        </w:rPr>
        <w:tab/>
      </w:r>
      <w:r>
        <w:rPr>
          <w:sz w:val="24"/>
          <w:szCs w:val="24"/>
          <w:lang w:val="es-ES" w:eastAsia="es-US"/>
        </w:rPr>
        <w:t xml:space="preserve">La OPS y los Estados Miembros habrán establecido un marco que fortalezca la formación para el desarrollo de capacidades nacionales para la producción, la gestión, el acceso, el uso y la evaluación de las tecnologías de la información y las comunicaciones para respaldar las prioridades de salud (Línea de base: 0. Meta: 1 para el 2015). </w:t>
      </w:r>
    </w:p>
    <w:p w:rsidR="00380790" w:rsidRDefault="00380790">
      <w:pPr>
        <w:spacing w:after="240"/>
        <w:jc w:val="both"/>
        <w:rPr>
          <w:sz w:val="24"/>
          <w:szCs w:val="24"/>
          <w:lang w:val="es-ES" w:eastAsia="es-US"/>
        </w:rPr>
      </w:pPr>
      <w:r w:rsidRPr="00413694">
        <w:rPr>
          <w:b/>
          <w:i/>
          <w:sz w:val="24"/>
          <w:szCs w:val="24"/>
          <w:lang w:val="es-ES" w:eastAsia="es-US"/>
        </w:rPr>
        <w:t>Objetivo 2.2</w:t>
      </w:r>
      <w:r w:rsidR="008A5DFD">
        <w:rPr>
          <w:b/>
          <w:i/>
          <w:sz w:val="24"/>
          <w:szCs w:val="24"/>
          <w:lang w:val="es-ES" w:eastAsia="es-US"/>
        </w:rPr>
        <w:t>:</w:t>
      </w:r>
      <w:r>
        <w:rPr>
          <w:sz w:val="24"/>
          <w:szCs w:val="24"/>
          <w:lang w:val="es-ES" w:eastAsia="es-US"/>
        </w:rPr>
        <w:t xml:space="preserve"> Fomentar el uso de plataformas de colaboración virtual y de metodologías que faciliten el intercambio de conocimiento y la colaboración eficaz. </w:t>
      </w:r>
    </w:p>
    <w:p w:rsidR="00380790" w:rsidRDefault="00380790">
      <w:pPr>
        <w:spacing w:after="240"/>
        <w:jc w:val="both"/>
        <w:rPr>
          <w:i/>
          <w:sz w:val="24"/>
          <w:szCs w:val="24"/>
          <w:lang w:val="es-ES" w:eastAsia="es-US"/>
        </w:rPr>
      </w:pPr>
      <w:r>
        <w:rPr>
          <w:i/>
          <w:sz w:val="24"/>
          <w:szCs w:val="24"/>
          <w:lang w:val="es-ES" w:eastAsia="es-US"/>
        </w:rPr>
        <w:t xml:space="preserve">Indicadores </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2.2.1</w:t>
      </w:r>
      <w:r w:rsidR="008A5DFD">
        <w:rPr>
          <w:sz w:val="24"/>
          <w:szCs w:val="24"/>
          <w:lang w:val="es-ES" w:eastAsia="es-US"/>
        </w:rPr>
        <w:tab/>
      </w:r>
      <w:r>
        <w:rPr>
          <w:sz w:val="24"/>
          <w:szCs w:val="24"/>
          <w:lang w:val="es-ES" w:eastAsia="es-US"/>
        </w:rPr>
        <w:t xml:space="preserve">La OPS y los Estados Miembros habrán establecido una metodología común para fomentar el uso de plataformas que faciliten la comunicación, el intercambio de conocimientos y la colaboración eficaz (Línea de base: 0. Meta: 1 para el 2014). </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2.2.2</w:t>
      </w:r>
      <w:r w:rsidR="008A5DFD">
        <w:rPr>
          <w:sz w:val="24"/>
          <w:szCs w:val="24"/>
          <w:lang w:val="es-ES" w:eastAsia="es-US"/>
        </w:rPr>
        <w:tab/>
      </w:r>
      <w:r>
        <w:rPr>
          <w:sz w:val="24"/>
          <w:szCs w:val="24"/>
          <w:lang w:val="es-ES" w:eastAsia="es-US"/>
        </w:rPr>
        <w:t>Número de Estados Miembros que utilizan plataformas de colaboración virtual para alcanzar sus objetivos (Línea de base: 20 [fuente: OSP/KMC]. Meta: 35 para el 2017).</w:t>
      </w:r>
    </w:p>
    <w:p w:rsidR="00380790" w:rsidRDefault="00380790">
      <w:pPr>
        <w:spacing w:after="240"/>
        <w:jc w:val="both"/>
        <w:rPr>
          <w:sz w:val="24"/>
          <w:szCs w:val="24"/>
          <w:lang w:val="es-ES" w:eastAsia="es-US"/>
        </w:rPr>
      </w:pPr>
      <w:r w:rsidRPr="00413694">
        <w:rPr>
          <w:b/>
          <w:i/>
          <w:sz w:val="24"/>
          <w:szCs w:val="24"/>
          <w:lang w:val="es-ES" w:eastAsia="es-US"/>
        </w:rPr>
        <w:lastRenderedPageBreak/>
        <w:t>Objetivo 2.3</w:t>
      </w:r>
      <w:r w:rsidR="008A5DFD">
        <w:rPr>
          <w:b/>
          <w:i/>
          <w:sz w:val="24"/>
          <w:szCs w:val="24"/>
          <w:lang w:val="es-ES" w:eastAsia="es-US"/>
        </w:rPr>
        <w:t>:</w:t>
      </w:r>
      <w:r>
        <w:rPr>
          <w:sz w:val="24"/>
          <w:szCs w:val="24"/>
          <w:lang w:val="es-ES" w:eastAsia="es-US"/>
        </w:rPr>
        <w:t xml:space="preserve"> Transformar los archivos, las bibliotecas y los centros de documentación en espacios de gestión del conocimiento para promover la promoción de la salud y el acceso democrático al conocimiento, sobre la base de la preservación del patrimonio científico, técnico y cultural de la salud pública y el uso de las nuevas tecnologías para la inclusión digital. </w:t>
      </w:r>
    </w:p>
    <w:p w:rsidR="00380790" w:rsidRDefault="00380790" w:rsidP="008317E3">
      <w:pPr>
        <w:keepNext/>
        <w:spacing w:after="240"/>
        <w:jc w:val="both"/>
        <w:rPr>
          <w:i/>
          <w:sz w:val="24"/>
          <w:szCs w:val="24"/>
          <w:lang w:val="es-ES" w:eastAsia="es-US"/>
        </w:rPr>
      </w:pPr>
      <w:r>
        <w:rPr>
          <w:i/>
          <w:sz w:val="24"/>
          <w:szCs w:val="24"/>
          <w:lang w:val="es-ES" w:eastAsia="es-US"/>
        </w:rPr>
        <w:t>Indicador</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2.3.1</w:t>
      </w:r>
      <w:r w:rsidR="008A5DFD">
        <w:rPr>
          <w:sz w:val="24"/>
          <w:szCs w:val="24"/>
          <w:lang w:val="es-ES" w:eastAsia="es-US"/>
        </w:rPr>
        <w:tab/>
      </w:r>
      <w:r>
        <w:rPr>
          <w:sz w:val="24"/>
          <w:szCs w:val="24"/>
          <w:lang w:val="es-ES" w:eastAsia="es-US"/>
        </w:rPr>
        <w:t xml:space="preserve">La OPS y los Estados Miembros habrán establecido un marco común para la transformación de los archivos, las bibliotecas y los centros de documentación, en el ámbito </w:t>
      </w:r>
      <w:r w:rsidR="00822190">
        <w:rPr>
          <w:sz w:val="24"/>
          <w:szCs w:val="24"/>
          <w:lang w:val="es-ES" w:eastAsia="es-US"/>
        </w:rPr>
        <w:t>de la salud</w:t>
      </w:r>
      <w:r>
        <w:rPr>
          <w:sz w:val="24"/>
          <w:szCs w:val="24"/>
          <w:lang w:val="es-ES" w:eastAsia="es-US"/>
        </w:rPr>
        <w:t>, en espacios de gestión del conocimiento (Línea de base: 0. Meta: 1 para el 2016).</w:t>
      </w:r>
    </w:p>
    <w:p w:rsidR="00380790" w:rsidRDefault="00380790">
      <w:pPr>
        <w:spacing w:after="240"/>
        <w:jc w:val="both"/>
        <w:rPr>
          <w:sz w:val="24"/>
          <w:szCs w:val="24"/>
          <w:lang w:val="es-ES" w:eastAsia="es-US"/>
        </w:rPr>
      </w:pPr>
      <w:r w:rsidRPr="00413694">
        <w:rPr>
          <w:b/>
          <w:i/>
          <w:sz w:val="24"/>
          <w:szCs w:val="24"/>
          <w:lang w:val="es-ES" w:eastAsia="es-US"/>
        </w:rPr>
        <w:t>Objetivo 2.4</w:t>
      </w:r>
      <w:r w:rsidR="008A5DFD">
        <w:rPr>
          <w:b/>
          <w:i/>
          <w:sz w:val="24"/>
          <w:szCs w:val="24"/>
          <w:lang w:val="es-ES" w:eastAsia="es-US"/>
        </w:rPr>
        <w:t>:</w:t>
      </w:r>
      <w:r>
        <w:rPr>
          <w:sz w:val="24"/>
          <w:szCs w:val="24"/>
          <w:lang w:val="es-ES" w:eastAsia="es-US"/>
        </w:rPr>
        <w:t xml:space="preserve"> Mejorar la visibilidad de la investigación sobre salud de los países de la Región.</w:t>
      </w:r>
    </w:p>
    <w:p w:rsidR="00380790" w:rsidRDefault="00380790">
      <w:pPr>
        <w:keepNext/>
        <w:spacing w:after="240"/>
        <w:jc w:val="both"/>
        <w:rPr>
          <w:i/>
          <w:sz w:val="24"/>
          <w:szCs w:val="24"/>
          <w:lang w:val="es-ES" w:eastAsia="es-US"/>
        </w:rPr>
      </w:pPr>
      <w:r>
        <w:rPr>
          <w:i/>
          <w:sz w:val="24"/>
          <w:szCs w:val="24"/>
          <w:lang w:val="es-ES" w:eastAsia="es-US"/>
        </w:rPr>
        <w:t xml:space="preserve">Indicador </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2.4.1</w:t>
      </w:r>
      <w:r w:rsidR="008A5DFD">
        <w:rPr>
          <w:sz w:val="24"/>
          <w:szCs w:val="24"/>
          <w:lang w:val="es-ES" w:eastAsia="es-US"/>
        </w:rPr>
        <w:tab/>
      </w:r>
      <w:r>
        <w:rPr>
          <w:sz w:val="24"/>
          <w:szCs w:val="24"/>
          <w:lang w:val="es-ES" w:eastAsia="es-US"/>
        </w:rPr>
        <w:t>La OPS y los Estados Miembros habrán establecido una metodología que permita hacer pública una versión electrónica de los contenidos resultantes de actividades de investigación financiadas principalmente con fondos públicos (Línea de base: 0. Meta: 1 para el 2016).</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2.4.2</w:t>
      </w:r>
      <w:r w:rsidR="008A5DFD">
        <w:rPr>
          <w:sz w:val="24"/>
          <w:szCs w:val="24"/>
          <w:lang w:val="es-ES" w:eastAsia="es-US"/>
        </w:rPr>
        <w:tab/>
      </w:r>
      <w:r>
        <w:rPr>
          <w:sz w:val="24"/>
          <w:szCs w:val="24"/>
          <w:lang w:val="es-ES" w:eastAsia="es-US"/>
        </w:rPr>
        <w:t>Número de Estados Miembros que han aumentado el número de revistas sobre salud en redes regionales como LILACS y MEDLINE. (Línea de base: LILACS 19 países, 836 revistas;  MEDLINE, 13 países, 84 revistas [fuente: BIREME]. Meta: aumento de 7% anual en el número de revistas en las redes mencionadas).</w:t>
      </w:r>
    </w:p>
    <w:p w:rsidR="00380790" w:rsidRDefault="00380790">
      <w:pPr>
        <w:spacing w:after="240"/>
        <w:jc w:val="both"/>
        <w:outlineLvl w:val="1"/>
        <w:rPr>
          <w:b/>
          <w:bCs/>
          <w:sz w:val="24"/>
          <w:szCs w:val="24"/>
          <w:lang w:val="es-ES" w:eastAsia="es-US"/>
        </w:rPr>
      </w:pPr>
      <w:r>
        <w:rPr>
          <w:b/>
          <w:bCs/>
          <w:sz w:val="24"/>
          <w:szCs w:val="24"/>
          <w:lang w:val="es-ES" w:eastAsia="es-US"/>
        </w:rPr>
        <w:t>Meta 3: Fomentar y facilitar la colaboración horizontal que forje alianzas y redes de relacionamiento estratégico entre los países de la Región para fortalecer las actividades de gestión del conocimiento y de comunicación sobre salud</w:t>
      </w:r>
      <w:r w:rsidR="00822190">
        <w:rPr>
          <w:b/>
          <w:bCs/>
          <w:sz w:val="24"/>
          <w:szCs w:val="24"/>
          <w:lang w:val="es-ES" w:eastAsia="es-US"/>
        </w:rPr>
        <w:t>.</w:t>
      </w:r>
      <w:r>
        <w:rPr>
          <w:b/>
          <w:bCs/>
          <w:sz w:val="24"/>
          <w:szCs w:val="24"/>
          <w:lang w:val="es-ES" w:eastAsia="es-US"/>
        </w:rPr>
        <w:t xml:space="preserve"> </w:t>
      </w:r>
    </w:p>
    <w:p w:rsidR="00380790" w:rsidRDefault="00380790">
      <w:pPr>
        <w:spacing w:after="240"/>
        <w:jc w:val="both"/>
        <w:rPr>
          <w:color w:val="000000"/>
          <w:sz w:val="24"/>
          <w:szCs w:val="24"/>
          <w:lang w:val="es-ES" w:eastAsia="es-US"/>
        </w:rPr>
      </w:pPr>
      <w:r w:rsidRPr="00413694">
        <w:rPr>
          <w:b/>
          <w:i/>
          <w:sz w:val="24"/>
          <w:szCs w:val="24"/>
          <w:lang w:val="es-ES" w:eastAsia="es-US"/>
        </w:rPr>
        <w:t>Objetivo 3.1</w:t>
      </w:r>
      <w:r w:rsidR="008A5DFD">
        <w:rPr>
          <w:b/>
          <w:i/>
          <w:sz w:val="24"/>
          <w:szCs w:val="24"/>
          <w:lang w:val="es-ES" w:eastAsia="es-US"/>
        </w:rPr>
        <w:t>:</w:t>
      </w:r>
      <w:r>
        <w:rPr>
          <w:color w:val="000000"/>
          <w:sz w:val="24"/>
          <w:szCs w:val="24"/>
          <w:lang w:val="es-ES" w:eastAsia="es-US"/>
        </w:rPr>
        <w:t xml:space="preserve"> Apoyar el establecimiento de una red intersectorial (sociedad civil/red pública/red privada) que participe en los procesos de formulación de políticas, estándares, identificación de centros colaboradores y la toma de decisiones en materia de gestión del conocimiento y de comunicación.</w:t>
      </w:r>
    </w:p>
    <w:p w:rsidR="00380790" w:rsidRDefault="00380790">
      <w:pPr>
        <w:spacing w:after="240"/>
        <w:jc w:val="both"/>
        <w:rPr>
          <w:i/>
          <w:color w:val="000000"/>
          <w:sz w:val="24"/>
          <w:szCs w:val="24"/>
          <w:lang w:val="es-ES" w:eastAsia="es-US"/>
        </w:rPr>
      </w:pPr>
      <w:r>
        <w:rPr>
          <w:i/>
          <w:color w:val="000000"/>
          <w:sz w:val="24"/>
          <w:szCs w:val="24"/>
          <w:lang w:val="es-ES" w:eastAsia="es-US"/>
        </w:rPr>
        <w:t>Indicadores</w:t>
      </w:r>
    </w:p>
    <w:p w:rsidR="00380790" w:rsidRDefault="00380790" w:rsidP="008A5DFD">
      <w:pPr>
        <w:tabs>
          <w:tab w:val="left" w:pos="810"/>
        </w:tabs>
        <w:spacing w:after="240"/>
        <w:ind w:left="810" w:hanging="810"/>
        <w:jc w:val="both"/>
        <w:rPr>
          <w:color w:val="000000"/>
          <w:sz w:val="24"/>
          <w:szCs w:val="24"/>
          <w:lang w:val="es-ES" w:eastAsia="es-US"/>
        </w:rPr>
      </w:pPr>
      <w:r>
        <w:rPr>
          <w:color w:val="000000"/>
          <w:sz w:val="24"/>
          <w:szCs w:val="24"/>
          <w:lang w:val="es-ES" w:eastAsia="es-US"/>
        </w:rPr>
        <w:t>3.1.1</w:t>
      </w:r>
      <w:r w:rsidR="008A5DFD">
        <w:rPr>
          <w:color w:val="000000"/>
          <w:sz w:val="24"/>
          <w:szCs w:val="24"/>
          <w:lang w:val="es-ES" w:eastAsia="es-US"/>
        </w:rPr>
        <w:tab/>
      </w:r>
      <w:r>
        <w:rPr>
          <w:color w:val="000000"/>
          <w:sz w:val="24"/>
          <w:szCs w:val="24"/>
          <w:lang w:val="es-ES" w:eastAsia="es-US"/>
        </w:rPr>
        <w:t xml:space="preserve">Número de Estados Miembros que han creado mecanismos institucionales para el establecimiento de alianzas nacionales entre sectores de la sociedad civil, la administración pública y entidades privadas en materia de gestión del conocimiento y  comunicación (Línea de base: 4 </w:t>
      </w:r>
      <w:r w:rsidR="008A5DFD">
        <w:rPr>
          <w:color w:val="000000"/>
          <w:sz w:val="24"/>
          <w:szCs w:val="24"/>
          <w:lang w:val="es-ES" w:eastAsia="es-US"/>
        </w:rPr>
        <w:t>[fuente: OMS]. Meta: 15 para el 2</w:t>
      </w:r>
      <w:r>
        <w:rPr>
          <w:color w:val="000000"/>
          <w:sz w:val="24"/>
          <w:szCs w:val="24"/>
          <w:lang w:val="es-ES" w:eastAsia="es-US"/>
        </w:rPr>
        <w:t xml:space="preserve">015). </w:t>
      </w:r>
    </w:p>
    <w:p w:rsidR="00380790" w:rsidRDefault="00380790" w:rsidP="008A5DFD">
      <w:pPr>
        <w:tabs>
          <w:tab w:val="left" w:pos="810"/>
        </w:tabs>
        <w:spacing w:after="240"/>
        <w:ind w:left="810" w:hanging="810"/>
        <w:jc w:val="both"/>
        <w:rPr>
          <w:sz w:val="24"/>
          <w:szCs w:val="24"/>
          <w:lang w:val="es-ES" w:eastAsia="es-US"/>
        </w:rPr>
      </w:pPr>
      <w:r>
        <w:rPr>
          <w:color w:val="000000"/>
          <w:sz w:val="24"/>
          <w:szCs w:val="24"/>
          <w:lang w:val="es-ES" w:eastAsia="es-US"/>
        </w:rPr>
        <w:lastRenderedPageBreak/>
        <w:t>3.1.2</w:t>
      </w:r>
      <w:r w:rsidR="008A5DFD">
        <w:rPr>
          <w:color w:val="000000"/>
          <w:sz w:val="24"/>
          <w:szCs w:val="24"/>
          <w:lang w:val="es-ES" w:eastAsia="es-US"/>
        </w:rPr>
        <w:tab/>
      </w:r>
      <w:r>
        <w:rPr>
          <w:color w:val="000000"/>
          <w:sz w:val="24"/>
          <w:szCs w:val="24"/>
          <w:lang w:val="es-ES" w:eastAsia="es-US"/>
        </w:rPr>
        <w:t xml:space="preserve">Para el 2015, funcionará en los países del continente americano una </w:t>
      </w:r>
      <w:r>
        <w:rPr>
          <w:sz w:val="24"/>
          <w:szCs w:val="24"/>
          <w:lang w:val="es-ES" w:eastAsia="es-US"/>
        </w:rPr>
        <w:t>Red regional de centros colaboradores de la Organización Mundial de la Salud especializados en información, conocimientos y comunicaciones sobre salud (Línea de base: 0. Meta: 1 para el 2015).</w:t>
      </w:r>
    </w:p>
    <w:p w:rsidR="00380790" w:rsidRDefault="00380790">
      <w:pPr>
        <w:spacing w:after="240"/>
        <w:jc w:val="both"/>
        <w:rPr>
          <w:sz w:val="24"/>
          <w:szCs w:val="24"/>
          <w:lang w:val="es-ES" w:eastAsia="es-US"/>
        </w:rPr>
      </w:pPr>
      <w:r w:rsidRPr="00413694">
        <w:rPr>
          <w:b/>
          <w:i/>
          <w:sz w:val="24"/>
          <w:szCs w:val="24"/>
          <w:lang w:val="es-ES" w:eastAsia="es-US"/>
        </w:rPr>
        <w:t>Objetivo 3.2</w:t>
      </w:r>
      <w:r w:rsidR="008A5DFD">
        <w:rPr>
          <w:b/>
          <w:i/>
          <w:sz w:val="24"/>
          <w:szCs w:val="24"/>
          <w:lang w:val="es-ES" w:eastAsia="es-US"/>
        </w:rPr>
        <w:t>:</w:t>
      </w:r>
      <w:r>
        <w:rPr>
          <w:sz w:val="24"/>
          <w:szCs w:val="24"/>
          <w:lang w:val="es-ES" w:eastAsia="es-US"/>
        </w:rPr>
        <w:t xml:space="preserve"> Promover acciones y actividades de integración y de intercambio entre redes nacionales, subregionales, regionales e internacionales de gestión del conocimiento y comunicación sobre salud. </w:t>
      </w:r>
    </w:p>
    <w:p w:rsidR="00380790" w:rsidRDefault="00380790">
      <w:pPr>
        <w:spacing w:after="240"/>
        <w:jc w:val="both"/>
        <w:rPr>
          <w:i/>
          <w:sz w:val="24"/>
          <w:szCs w:val="24"/>
          <w:lang w:val="es-ES" w:eastAsia="es-US"/>
        </w:rPr>
      </w:pPr>
      <w:r>
        <w:rPr>
          <w:i/>
          <w:sz w:val="24"/>
          <w:szCs w:val="24"/>
          <w:lang w:val="es-ES" w:eastAsia="es-US"/>
        </w:rPr>
        <w:t xml:space="preserve">Indicador </w:t>
      </w:r>
    </w:p>
    <w:p w:rsidR="00380790" w:rsidRDefault="00380790" w:rsidP="008A5DFD">
      <w:pPr>
        <w:tabs>
          <w:tab w:val="left" w:pos="810"/>
        </w:tabs>
        <w:spacing w:after="240"/>
        <w:ind w:left="810" w:hanging="810"/>
        <w:jc w:val="both"/>
        <w:rPr>
          <w:color w:val="000000"/>
          <w:sz w:val="24"/>
          <w:szCs w:val="24"/>
          <w:lang w:val="es-ES" w:eastAsia="es-US"/>
        </w:rPr>
      </w:pPr>
      <w:r>
        <w:rPr>
          <w:color w:val="000000"/>
          <w:sz w:val="24"/>
          <w:szCs w:val="24"/>
          <w:lang w:val="es-ES" w:eastAsia="es-US"/>
        </w:rPr>
        <w:t>3.2.1</w:t>
      </w:r>
      <w:r w:rsidR="008A5DFD">
        <w:rPr>
          <w:color w:val="000000"/>
          <w:sz w:val="24"/>
          <w:szCs w:val="24"/>
          <w:lang w:val="es-ES" w:eastAsia="es-US"/>
        </w:rPr>
        <w:tab/>
      </w:r>
      <w:r>
        <w:rPr>
          <w:color w:val="000000"/>
          <w:sz w:val="24"/>
          <w:szCs w:val="24"/>
          <w:lang w:val="es-ES" w:eastAsia="es-US"/>
        </w:rPr>
        <w:t>Número de Estados Miembros que han suministrado información sobre actividades de integración y de intercambio acerca</w:t>
      </w:r>
      <w:r w:rsidR="00842279">
        <w:rPr>
          <w:color w:val="000000"/>
          <w:sz w:val="24"/>
          <w:szCs w:val="24"/>
          <w:lang w:val="es-ES" w:eastAsia="es-US"/>
        </w:rPr>
        <w:t xml:space="preserve"> de gestión del conocimiento y </w:t>
      </w:r>
      <w:r>
        <w:rPr>
          <w:color w:val="000000"/>
          <w:sz w:val="24"/>
          <w:szCs w:val="24"/>
          <w:lang w:val="es-ES" w:eastAsia="es-US"/>
        </w:rPr>
        <w:t xml:space="preserve">comunicación sobre salud (Línea de base: 1 [fuente: OSP/KMC]. Meta: 16 para el 2016). </w:t>
      </w:r>
    </w:p>
    <w:p w:rsidR="00380790" w:rsidRDefault="00380790">
      <w:pPr>
        <w:spacing w:after="240"/>
        <w:jc w:val="both"/>
        <w:rPr>
          <w:sz w:val="24"/>
          <w:szCs w:val="24"/>
          <w:lang w:val="es-ES" w:eastAsia="es-US"/>
        </w:rPr>
      </w:pPr>
      <w:r w:rsidRPr="00413694">
        <w:rPr>
          <w:b/>
          <w:i/>
          <w:sz w:val="24"/>
          <w:szCs w:val="24"/>
          <w:lang w:val="es-ES" w:eastAsia="es-US"/>
        </w:rPr>
        <w:t>Objetivo 3.3</w:t>
      </w:r>
      <w:r w:rsidR="008A5DFD">
        <w:rPr>
          <w:b/>
          <w:i/>
          <w:sz w:val="24"/>
          <w:szCs w:val="24"/>
          <w:lang w:val="es-ES" w:eastAsia="es-US"/>
        </w:rPr>
        <w:t>:</w:t>
      </w:r>
      <w:r>
        <w:rPr>
          <w:sz w:val="24"/>
          <w:szCs w:val="24"/>
          <w:lang w:val="es-ES" w:eastAsia="es-US"/>
        </w:rPr>
        <w:t xml:space="preserve"> Adoptar tecnologías nuevas que permitan el acceso a la información y su difusión y el intercambio de conocimientos en formatos electrónicos, y promuevan la interoperabilidad entre ellas. </w:t>
      </w:r>
    </w:p>
    <w:p w:rsidR="00380790" w:rsidRDefault="00380790">
      <w:pPr>
        <w:spacing w:after="240"/>
        <w:jc w:val="both"/>
        <w:rPr>
          <w:i/>
          <w:sz w:val="24"/>
          <w:szCs w:val="24"/>
          <w:lang w:val="es-ES" w:eastAsia="es-US"/>
        </w:rPr>
      </w:pPr>
      <w:r>
        <w:rPr>
          <w:i/>
          <w:sz w:val="24"/>
          <w:szCs w:val="24"/>
          <w:lang w:val="es-ES" w:eastAsia="es-US"/>
        </w:rPr>
        <w:t xml:space="preserve">Indicadores </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3.3.1</w:t>
      </w:r>
      <w:r w:rsidR="008A5DFD">
        <w:rPr>
          <w:sz w:val="24"/>
          <w:szCs w:val="24"/>
          <w:lang w:val="es-ES" w:eastAsia="es-US"/>
        </w:rPr>
        <w:tab/>
      </w:r>
      <w:r>
        <w:rPr>
          <w:sz w:val="24"/>
          <w:szCs w:val="24"/>
          <w:lang w:val="es-ES" w:eastAsia="es-US"/>
        </w:rPr>
        <w:t xml:space="preserve">La OPS y los Estados Miembros habrán definido un marco común orientado a la interoperabilidad de sus fuentes de información </w:t>
      </w:r>
      <w:r>
        <w:rPr>
          <w:color w:val="000000"/>
          <w:sz w:val="24"/>
          <w:szCs w:val="24"/>
          <w:lang w:val="es-ES" w:eastAsia="es-US"/>
        </w:rPr>
        <w:t>(</w:t>
      </w:r>
      <w:r>
        <w:rPr>
          <w:sz w:val="24"/>
          <w:szCs w:val="24"/>
          <w:lang w:val="es-ES" w:eastAsia="es-US"/>
        </w:rPr>
        <w:t>Línea de base: 0. Meta: 1 para el 2017).</w:t>
      </w:r>
    </w:p>
    <w:p w:rsidR="00380790" w:rsidRDefault="00380790">
      <w:pPr>
        <w:spacing w:after="240"/>
        <w:jc w:val="both"/>
        <w:outlineLvl w:val="1"/>
        <w:rPr>
          <w:b/>
          <w:bCs/>
          <w:sz w:val="24"/>
          <w:szCs w:val="24"/>
          <w:lang w:val="es-ES" w:eastAsia="es-US"/>
        </w:rPr>
      </w:pPr>
      <w:r>
        <w:rPr>
          <w:b/>
          <w:bCs/>
          <w:sz w:val="24"/>
          <w:szCs w:val="24"/>
          <w:lang w:val="es-ES" w:eastAsia="es-US"/>
        </w:rPr>
        <w:t>Meta 4: Promover estrategias y programas de información y de comunicación sobre salud que sean eficaces para conseguir el cambio individual, social y político necesario para el logro y el mantenimiento de la salud</w:t>
      </w:r>
      <w:r w:rsidR="00822190">
        <w:rPr>
          <w:b/>
          <w:bCs/>
          <w:sz w:val="24"/>
          <w:szCs w:val="24"/>
          <w:lang w:val="es-ES" w:eastAsia="es-US"/>
        </w:rPr>
        <w:t>.</w:t>
      </w:r>
      <w:r>
        <w:rPr>
          <w:b/>
          <w:bCs/>
          <w:sz w:val="24"/>
          <w:szCs w:val="24"/>
          <w:lang w:val="es-ES" w:eastAsia="es-US"/>
        </w:rPr>
        <w:t xml:space="preserve"> </w:t>
      </w:r>
    </w:p>
    <w:p w:rsidR="00380790" w:rsidRDefault="00380790">
      <w:pPr>
        <w:spacing w:after="240"/>
        <w:jc w:val="both"/>
        <w:rPr>
          <w:sz w:val="24"/>
          <w:szCs w:val="24"/>
          <w:lang w:val="es-ES" w:eastAsia="es-US"/>
        </w:rPr>
      </w:pPr>
      <w:r w:rsidRPr="00413694">
        <w:rPr>
          <w:b/>
          <w:i/>
          <w:sz w:val="24"/>
          <w:szCs w:val="24"/>
          <w:lang w:val="es-ES" w:eastAsia="es-US"/>
        </w:rPr>
        <w:t>Objetivo 4.1</w:t>
      </w:r>
      <w:r w:rsidR="008A5DFD">
        <w:rPr>
          <w:b/>
          <w:i/>
          <w:sz w:val="24"/>
          <w:szCs w:val="24"/>
          <w:lang w:val="es-ES" w:eastAsia="es-US"/>
        </w:rPr>
        <w:t>:</w:t>
      </w:r>
      <w:r>
        <w:rPr>
          <w:sz w:val="24"/>
          <w:szCs w:val="24"/>
          <w:lang w:val="es-ES" w:eastAsia="es-US"/>
        </w:rPr>
        <w:t xml:space="preserve"> Brindar apoyo a los procesos de formulación y adopción de políticas públicas en materia de comunicación sobre salud, dar acceso oportuno a la información y los materiales de comunicación al público pertinente, mediante una variedad de plataformas de comunicación, e instaurar procedimientos para el manejo de la comunicación del riesgo durante desastres y emergencias de salud pública.</w:t>
      </w:r>
    </w:p>
    <w:p w:rsidR="00380790" w:rsidRDefault="00380790" w:rsidP="00241A23">
      <w:pPr>
        <w:spacing w:after="240"/>
        <w:jc w:val="both"/>
        <w:rPr>
          <w:i/>
          <w:sz w:val="24"/>
          <w:szCs w:val="24"/>
          <w:lang w:val="es-ES" w:eastAsia="es-US"/>
        </w:rPr>
      </w:pPr>
      <w:r>
        <w:rPr>
          <w:i/>
          <w:sz w:val="24"/>
          <w:szCs w:val="24"/>
          <w:lang w:val="es-ES" w:eastAsia="es-US"/>
        </w:rPr>
        <w:t xml:space="preserve">Indicadores </w:t>
      </w:r>
    </w:p>
    <w:p w:rsidR="00380790" w:rsidRDefault="00380790" w:rsidP="00C0636B">
      <w:pPr>
        <w:tabs>
          <w:tab w:val="left" w:pos="810"/>
        </w:tabs>
        <w:ind w:left="806" w:hanging="806"/>
        <w:jc w:val="both"/>
        <w:rPr>
          <w:sz w:val="24"/>
          <w:szCs w:val="24"/>
          <w:lang w:val="es-ES" w:eastAsia="es-US"/>
        </w:rPr>
      </w:pPr>
      <w:r>
        <w:rPr>
          <w:sz w:val="24"/>
          <w:szCs w:val="24"/>
          <w:lang w:val="es-ES" w:eastAsia="es-US"/>
        </w:rPr>
        <w:t>4.1.1</w:t>
      </w:r>
      <w:r w:rsidR="008A5DFD">
        <w:rPr>
          <w:sz w:val="24"/>
          <w:szCs w:val="24"/>
          <w:lang w:val="es-ES" w:eastAsia="es-US"/>
        </w:rPr>
        <w:tab/>
      </w:r>
      <w:r>
        <w:rPr>
          <w:sz w:val="24"/>
          <w:szCs w:val="24"/>
          <w:lang w:val="es-ES" w:eastAsia="es-US"/>
        </w:rPr>
        <w:t xml:space="preserve">Número de Estados Miembros que cuentan con una estrategia nacional o con planes de acción de comunicación sobre salud claramente articulados para las principales enfermedades transmisibles y crónicas. (Línea de base: </w:t>
      </w:r>
      <w:r w:rsidR="00822190">
        <w:rPr>
          <w:sz w:val="24"/>
          <w:szCs w:val="24"/>
          <w:lang w:val="es-ES" w:eastAsia="es-US"/>
        </w:rPr>
        <w:t>Pendiente de definirse</w:t>
      </w:r>
      <w:r>
        <w:rPr>
          <w:sz w:val="24"/>
          <w:szCs w:val="24"/>
          <w:lang w:val="es-ES" w:eastAsia="es-US"/>
        </w:rPr>
        <w:t>.</w:t>
      </w:r>
      <w:r>
        <w:rPr>
          <w:rStyle w:val="FootnoteReference"/>
          <w:rFonts w:ascii="Times New Roman" w:hAnsi="Times New Roman"/>
          <w:szCs w:val="24"/>
          <w:lang w:eastAsia="es-US"/>
        </w:rPr>
        <w:footnoteReference w:id="3"/>
      </w:r>
      <w:r>
        <w:rPr>
          <w:sz w:val="24"/>
          <w:szCs w:val="24"/>
          <w:lang w:val="es-ES" w:eastAsia="es-US"/>
        </w:rPr>
        <w:t xml:space="preserve"> Meta: 5 para el 2014</w:t>
      </w:r>
      <w:r>
        <w:rPr>
          <w:rStyle w:val="FootnoteReference"/>
          <w:rFonts w:ascii="Times New Roman" w:hAnsi="Times New Roman"/>
          <w:szCs w:val="24"/>
          <w:lang w:eastAsia="es-US"/>
        </w:rPr>
        <w:footnoteReference w:id="4"/>
      </w:r>
      <w:r>
        <w:rPr>
          <w:sz w:val="24"/>
          <w:szCs w:val="24"/>
          <w:lang w:val="es-ES" w:eastAsia="es-US"/>
        </w:rPr>
        <w:t xml:space="preserve">). </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lastRenderedPageBreak/>
        <w:t>4.1.2</w:t>
      </w:r>
      <w:r w:rsidR="008A5DFD">
        <w:rPr>
          <w:sz w:val="24"/>
          <w:szCs w:val="24"/>
          <w:lang w:val="es-ES" w:eastAsia="es-US"/>
        </w:rPr>
        <w:tab/>
      </w:r>
      <w:r>
        <w:rPr>
          <w:sz w:val="24"/>
          <w:szCs w:val="24"/>
          <w:lang w:val="es-ES" w:eastAsia="es-US"/>
        </w:rPr>
        <w:t xml:space="preserve">La OPS y los Estados Miembros habrán establecido un marco común para el manejo de la </w:t>
      </w:r>
      <w:r w:rsidR="004F68F1">
        <w:rPr>
          <w:sz w:val="24"/>
          <w:szCs w:val="24"/>
          <w:lang w:val="es-ES" w:eastAsia="es-US"/>
        </w:rPr>
        <w:t xml:space="preserve">información y la </w:t>
      </w:r>
      <w:r>
        <w:rPr>
          <w:sz w:val="24"/>
          <w:szCs w:val="24"/>
          <w:lang w:val="es-ES" w:eastAsia="es-US"/>
        </w:rPr>
        <w:t>comunicación del riesgo durante desastres y emergencias de salud pública</w:t>
      </w:r>
      <w:r w:rsidR="00142161">
        <w:rPr>
          <w:sz w:val="24"/>
          <w:szCs w:val="24"/>
          <w:lang w:val="es-ES" w:eastAsia="es-US"/>
        </w:rPr>
        <w:t>,</w:t>
      </w:r>
      <w:r w:rsidR="004F68F1">
        <w:rPr>
          <w:sz w:val="24"/>
          <w:szCs w:val="24"/>
          <w:lang w:val="es-ES" w:eastAsia="es-US"/>
        </w:rPr>
        <w:t xml:space="preserve"> </w:t>
      </w:r>
      <w:r w:rsidR="00853359">
        <w:rPr>
          <w:sz w:val="24"/>
          <w:szCs w:val="24"/>
          <w:lang w:val="es-ES" w:eastAsia="es-US"/>
        </w:rPr>
        <w:t>incluida la elaboración</w:t>
      </w:r>
      <w:r w:rsidR="004F68F1">
        <w:rPr>
          <w:sz w:val="24"/>
          <w:szCs w:val="24"/>
          <w:lang w:val="es-ES" w:eastAsia="es-US"/>
        </w:rPr>
        <w:t xml:space="preserve"> de metodologías y estándares que permitan la sistematización de las </w:t>
      </w:r>
      <w:r w:rsidR="00853359">
        <w:rPr>
          <w:sz w:val="24"/>
          <w:szCs w:val="24"/>
          <w:lang w:val="es-ES" w:eastAsia="es-US"/>
        </w:rPr>
        <w:t xml:space="preserve">enseñanzas </w:t>
      </w:r>
      <w:r w:rsidR="00625C03">
        <w:rPr>
          <w:sz w:val="24"/>
          <w:szCs w:val="24"/>
          <w:lang w:val="es-ES" w:eastAsia="es-US"/>
        </w:rPr>
        <w:t>extraídas</w:t>
      </w:r>
      <w:r w:rsidR="004F68F1">
        <w:rPr>
          <w:sz w:val="24"/>
          <w:szCs w:val="24"/>
          <w:lang w:val="es-ES" w:eastAsia="es-US"/>
        </w:rPr>
        <w:t xml:space="preserve"> de estos </w:t>
      </w:r>
      <w:r w:rsidR="00853359">
        <w:rPr>
          <w:sz w:val="24"/>
          <w:szCs w:val="24"/>
          <w:lang w:val="es-ES" w:eastAsia="es-US"/>
        </w:rPr>
        <w:t>eventos</w:t>
      </w:r>
      <w:r>
        <w:rPr>
          <w:sz w:val="24"/>
          <w:szCs w:val="24"/>
          <w:lang w:val="es-ES" w:eastAsia="es-US"/>
        </w:rPr>
        <w:t xml:space="preserve">. </w:t>
      </w:r>
      <w:r>
        <w:rPr>
          <w:color w:val="000000"/>
          <w:sz w:val="24"/>
          <w:szCs w:val="24"/>
          <w:lang w:val="es-ES" w:eastAsia="es-US"/>
        </w:rPr>
        <w:t>(</w:t>
      </w:r>
      <w:r>
        <w:rPr>
          <w:sz w:val="24"/>
          <w:szCs w:val="24"/>
          <w:lang w:val="es-ES" w:eastAsia="es-US"/>
        </w:rPr>
        <w:t>Línea de base: 0. Meta: 1 para el 2016).</w:t>
      </w:r>
    </w:p>
    <w:p w:rsidR="00380790" w:rsidRDefault="00380790">
      <w:pPr>
        <w:spacing w:after="240"/>
        <w:jc w:val="both"/>
        <w:rPr>
          <w:sz w:val="24"/>
          <w:szCs w:val="24"/>
          <w:lang w:val="es-ES" w:eastAsia="es-US"/>
        </w:rPr>
      </w:pPr>
      <w:r w:rsidRPr="00413694">
        <w:rPr>
          <w:b/>
          <w:i/>
          <w:sz w:val="24"/>
          <w:szCs w:val="24"/>
          <w:lang w:val="es-ES" w:eastAsia="es-US"/>
        </w:rPr>
        <w:t>Objetivo 4.2</w:t>
      </w:r>
      <w:r w:rsidR="008A5DFD">
        <w:rPr>
          <w:b/>
          <w:i/>
          <w:sz w:val="24"/>
          <w:szCs w:val="24"/>
          <w:lang w:val="es-ES" w:eastAsia="es-US"/>
        </w:rPr>
        <w:t>:</w:t>
      </w:r>
      <w:r>
        <w:rPr>
          <w:sz w:val="24"/>
          <w:szCs w:val="24"/>
          <w:lang w:val="es-ES" w:eastAsia="es-US"/>
        </w:rPr>
        <w:t xml:space="preserve"> Fortalecer la capacidad de comunicar información sobre salud al público general.</w:t>
      </w:r>
    </w:p>
    <w:p w:rsidR="00380790" w:rsidRDefault="00380790">
      <w:pPr>
        <w:spacing w:after="240"/>
        <w:jc w:val="both"/>
        <w:rPr>
          <w:i/>
          <w:sz w:val="24"/>
          <w:szCs w:val="24"/>
          <w:lang w:val="es-ES" w:eastAsia="es-US"/>
        </w:rPr>
      </w:pPr>
      <w:r>
        <w:rPr>
          <w:i/>
          <w:sz w:val="24"/>
          <w:szCs w:val="24"/>
          <w:lang w:val="es-ES" w:eastAsia="es-US"/>
        </w:rPr>
        <w:t>Indicador</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4.2.1</w:t>
      </w:r>
      <w:r w:rsidR="008A5DFD">
        <w:rPr>
          <w:sz w:val="24"/>
          <w:szCs w:val="24"/>
          <w:lang w:val="es-ES" w:eastAsia="es-US"/>
        </w:rPr>
        <w:tab/>
      </w:r>
      <w:r>
        <w:rPr>
          <w:sz w:val="24"/>
          <w:szCs w:val="24"/>
          <w:lang w:val="es-ES" w:eastAsia="es-US"/>
        </w:rPr>
        <w:t>La OPS y los Estados Miembros habrán establecido un marco para el fortalecimiento del personal correspondiente en cuanto a la capacidad de comunicar información sobre salud al público general (Línea de base: 0. Meta: 1 para el 2016).</w:t>
      </w:r>
    </w:p>
    <w:p w:rsidR="00380790" w:rsidRDefault="00380790">
      <w:pPr>
        <w:spacing w:after="240"/>
        <w:jc w:val="both"/>
        <w:rPr>
          <w:sz w:val="24"/>
          <w:szCs w:val="24"/>
          <w:lang w:val="es-ES" w:eastAsia="es-US"/>
        </w:rPr>
      </w:pPr>
      <w:r w:rsidRPr="00413694">
        <w:rPr>
          <w:b/>
          <w:i/>
          <w:sz w:val="24"/>
          <w:szCs w:val="24"/>
          <w:lang w:val="es-ES" w:eastAsia="es-US"/>
        </w:rPr>
        <w:t>Objetivo 4.3</w:t>
      </w:r>
      <w:r w:rsidR="008A5DFD">
        <w:rPr>
          <w:b/>
          <w:i/>
          <w:sz w:val="24"/>
          <w:szCs w:val="24"/>
          <w:lang w:val="es-ES" w:eastAsia="es-US"/>
        </w:rPr>
        <w:t>:</w:t>
      </w:r>
      <w:r>
        <w:rPr>
          <w:sz w:val="24"/>
          <w:szCs w:val="24"/>
          <w:lang w:val="es-ES" w:eastAsia="es-US"/>
        </w:rPr>
        <w:t xml:space="preserve"> Promover la evaluación de las iniciativas de comunicación para la salud, incluyendo el desarrollo de mensajes, herramientas y un impacto efectivo sobre los objetivos de salud. </w:t>
      </w:r>
    </w:p>
    <w:p w:rsidR="00380790" w:rsidRDefault="00380790">
      <w:pPr>
        <w:spacing w:after="240"/>
        <w:jc w:val="both"/>
        <w:rPr>
          <w:i/>
          <w:sz w:val="24"/>
          <w:szCs w:val="24"/>
          <w:lang w:val="es-ES" w:eastAsia="es-US"/>
        </w:rPr>
      </w:pPr>
      <w:r>
        <w:rPr>
          <w:i/>
          <w:sz w:val="24"/>
          <w:szCs w:val="24"/>
          <w:lang w:val="es-ES" w:eastAsia="es-US"/>
        </w:rPr>
        <w:t xml:space="preserve">Indicador </w:t>
      </w:r>
    </w:p>
    <w:p w:rsidR="00380790" w:rsidRDefault="00380790" w:rsidP="008A5DFD">
      <w:pPr>
        <w:tabs>
          <w:tab w:val="left" w:pos="810"/>
        </w:tabs>
        <w:spacing w:after="240"/>
        <w:ind w:left="810" w:hanging="810"/>
        <w:jc w:val="both"/>
        <w:rPr>
          <w:sz w:val="24"/>
          <w:szCs w:val="24"/>
          <w:lang w:val="es-ES" w:eastAsia="es-US"/>
        </w:rPr>
      </w:pPr>
      <w:r>
        <w:rPr>
          <w:sz w:val="24"/>
          <w:szCs w:val="24"/>
          <w:lang w:val="es-ES" w:eastAsia="es-US"/>
        </w:rPr>
        <w:t>4.3.1</w:t>
      </w:r>
      <w:r w:rsidR="008A5DFD">
        <w:rPr>
          <w:sz w:val="24"/>
          <w:szCs w:val="24"/>
          <w:lang w:val="es-ES" w:eastAsia="es-US"/>
        </w:rPr>
        <w:tab/>
      </w:r>
      <w:r>
        <w:rPr>
          <w:sz w:val="24"/>
          <w:szCs w:val="24"/>
          <w:lang w:val="es-ES" w:eastAsia="es-US"/>
        </w:rPr>
        <w:t>La OPS y los Estados Miembros habrán establecido una metodología para evaluar y conocer el impacto de las campañas y planes de comunicación y su beneficio para la salud pública (Línea de base: 0. Meta: 1 para el 2015).</w:t>
      </w:r>
    </w:p>
    <w:p w:rsidR="00380790" w:rsidRDefault="00380790">
      <w:pPr>
        <w:spacing w:after="240"/>
        <w:jc w:val="both"/>
        <w:rPr>
          <w:b/>
          <w:sz w:val="24"/>
          <w:szCs w:val="24"/>
          <w:lang w:val="es-ES_tradnl"/>
        </w:rPr>
      </w:pPr>
      <w:r>
        <w:rPr>
          <w:b/>
          <w:sz w:val="24"/>
          <w:szCs w:val="24"/>
          <w:lang w:val="es-ES_tradnl"/>
        </w:rPr>
        <w:t>Monitoreo, análisis y evaluación</w:t>
      </w:r>
    </w:p>
    <w:p w:rsidR="00380790" w:rsidRDefault="00380790" w:rsidP="00ED06AE">
      <w:pPr>
        <w:pStyle w:val="ListParagraph"/>
        <w:numPr>
          <w:ilvl w:val="0"/>
          <w:numId w:val="11"/>
        </w:numPr>
        <w:tabs>
          <w:tab w:val="left" w:pos="720"/>
        </w:tabs>
        <w:spacing w:after="240" w:line="240" w:lineRule="auto"/>
        <w:ind w:left="0" w:firstLine="0"/>
        <w:jc w:val="both"/>
        <w:rPr>
          <w:rFonts w:ascii="Times New Roman" w:hAnsi="Times New Roman"/>
          <w:sz w:val="24"/>
          <w:szCs w:val="24"/>
          <w:lang w:eastAsia="es-ES"/>
        </w:rPr>
      </w:pPr>
      <w:r>
        <w:rPr>
          <w:rFonts w:ascii="Times New Roman" w:hAnsi="Times New Roman"/>
          <w:sz w:val="24"/>
          <w:szCs w:val="24"/>
        </w:rPr>
        <w:t>Dado su carácter transversal, en relación con los Objetivos Estratégicos expuestos en el Plan Estratégico 2008-2012 de la Organización (</w:t>
      </w:r>
      <w:r w:rsidR="00771D46">
        <w:rPr>
          <w:rFonts w:ascii="Times New Roman" w:hAnsi="Times New Roman"/>
          <w:i/>
          <w:sz w:val="24"/>
          <w:szCs w:val="24"/>
        </w:rPr>
        <w:t>16</w:t>
      </w:r>
      <w:r>
        <w:rPr>
          <w:rFonts w:ascii="Times New Roman" w:hAnsi="Times New Roman"/>
          <w:sz w:val="24"/>
          <w:szCs w:val="24"/>
        </w:rPr>
        <w:t xml:space="preserve">), esta Estrategia y Plan de acción </w:t>
      </w:r>
      <w:r>
        <w:rPr>
          <w:rFonts w:ascii="Times New Roman" w:hAnsi="Times New Roman"/>
          <w:sz w:val="24"/>
          <w:szCs w:val="24"/>
          <w:lang w:eastAsia="es-ES"/>
        </w:rPr>
        <w:t>está directamente vinculada con los Objetivos Estratégicos 5</w:t>
      </w:r>
      <w:r w:rsidR="004B782F">
        <w:rPr>
          <w:rFonts w:ascii="Times New Roman" w:hAnsi="Times New Roman"/>
          <w:sz w:val="24"/>
          <w:szCs w:val="24"/>
          <w:lang w:eastAsia="es-ES"/>
        </w:rPr>
        <w:t>,</w:t>
      </w:r>
      <w:r w:rsidRPr="007C76C1">
        <w:rPr>
          <w:rStyle w:val="FootnoteReference"/>
          <w:rFonts w:ascii="Times New Roman" w:hAnsi="Times New Roman"/>
          <w:szCs w:val="24"/>
          <w:lang w:eastAsia="es-ES"/>
        </w:rPr>
        <w:footnoteReference w:id="5"/>
      </w:r>
      <w:r w:rsidRPr="007C76C1">
        <w:rPr>
          <w:rFonts w:ascii="Times New Roman" w:hAnsi="Times New Roman"/>
          <w:sz w:val="24"/>
          <w:szCs w:val="24"/>
          <w:lang w:eastAsia="es-ES"/>
        </w:rPr>
        <w:t xml:space="preserve"> 11</w:t>
      </w:r>
      <w:r w:rsidR="004B782F">
        <w:rPr>
          <w:rFonts w:ascii="Times New Roman" w:hAnsi="Times New Roman"/>
          <w:sz w:val="24"/>
          <w:szCs w:val="24"/>
          <w:lang w:eastAsia="es-ES"/>
        </w:rPr>
        <w:t>,</w:t>
      </w:r>
      <w:r w:rsidRPr="007C76C1">
        <w:rPr>
          <w:rStyle w:val="FootnoteReference"/>
          <w:rFonts w:ascii="Times New Roman" w:hAnsi="Times New Roman"/>
          <w:szCs w:val="24"/>
          <w:lang w:eastAsia="es-ES"/>
        </w:rPr>
        <w:footnoteReference w:id="6"/>
      </w:r>
      <w:r w:rsidRPr="007C76C1">
        <w:rPr>
          <w:rFonts w:ascii="Times New Roman" w:hAnsi="Times New Roman"/>
          <w:sz w:val="24"/>
          <w:szCs w:val="24"/>
          <w:lang w:eastAsia="es-ES"/>
        </w:rPr>
        <w:t xml:space="preserve"> 13</w:t>
      </w:r>
      <w:r w:rsidR="00A9001F">
        <w:rPr>
          <w:rFonts w:ascii="Times New Roman" w:hAnsi="Times New Roman"/>
          <w:sz w:val="24"/>
          <w:szCs w:val="24"/>
          <w:lang w:eastAsia="es-ES"/>
        </w:rPr>
        <w:t>,</w:t>
      </w:r>
      <w:r w:rsidRPr="007C76C1">
        <w:rPr>
          <w:rStyle w:val="FootnoteReference"/>
          <w:rFonts w:ascii="Times New Roman" w:hAnsi="Times New Roman"/>
          <w:szCs w:val="24"/>
          <w:lang w:eastAsia="es-ES"/>
        </w:rPr>
        <w:footnoteReference w:id="7"/>
      </w:r>
      <w:r w:rsidRPr="007C76C1">
        <w:rPr>
          <w:rFonts w:ascii="Times New Roman" w:hAnsi="Times New Roman"/>
          <w:sz w:val="24"/>
          <w:szCs w:val="24"/>
          <w:lang w:eastAsia="es-ES"/>
        </w:rPr>
        <w:t xml:space="preserve"> y 16</w:t>
      </w:r>
      <w:r w:rsidR="004B782F" w:rsidRPr="007C76C1">
        <w:rPr>
          <w:rFonts w:ascii="Times New Roman" w:hAnsi="Times New Roman"/>
          <w:sz w:val="24"/>
          <w:szCs w:val="24"/>
          <w:lang w:eastAsia="es-ES"/>
        </w:rPr>
        <w:t>.</w:t>
      </w:r>
      <w:r w:rsidRPr="007C76C1">
        <w:rPr>
          <w:rStyle w:val="FootnoteReference"/>
          <w:rFonts w:ascii="Times New Roman" w:hAnsi="Times New Roman"/>
          <w:szCs w:val="24"/>
          <w:lang w:eastAsia="es-ES"/>
        </w:rPr>
        <w:footnoteReference w:id="8"/>
      </w:r>
    </w:p>
    <w:p w:rsidR="00442B31" w:rsidRPr="00052EE7" w:rsidRDefault="00442B31" w:rsidP="00442B31">
      <w:pPr>
        <w:pStyle w:val="ListParagraph"/>
        <w:tabs>
          <w:tab w:val="left" w:pos="720"/>
        </w:tabs>
        <w:spacing w:after="240" w:line="240" w:lineRule="auto"/>
        <w:ind w:left="0"/>
        <w:jc w:val="both"/>
        <w:rPr>
          <w:rFonts w:ascii="Times New Roman" w:hAnsi="Times New Roman"/>
          <w:sz w:val="24"/>
          <w:szCs w:val="24"/>
          <w:lang w:eastAsia="es-ES"/>
        </w:rPr>
      </w:pP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rPr>
      </w:pPr>
      <w:r>
        <w:rPr>
          <w:rFonts w:ascii="Times New Roman" w:hAnsi="Times New Roman"/>
          <w:sz w:val="24"/>
          <w:szCs w:val="24"/>
        </w:rPr>
        <w:t xml:space="preserve">El seguimiento y la evaluación de este Plan se alinearán con el marco de la gerencia basada en resultados de la Organización, así como con sus procesos de </w:t>
      </w:r>
      <w:r>
        <w:rPr>
          <w:rFonts w:ascii="Times New Roman" w:hAnsi="Times New Roman"/>
          <w:sz w:val="24"/>
          <w:szCs w:val="24"/>
        </w:rPr>
        <w:lastRenderedPageBreak/>
        <w:t xml:space="preserve">seguimiento y evaluación del desempeño. En este sentido, se prepararán informes de progreso sobre la base de la información disponible al final de cada bienio. </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sz w:val="24"/>
          <w:szCs w:val="24"/>
        </w:rPr>
      </w:pPr>
      <w:r>
        <w:rPr>
          <w:rFonts w:ascii="Times New Roman" w:hAnsi="Times New Roman"/>
          <w:sz w:val="24"/>
          <w:szCs w:val="24"/>
        </w:rPr>
        <w:t>Durante el último año del período de ejecución del Plan, se llevará a cabo una evaluación, con el fin de determinar las fortalezas y debilidades de su ejecución general, así como los factores causales de los éxitos y los fracasos, y las acciones futuras.</w:t>
      </w:r>
    </w:p>
    <w:p w:rsidR="00380790" w:rsidRDefault="00380790" w:rsidP="007C76C1">
      <w:pPr>
        <w:keepNext/>
        <w:spacing w:after="240"/>
        <w:jc w:val="both"/>
        <w:rPr>
          <w:b/>
          <w:iCs/>
          <w:sz w:val="24"/>
          <w:szCs w:val="24"/>
          <w:lang w:val="es-ES_tradnl" w:eastAsia="es-ES"/>
        </w:rPr>
      </w:pPr>
      <w:r>
        <w:rPr>
          <w:b/>
          <w:iCs/>
          <w:sz w:val="24"/>
          <w:szCs w:val="24"/>
          <w:lang w:val="es-ES_tradnl" w:eastAsia="es-ES"/>
        </w:rPr>
        <w:t>Intervención de</w:t>
      </w:r>
      <w:r w:rsidR="00C0636B">
        <w:rPr>
          <w:b/>
          <w:iCs/>
          <w:sz w:val="24"/>
          <w:szCs w:val="24"/>
          <w:lang w:val="es-ES_tradnl" w:eastAsia="es-ES"/>
        </w:rPr>
        <w:t xml:space="preserve"> </w:t>
      </w:r>
      <w:r>
        <w:rPr>
          <w:b/>
          <w:iCs/>
          <w:sz w:val="24"/>
          <w:szCs w:val="24"/>
          <w:lang w:val="es-ES_tradnl" w:eastAsia="es-ES"/>
        </w:rPr>
        <w:t>l</w:t>
      </w:r>
      <w:r w:rsidR="00C0636B">
        <w:rPr>
          <w:b/>
          <w:iCs/>
          <w:sz w:val="24"/>
          <w:szCs w:val="24"/>
          <w:lang w:val="es-ES_tradnl" w:eastAsia="es-ES"/>
        </w:rPr>
        <w:t>a</w:t>
      </w:r>
      <w:r>
        <w:rPr>
          <w:b/>
          <w:iCs/>
          <w:sz w:val="24"/>
          <w:szCs w:val="24"/>
          <w:lang w:val="es-ES_tradnl" w:eastAsia="es-ES"/>
        </w:rPr>
        <w:t xml:space="preserve"> Co</w:t>
      </w:r>
      <w:r w:rsidR="00C0636B">
        <w:rPr>
          <w:b/>
          <w:iCs/>
          <w:sz w:val="24"/>
          <w:szCs w:val="24"/>
          <w:lang w:val="es-ES_tradnl" w:eastAsia="es-ES"/>
        </w:rPr>
        <w:t>nferencia Sanitaria Panamericana</w:t>
      </w:r>
    </w:p>
    <w:p w:rsidR="00380790" w:rsidRDefault="00380790">
      <w:pPr>
        <w:pStyle w:val="ListParagraph"/>
        <w:numPr>
          <w:ilvl w:val="0"/>
          <w:numId w:val="11"/>
        </w:numPr>
        <w:tabs>
          <w:tab w:val="left" w:pos="720"/>
        </w:tabs>
        <w:spacing w:after="240" w:line="240" w:lineRule="auto"/>
        <w:ind w:left="0" w:firstLine="0"/>
        <w:contextualSpacing w:val="0"/>
        <w:jc w:val="both"/>
        <w:rPr>
          <w:rFonts w:ascii="Times New Roman" w:hAnsi="Times New Roman"/>
          <w:b/>
          <w:iCs/>
          <w:sz w:val="24"/>
          <w:szCs w:val="24"/>
          <w:lang w:eastAsia="es-ES"/>
        </w:rPr>
      </w:pPr>
      <w:r>
        <w:rPr>
          <w:rFonts w:ascii="Times New Roman" w:hAnsi="Times New Roman"/>
          <w:sz w:val="24"/>
          <w:szCs w:val="24"/>
          <w:lang w:eastAsia="es-ES"/>
        </w:rPr>
        <w:t>Se solicita a</w:t>
      </w:r>
      <w:r w:rsidR="00C0636B">
        <w:rPr>
          <w:rFonts w:ascii="Times New Roman" w:hAnsi="Times New Roman"/>
          <w:sz w:val="24"/>
          <w:szCs w:val="24"/>
          <w:lang w:eastAsia="es-ES"/>
        </w:rPr>
        <w:t xml:space="preserve"> </w:t>
      </w:r>
      <w:r>
        <w:rPr>
          <w:rFonts w:ascii="Times New Roman" w:hAnsi="Times New Roman"/>
          <w:sz w:val="24"/>
          <w:szCs w:val="24"/>
          <w:lang w:eastAsia="es-ES"/>
        </w:rPr>
        <w:t>l</w:t>
      </w:r>
      <w:r w:rsidR="00C0636B">
        <w:rPr>
          <w:rFonts w:ascii="Times New Roman" w:hAnsi="Times New Roman"/>
          <w:sz w:val="24"/>
          <w:szCs w:val="24"/>
          <w:lang w:eastAsia="es-ES"/>
        </w:rPr>
        <w:t>a</w:t>
      </w:r>
      <w:r>
        <w:rPr>
          <w:rFonts w:ascii="Times New Roman" w:hAnsi="Times New Roman"/>
          <w:sz w:val="24"/>
          <w:szCs w:val="24"/>
          <w:lang w:eastAsia="es-ES"/>
        </w:rPr>
        <w:t xml:space="preserve"> </w:t>
      </w:r>
      <w:r>
        <w:rPr>
          <w:rFonts w:ascii="Times New Roman" w:hAnsi="Times New Roman"/>
          <w:sz w:val="24"/>
          <w:szCs w:val="24"/>
          <w:lang w:eastAsia="ja-JP"/>
        </w:rPr>
        <w:t>Co</w:t>
      </w:r>
      <w:r w:rsidR="00C0636B">
        <w:rPr>
          <w:rFonts w:ascii="Times New Roman" w:hAnsi="Times New Roman"/>
          <w:sz w:val="24"/>
          <w:szCs w:val="24"/>
          <w:lang w:eastAsia="ja-JP"/>
        </w:rPr>
        <w:t>nferencia</w:t>
      </w:r>
      <w:r>
        <w:rPr>
          <w:rFonts w:ascii="Times New Roman" w:hAnsi="Times New Roman"/>
          <w:sz w:val="24"/>
          <w:szCs w:val="24"/>
          <w:lang w:eastAsia="ja-JP"/>
        </w:rPr>
        <w:t xml:space="preserve"> </w:t>
      </w:r>
      <w:r>
        <w:rPr>
          <w:rFonts w:ascii="Times New Roman" w:hAnsi="Times New Roman"/>
          <w:sz w:val="24"/>
          <w:szCs w:val="24"/>
          <w:lang w:eastAsia="es-ES"/>
        </w:rPr>
        <w:t>que examine la información que se proporciona en este documento y que estudie la posibilidad de aprobar el proyecto de resolución presentado en el anexo A.</w:t>
      </w:r>
    </w:p>
    <w:p w:rsidR="00111F55" w:rsidRPr="00C0636B" w:rsidRDefault="00111F55">
      <w:pPr>
        <w:jc w:val="both"/>
        <w:rPr>
          <w:iCs/>
          <w:sz w:val="24"/>
          <w:szCs w:val="24"/>
          <w:lang w:val="es-ES_tradnl" w:eastAsia="es-ES"/>
        </w:rPr>
      </w:pPr>
    </w:p>
    <w:p w:rsidR="00380790" w:rsidRDefault="00380790">
      <w:pPr>
        <w:jc w:val="both"/>
        <w:rPr>
          <w:b/>
          <w:iCs/>
          <w:sz w:val="24"/>
          <w:szCs w:val="24"/>
          <w:lang w:val="es-ES_tradnl" w:eastAsia="es-ES"/>
        </w:rPr>
      </w:pPr>
      <w:r>
        <w:rPr>
          <w:b/>
          <w:iCs/>
          <w:sz w:val="24"/>
          <w:szCs w:val="24"/>
          <w:lang w:val="es-ES_tradnl" w:eastAsia="es-ES"/>
        </w:rPr>
        <w:t>Referencias</w:t>
      </w:r>
    </w:p>
    <w:p w:rsidR="00380790" w:rsidRDefault="00380790">
      <w:pPr>
        <w:jc w:val="both"/>
        <w:rPr>
          <w:b/>
          <w:iCs/>
          <w:sz w:val="24"/>
          <w:szCs w:val="24"/>
          <w:lang w:val="es-ES_tradnl" w:eastAsia="es-ES"/>
        </w:rPr>
      </w:pPr>
    </w:p>
    <w:p w:rsidR="00380790" w:rsidRPr="00FC6FDF" w:rsidRDefault="00FC6FDF" w:rsidP="00FC6FDF">
      <w:pPr>
        <w:numPr>
          <w:ilvl w:val="0"/>
          <w:numId w:val="10"/>
        </w:numPr>
        <w:jc w:val="both"/>
        <w:rPr>
          <w:sz w:val="24"/>
          <w:szCs w:val="24"/>
          <w:lang w:val="es-ES" w:eastAsia="es-US"/>
        </w:rPr>
      </w:pPr>
      <w:r w:rsidRPr="00FC6FDF">
        <w:rPr>
          <w:sz w:val="24"/>
          <w:szCs w:val="24"/>
          <w:lang w:val="es-ES" w:eastAsia="es-US"/>
        </w:rPr>
        <w:t>Declaración de Alma</w:t>
      </w:r>
      <w:r w:rsidRPr="00FC6FDF">
        <w:rPr>
          <w:sz w:val="24"/>
          <w:szCs w:val="24"/>
          <w:lang w:val="es-ES" w:eastAsia="es-US"/>
        </w:rPr>
        <w:noBreakHyphen/>
        <w:t xml:space="preserve">Ata [Internet]. </w:t>
      </w:r>
      <w:r w:rsidRPr="00FC6FDF">
        <w:rPr>
          <w:sz w:val="24"/>
          <w:szCs w:val="24"/>
          <w:lang w:val="es-ES_tradnl" w:eastAsia="es-US"/>
        </w:rPr>
        <w:t xml:space="preserve">Conferencia Internacional sobre Atención Primaria de Salud; del 6 al 12 de septiembre de 1978; </w:t>
      </w:r>
      <w:r w:rsidRPr="00FC6FDF">
        <w:rPr>
          <w:sz w:val="24"/>
          <w:szCs w:val="24"/>
          <w:lang w:val="es-ES" w:eastAsia="es-US"/>
        </w:rPr>
        <w:t>Almaty (Kazajstán) [consultado el 29 de febrero del 2012]. Disponible</w:t>
      </w:r>
      <w:r w:rsidR="00380790" w:rsidRPr="00FC6FDF">
        <w:rPr>
          <w:sz w:val="24"/>
          <w:szCs w:val="24"/>
          <w:lang w:val="es-ES" w:eastAsia="es-US"/>
        </w:rPr>
        <w:t xml:space="preserve"> en</w:t>
      </w:r>
      <w:r w:rsidR="00380790">
        <w:rPr>
          <w:sz w:val="24"/>
          <w:szCs w:val="24"/>
          <w:lang w:val="es-ES" w:eastAsia="es-US"/>
        </w:rPr>
        <w:t xml:space="preserve">: </w:t>
      </w:r>
      <w:hyperlink r:id="rId29" w:history="1">
        <w:r w:rsidR="00380790">
          <w:rPr>
            <w:rStyle w:val="Hyperlink"/>
            <w:sz w:val="24"/>
            <w:szCs w:val="24"/>
            <w:lang w:val="es-ES" w:eastAsia="es-US"/>
          </w:rPr>
          <w:t>http://www.paho.org/spanish/dd/pin/alma-ata_declaracion.htm</w:t>
        </w:r>
      </w:hyperlink>
      <w:r w:rsidR="00380790">
        <w:rPr>
          <w:rStyle w:val="Hyperlink"/>
          <w:sz w:val="24"/>
          <w:szCs w:val="24"/>
          <w:u w:val="none"/>
          <w:lang w:val="es-ES_tradnl" w:eastAsia="es-US"/>
        </w:rPr>
        <w:t>.</w:t>
      </w:r>
    </w:p>
    <w:p w:rsidR="00FC6FDF" w:rsidRDefault="00FC6FDF">
      <w:pPr>
        <w:ind w:left="360"/>
        <w:jc w:val="both"/>
        <w:rPr>
          <w:sz w:val="24"/>
          <w:szCs w:val="24"/>
          <w:lang w:val="es-ES" w:eastAsia="es-US"/>
        </w:rPr>
      </w:pPr>
    </w:p>
    <w:p w:rsidR="00380790" w:rsidRDefault="00380790">
      <w:pPr>
        <w:numPr>
          <w:ilvl w:val="0"/>
          <w:numId w:val="10"/>
        </w:numPr>
        <w:jc w:val="both"/>
        <w:rPr>
          <w:sz w:val="24"/>
          <w:szCs w:val="24"/>
          <w:lang w:val="es-ES_tradnl" w:eastAsia="es-US"/>
        </w:rPr>
      </w:pPr>
      <w:r>
        <w:rPr>
          <w:sz w:val="24"/>
          <w:szCs w:val="24"/>
          <w:lang w:val="es-ES" w:eastAsia="es-US"/>
        </w:rPr>
        <w:t>Naciones Unidas. Declaración del Milenio [Internet</w:t>
      </w:r>
      <w:r w:rsidR="008317E3">
        <w:rPr>
          <w:sz w:val="24"/>
          <w:szCs w:val="24"/>
          <w:lang w:val="es-ES" w:eastAsia="es-US"/>
        </w:rPr>
        <w:t xml:space="preserve">]. Nueva York: Naciones Unidas </w:t>
      </w:r>
      <w:r>
        <w:rPr>
          <w:sz w:val="24"/>
          <w:szCs w:val="24"/>
          <w:lang w:val="es-ES" w:eastAsia="es-US"/>
        </w:rPr>
        <w:t>2008-2010 [consultado el 27 de marzo de</w:t>
      </w:r>
      <w:r w:rsidR="00C15A2A">
        <w:rPr>
          <w:sz w:val="24"/>
          <w:szCs w:val="24"/>
          <w:lang w:val="es-ES" w:eastAsia="es-US"/>
        </w:rPr>
        <w:t>l</w:t>
      </w:r>
      <w:r>
        <w:rPr>
          <w:sz w:val="24"/>
          <w:szCs w:val="24"/>
          <w:lang w:val="es-ES" w:eastAsia="es-US"/>
        </w:rPr>
        <w:t xml:space="preserve"> 2012]. </w:t>
      </w:r>
      <w:r>
        <w:rPr>
          <w:sz w:val="24"/>
          <w:szCs w:val="24"/>
          <w:lang w:val="es-ES_tradnl" w:eastAsia="es-US"/>
        </w:rPr>
        <w:t xml:space="preserve">Disponible en: </w:t>
      </w:r>
      <w:hyperlink r:id="rId30" w:history="1">
        <w:r>
          <w:rPr>
            <w:rStyle w:val="Hyperlink"/>
            <w:sz w:val="24"/>
            <w:szCs w:val="24"/>
            <w:lang w:val="es-ES_tradnl"/>
          </w:rPr>
          <w:t>http://www.un.org/spanish/milenio/ares552.pdf</w:t>
        </w:r>
      </w:hyperlink>
      <w:r>
        <w:rPr>
          <w:sz w:val="24"/>
          <w:szCs w:val="24"/>
          <w:lang w:val="es-ES_tradnl" w:eastAsia="es-US"/>
        </w:rPr>
        <w:t xml:space="preserve">. </w:t>
      </w:r>
    </w:p>
    <w:p w:rsidR="00380790" w:rsidRDefault="00380790">
      <w:pPr>
        <w:ind w:left="360"/>
        <w:jc w:val="both"/>
        <w:rPr>
          <w:sz w:val="24"/>
          <w:szCs w:val="24"/>
          <w:lang w:val="es-ES_tradnl" w:eastAsia="es-US"/>
        </w:rPr>
      </w:pPr>
    </w:p>
    <w:p w:rsidR="00380790" w:rsidRPr="00C15A2A" w:rsidRDefault="00380790">
      <w:pPr>
        <w:numPr>
          <w:ilvl w:val="0"/>
          <w:numId w:val="10"/>
        </w:numPr>
        <w:jc w:val="both"/>
        <w:rPr>
          <w:sz w:val="24"/>
          <w:szCs w:val="24"/>
          <w:lang w:val="es-ES" w:eastAsia="es-US"/>
        </w:rPr>
      </w:pPr>
      <w:r>
        <w:rPr>
          <w:sz w:val="24"/>
          <w:szCs w:val="24"/>
          <w:lang w:val="es-ES" w:eastAsia="es-US"/>
        </w:rPr>
        <w:t>Organización Mundial de la Salud. Constitución de la Organización Mundial de la Salud [Internet]. Conferencia Sanitaria Internacional. Nueva York: OMS; 1946 [consultado el 29 de febrero de</w:t>
      </w:r>
      <w:r w:rsidR="00C15A2A">
        <w:rPr>
          <w:sz w:val="24"/>
          <w:szCs w:val="24"/>
          <w:lang w:val="es-ES" w:eastAsia="es-US"/>
        </w:rPr>
        <w:t>l</w:t>
      </w:r>
      <w:r>
        <w:rPr>
          <w:sz w:val="24"/>
          <w:szCs w:val="24"/>
          <w:lang w:val="es-ES" w:eastAsia="es-US"/>
        </w:rPr>
        <w:t xml:space="preserve"> 2012]. </w:t>
      </w:r>
      <w:r w:rsidRPr="00C15A2A">
        <w:rPr>
          <w:sz w:val="24"/>
          <w:szCs w:val="24"/>
          <w:lang w:val="es-ES" w:eastAsia="es-US"/>
        </w:rPr>
        <w:t xml:space="preserve">Disponible en: </w:t>
      </w:r>
    </w:p>
    <w:p w:rsidR="00380790" w:rsidRPr="00DF46E7" w:rsidRDefault="00F8102B">
      <w:pPr>
        <w:ind w:left="360"/>
        <w:jc w:val="both"/>
        <w:rPr>
          <w:sz w:val="24"/>
          <w:szCs w:val="24"/>
          <w:lang w:val="es-ES" w:eastAsia="es-US"/>
        </w:rPr>
      </w:pPr>
      <w:hyperlink r:id="rId31" w:history="1">
        <w:r w:rsidR="00380790" w:rsidRPr="00DF46E7">
          <w:rPr>
            <w:rStyle w:val="Hyperlink"/>
            <w:sz w:val="24"/>
            <w:szCs w:val="24"/>
            <w:lang w:val="es-ES" w:eastAsia="es-US"/>
          </w:rPr>
          <w:t>http://www.who.int/governance/eb/who_constitution_sp.pdf</w:t>
        </w:r>
      </w:hyperlink>
      <w:r w:rsidR="00380790" w:rsidRPr="00DF46E7">
        <w:rPr>
          <w:sz w:val="24"/>
          <w:szCs w:val="24"/>
          <w:lang w:val="es-ES" w:eastAsia="es-US"/>
        </w:rPr>
        <w:t xml:space="preserve">. </w:t>
      </w:r>
      <w:r w:rsidR="00380790" w:rsidRPr="00DF46E7">
        <w:rPr>
          <w:sz w:val="24"/>
          <w:szCs w:val="24"/>
          <w:lang w:val="es-ES" w:eastAsia="es-US"/>
        </w:rPr>
        <w:br/>
      </w:r>
    </w:p>
    <w:p w:rsidR="00380790" w:rsidRDefault="00380790">
      <w:pPr>
        <w:numPr>
          <w:ilvl w:val="0"/>
          <w:numId w:val="10"/>
        </w:numPr>
        <w:jc w:val="both"/>
        <w:rPr>
          <w:sz w:val="24"/>
          <w:szCs w:val="24"/>
          <w:lang w:val="es-ES_tradnl" w:eastAsia="es-US"/>
        </w:rPr>
      </w:pPr>
      <w:r>
        <w:rPr>
          <w:sz w:val="24"/>
          <w:szCs w:val="24"/>
          <w:lang w:val="es-ES" w:eastAsia="es-US"/>
        </w:rPr>
        <w:t>Organización Mundial de la Salud. Contribuir a la salud. Undécimo Programa General de Trabajo, 2006-2015. Un programa de acción sanitaria mundial [Internet]. Ginebra (Suiza): OMS; 2006 [consultado el 29 de febrero de</w:t>
      </w:r>
      <w:r w:rsidR="00C15A2A">
        <w:rPr>
          <w:sz w:val="24"/>
          <w:szCs w:val="24"/>
          <w:lang w:val="es-ES" w:eastAsia="es-US"/>
        </w:rPr>
        <w:t>l</w:t>
      </w:r>
      <w:r>
        <w:rPr>
          <w:sz w:val="24"/>
          <w:szCs w:val="24"/>
          <w:lang w:val="es-ES" w:eastAsia="es-US"/>
        </w:rPr>
        <w:t xml:space="preserve"> 2012]. </w:t>
      </w:r>
      <w:r>
        <w:rPr>
          <w:sz w:val="24"/>
          <w:szCs w:val="24"/>
          <w:lang w:val="es-ES_tradnl" w:eastAsia="es-US"/>
        </w:rPr>
        <w:t xml:space="preserve">Disponible en: </w:t>
      </w:r>
      <w:hyperlink r:id="rId32" w:history="1">
        <w:r>
          <w:rPr>
            <w:rStyle w:val="Hyperlink"/>
            <w:sz w:val="24"/>
            <w:szCs w:val="24"/>
            <w:lang w:val="es-ES_tradnl" w:eastAsia="es-US"/>
          </w:rPr>
          <w:t>http://whqlibdoc.who.int/publications/2006/GPW_spa.pdf</w:t>
        </w:r>
      </w:hyperlink>
      <w:r>
        <w:rPr>
          <w:sz w:val="24"/>
          <w:szCs w:val="24"/>
          <w:lang w:val="es-ES_tradnl" w:eastAsia="es-US"/>
        </w:rPr>
        <w:t>.</w:t>
      </w:r>
    </w:p>
    <w:p w:rsidR="00380790" w:rsidRDefault="00380790">
      <w:pPr>
        <w:ind w:left="360"/>
        <w:jc w:val="both"/>
        <w:rPr>
          <w:sz w:val="24"/>
          <w:szCs w:val="24"/>
          <w:lang w:val="es-ES_tradnl" w:eastAsia="es-US"/>
        </w:rPr>
      </w:pPr>
    </w:p>
    <w:p w:rsidR="00DF4E1F" w:rsidRPr="004322FA" w:rsidRDefault="00DF4E1F" w:rsidP="004322FA">
      <w:pPr>
        <w:numPr>
          <w:ilvl w:val="0"/>
          <w:numId w:val="10"/>
        </w:numPr>
        <w:jc w:val="both"/>
        <w:rPr>
          <w:rStyle w:val="Hyperlink"/>
          <w:color w:val="auto"/>
          <w:sz w:val="24"/>
          <w:szCs w:val="24"/>
          <w:u w:val="none"/>
          <w:lang w:val="es-ES" w:eastAsia="es-US"/>
        </w:rPr>
      </w:pPr>
      <w:r>
        <w:rPr>
          <w:sz w:val="24"/>
          <w:szCs w:val="24"/>
          <w:lang w:val="es-ES" w:eastAsia="es-US"/>
        </w:rPr>
        <w:t>Naciones Unidas</w:t>
      </w:r>
      <w:r w:rsidR="00380790" w:rsidRPr="00DF4E1F">
        <w:rPr>
          <w:sz w:val="24"/>
          <w:szCs w:val="24"/>
          <w:lang w:val="es-ES" w:eastAsia="es-US"/>
        </w:rPr>
        <w:t xml:space="preserve">. </w:t>
      </w:r>
      <w:r w:rsidRPr="00DF4E1F">
        <w:rPr>
          <w:sz w:val="24"/>
          <w:szCs w:val="24"/>
          <w:lang w:val="es-ES" w:eastAsia="es-US"/>
        </w:rPr>
        <w:t>La comunicación para los programas de</w:t>
      </w:r>
      <w:r>
        <w:rPr>
          <w:sz w:val="24"/>
          <w:szCs w:val="24"/>
          <w:lang w:val="es-ES" w:eastAsia="es-US"/>
        </w:rPr>
        <w:t xml:space="preserve"> </w:t>
      </w:r>
      <w:r w:rsidRPr="00DF4E1F">
        <w:rPr>
          <w:sz w:val="24"/>
          <w:szCs w:val="24"/>
          <w:lang w:val="es-ES" w:eastAsia="es-US"/>
        </w:rPr>
        <w:t>desarrollo en el sistema de las Naciones</w:t>
      </w:r>
      <w:r>
        <w:rPr>
          <w:sz w:val="24"/>
          <w:szCs w:val="24"/>
          <w:lang w:val="es-ES" w:eastAsia="es-US"/>
        </w:rPr>
        <w:t xml:space="preserve"> </w:t>
      </w:r>
      <w:r w:rsidRPr="00DF4E1F">
        <w:rPr>
          <w:sz w:val="24"/>
          <w:szCs w:val="24"/>
          <w:lang w:val="es-ES" w:eastAsia="es-US"/>
        </w:rPr>
        <w:t>Unidas</w:t>
      </w:r>
      <w:r w:rsidR="00380790" w:rsidRPr="00DF4E1F">
        <w:rPr>
          <w:sz w:val="24"/>
          <w:szCs w:val="24"/>
          <w:lang w:val="es-ES" w:eastAsia="es-US"/>
        </w:rPr>
        <w:t xml:space="preserve"> [Internet]. </w:t>
      </w:r>
      <w:r w:rsidR="008317E3" w:rsidRPr="00DF4E1F">
        <w:rPr>
          <w:sz w:val="24"/>
          <w:szCs w:val="24"/>
          <w:lang w:val="es-ES" w:eastAsia="es-US"/>
        </w:rPr>
        <w:t>51</w:t>
      </w:r>
      <w:proofErr w:type="gramStart"/>
      <w:r w:rsidR="00007A86">
        <w:rPr>
          <w:sz w:val="24"/>
          <w:szCs w:val="24"/>
          <w:lang w:val="es-ES" w:eastAsia="es-US"/>
        </w:rPr>
        <w:t>.</w:t>
      </w:r>
      <w:r w:rsidR="00007A86" w:rsidRPr="00007A86">
        <w:rPr>
          <w:sz w:val="24"/>
          <w:szCs w:val="24"/>
          <w:vertAlign w:val="superscript"/>
          <w:lang w:val="es-ES" w:eastAsia="es-US"/>
        </w:rPr>
        <w:t>a</w:t>
      </w:r>
      <w:proofErr w:type="gramEnd"/>
      <w:r w:rsidR="00007A86">
        <w:rPr>
          <w:sz w:val="24"/>
          <w:szCs w:val="24"/>
          <w:lang w:val="es-ES" w:eastAsia="es-US"/>
        </w:rPr>
        <w:t xml:space="preserve"> sesió</w:t>
      </w:r>
      <w:r w:rsidR="00380790" w:rsidRPr="00DF4E1F">
        <w:rPr>
          <w:sz w:val="24"/>
          <w:szCs w:val="24"/>
          <w:lang w:val="es-ES" w:eastAsia="es-US"/>
        </w:rPr>
        <w:t xml:space="preserve">n </w:t>
      </w:r>
      <w:r w:rsidR="00007A86">
        <w:rPr>
          <w:sz w:val="24"/>
          <w:szCs w:val="24"/>
          <w:lang w:val="es-ES" w:eastAsia="es-US"/>
        </w:rPr>
        <w:t>de la</w:t>
      </w:r>
      <w:r w:rsidR="00380790" w:rsidRPr="00DF4E1F">
        <w:rPr>
          <w:sz w:val="24"/>
          <w:szCs w:val="24"/>
          <w:lang w:val="es-ES" w:eastAsia="es-US"/>
        </w:rPr>
        <w:t xml:space="preserve"> </w:t>
      </w:r>
      <w:r w:rsidR="00007A86">
        <w:rPr>
          <w:sz w:val="24"/>
          <w:szCs w:val="24"/>
          <w:lang w:val="es-ES" w:eastAsia="es-US"/>
        </w:rPr>
        <w:t>Asamblea</w:t>
      </w:r>
      <w:r w:rsidR="00007A86" w:rsidRPr="00007A86">
        <w:rPr>
          <w:sz w:val="24"/>
          <w:szCs w:val="24"/>
          <w:lang w:val="es-ES" w:eastAsia="es-US"/>
        </w:rPr>
        <w:t xml:space="preserve"> </w:t>
      </w:r>
      <w:r w:rsidR="00007A86" w:rsidRPr="00DF4E1F">
        <w:rPr>
          <w:sz w:val="24"/>
          <w:szCs w:val="24"/>
          <w:lang w:val="es-ES" w:eastAsia="es-US"/>
        </w:rPr>
        <w:t>General</w:t>
      </w:r>
      <w:r w:rsidR="00380790" w:rsidRPr="00007A86">
        <w:rPr>
          <w:sz w:val="24"/>
          <w:lang w:val="es-ES"/>
        </w:rPr>
        <w:t>. N</w:t>
      </w:r>
      <w:r w:rsidR="00007A86" w:rsidRPr="00007A86">
        <w:rPr>
          <w:sz w:val="24"/>
          <w:lang w:val="es-ES"/>
        </w:rPr>
        <w:t>ueva</w:t>
      </w:r>
      <w:r w:rsidR="00380790" w:rsidRPr="00007A86">
        <w:rPr>
          <w:sz w:val="24"/>
          <w:lang w:val="es-ES"/>
        </w:rPr>
        <w:t xml:space="preserve"> York: </w:t>
      </w:r>
      <w:r w:rsidR="00007A86">
        <w:rPr>
          <w:sz w:val="24"/>
          <w:szCs w:val="24"/>
          <w:lang w:val="es-ES" w:eastAsia="es-US"/>
        </w:rPr>
        <w:t>Naciones Unidas</w:t>
      </w:r>
      <w:r w:rsidR="00380790" w:rsidRPr="00007A86">
        <w:rPr>
          <w:sz w:val="24"/>
          <w:lang w:val="es-ES"/>
        </w:rPr>
        <w:t>; 1997 (document</w:t>
      </w:r>
      <w:r w:rsidR="00007A86">
        <w:rPr>
          <w:sz w:val="24"/>
          <w:lang w:val="es-ES"/>
        </w:rPr>
        <w:t>o</w:t>
      </w:r>
      <w:r w:rsidR="00380790" w:rsidRPr="00007A86">
        <w:rPr>
          <w:sz w:val="24"/>
          <w:lang w:val="es-ES"/>
        </w:rPr>
        <w:t xml:space="preserve"> A/RES/51/172) [consultado 29 de febrero de</w:t>
      </w:r>
      <w:r w:rsidR="00C15A2A">
        <w:rPr>
          <w:sz w:val="24"/>
          <w:lang w:val="es-ES"/>
        </w:rPr>
        <w:t>l</w:t>
      </w:r>
      <w:r w:rsidR="00380790" w:rsidRPr="00007A86">
        <w:rPr>
          <w:sz w:val="24"/>
          <w:lang w:val="es-ES"/>
        </w:rPr>
        <w:t xml:space="preserve"> 2012]. </w:t>
      </w:r>
      <w:r w:rsidR="00380790" w:rsidRPr="00DF4E1F">
        <w:rPr>
          <w:sz w:val="24"/>
          <w:szCs w:val="24"/>
          <w:lang w:val="es-ES_tradnl" w:eastAsia="es-US"/>
        </w:rPr>
        <w:t>Disponible en:</w:t>
      </w:r>
      <w:r>
        <w:rPr>
          <w:sz w:val="24"/>
          <w:szCs w:val="24"/>
          <w:lang w:val="es-ES" w:eastAsia="es-US"/>
        </w:rPr>
        <w:t xml:space="preserve"> </w:t>
      </w:r>
      <w:hyperlink r:id="rId33" w:history="1">
        <w:r w:rsidR="004322FA" w:rsidRPr="004322FA">
          <w:rPr>
            <w:rStyle w:val="Hyperlink"/>
            <w:sz w:val="24"/>
            <w:szCs w:val="24"/>
            <w:lang w:val="es-ES" w:eastAsia="es-US"/>
          </w:rPr>
          <w:t>http://www.un.org/spanish/documents/ga/res/51/list51.htm</w:t>
        </w:r>
      </w:hyperlink>
    </w:p>
    <w:p w:rsidR="004322FA" w:rsidRDefault="004322FA">
      <w:pPr>
        <w:ind w:left="360"/>
        <w:jc w:val="both"/>
        <w:rPr>
          <w:sz w:val="24"/>
          <w:szCs w:val="24"/>
          <w:lang w:val="es-ES_tradnl" w:eastAsia="es-US"/>
        </w:rPr>
      </w:pPr>
    </w:p>
    <w:p w:rsidR="00383390" w:rsidRPr="00DF4501" w:rsidRDefault="00383390" w:rsidP="00F46B8E">
      <w:pPr>
        <w:keepNext/>
        <w:numPr>
          <w:ilvl w:val="0"/>
          <w:numId w:val="10"/>
        </w:numPr>
        <w:jc w:val="both"/>
        <w:rPr>
          <w:sz w:val="24"/>
          <w:szCs w:val="24"/>
          <w:lang w:val="es-ES" w:eastAsia="es-US"/>
        </w:rPr>
      </w:pPr>
      <w:r>
        <w:rPr>
          <w:sz w:val="24"/>
          <w:szCs w:val="24"/>
          <w:lang w:eastAsia="es-US"/>
        </w:rPr>
        <w:t xml:space="preserve">World Health Organization. Knowledge Management Strategy [Internet]. </w:t>
      </w:r>
      <w:r>
        <w:rPr>
          <w:sz w:val="24"/>
          <w:szCs w:val="24"/>
          <w:lang w:val="es-ES" w:eastAsia="es-US"/>
        </w:rPr>
        <w:t>Ginebra (Suiza): OMS; 2005 [consultado el 29 de febrero de</w:t>
      </w:r>
      <w:r w:rsidR="00C15A2A">
        <w:rPr>
          <w:sz w:val="24"/>
          <w:szCs w:val="24"/>
          <w:lang w:val="es-ES" w:eastAsia="es-US"/>
        </w:rPr>
        <w:t>l</w:t>
      </w:r>
      <w:r>
        <w:rPr>
          <w:sz w:val="24"/>
          <w:szCs w:val="24"/>
          <w:lang w:val="es-ES" w:eastAsia="es-US"/>
        </w:rPr>
        <w:t xml:space="preserve"> 2012]. Disponible en: </w:t>
      </w:r>
    </w:p>
    <w:p w:rsidR="00383390" w:rsidRDefault="00F8102B" w:rsidP="00F46B8E">
      <w:pPr>
        <w:keepNext/>
        <w:ind w:left="360"/>
        <w:jc w:val="both"/>
        <w:rPr>
          <w:sz w:val="24"/>
          <w:szCs w:val="24"/>
          <w:lang w:val="es-ES" w:eastAsia="es-US"/>
        </w:rPr>
      </w:pPr>
      <w:hyperlink r:id="rId34" w:history="1">
        <w:r w:rsidR="00383390" w:rsidRPr="00DF4501">
          <w:rPr>
            <w:rStyle w:val="Hyperlink"/>
            <w:sz w:val="24"/>
            <w:szCs w:val="24"/>
            <w:lang w:val="es-ES" w:eastAsia="es-US"/>
          </w:rPr>
          <w:t>http://www.who.int/kms/about/strategy/kms_strategy.pdf</w:t>
        </w:r>
      </w:hyperlink>
      <w:r w:rsidR="00383390" w:rsidRPr="00DF4501">
        <w:rPr>
          <w:sz w:val="24"/>
          <w:szCs w:val="24"/>
          <w:lang w:val="es-ES" w:eastAsia="es-US"/>
        </w:rPr>
        <w:t>.</w:t>
      </w:r>
    </w:p>
    <w:p w:rsidR="00383390" w:rsidRDefault="00383390" w:rsidP="00383390">
      <w:pPr>
        <w:ind w:left="360"/>
        <w:jc w:val="both"/>
        <w:rPr>
          <w:sz w:val="24"/>
          <w:szCs w:val="24"/>
          <w:lang w:val="es-ES" w:eastAsia="es-US"/>
        </w:rPr>
      </w:pPr>
    </w:p>
    <w:p w:rsidR="00380790" w:rsidRDefault="00380790">
      <w:pPr>
        <w:numPr>
          <w:ilvl w:val="0"/>
          <w:numId w:val="10"/>
        </w:numPr>
        <w:jc w:val="both"/>
        <w:rPr>
          <w:sz w:val="24"/>
          <w:szCs w:val="24"/>
          <w:lang w:val="es-ES" w:eastAsia="es-US"/>
        </w:rPr>
      </w:pPr>
      <w:r>
        <w:rPr>
          <w:sz w:val="24"/>
          <w:szCs w:val="24"/>
          <w:lang w:val="es-ES" w:eastAsia="es-US"/>
        </w:rPr>
        <w:lastRenderedPageBreak/>
        <w:t>Organización Panamericana de la Salud. Estrategia de Intercambio de Información y Conocimientos en la Organización Panamericana de la Salud. Washington (DC): OPS; 2006.</w:t>
      </w:r>
    </w:p>
    <w:p w:rsidR="00380790" w:rsidRDefault="00380790">
      <w:pPr>
        <w:ind w:left="360"/>
        <w:jc w:val="both"/>
        <w:rPr>
          <w:sz w:val="24"/>
          <w:szCs w:val="24"/>
          <w:lang w:val="es-ES" w:eastAsia="es-US"/>
        </w:rPr>
      </w:pPr>
    </w:p>
    <w:p w:rsidR="00380790" w:rsidRDefault="00380790">
      <w:pPr>
        <w:numPr>
          <w:ilvl w:val="0"/>
          <w:numId w:val="10"/>
        </w:numPr>
        <w:jc w:val="both"/>
        <w:rPr>
          <w:sz w:val="24"/>
          <w:szCs w:val="24"/>
          <w:lang w:val="es-ES" w:eastAsia="es-US"/>
        </w:rPr>
      </w:pPr>
      <w:r>
        <w:rPr>
          <w:sz w:val="24"/>
          <w:szCs w:val="24"/>
          <w:lang w:val="es-ES" w:eastAsia="es-US"/>
        </w:rPr>
        <w:t>Naciones Unidas. Gestión de los conocimientos en el sistema de las Naciones Unidas [Internet]. Ginebra (Suiza): Naciones Unidas; 2007 (documento JIU/REP/2007/6) [consultado el 29 de febrero de</w:t>
      </w:r>
      <w:r w:rsidR="00C15A2A">
        <w:rPr>
          <w:sz w:val="24"/>
          <w:szCs w:val="24"/>
          <w:lang w:val="es-ES" w:eastAsia="es-US"/>
        </w:rPr>
        <w:t>l</w:t>
      </w:r>
      <w:r>
        <w:rPr>
          <w:sz w:val="24"/>
          <w:szCs w:val="24"/>
          <w:lang w:val="es-ES" w:eastAsia="es-US"/>
        </w:rPr>
        <w:t xml:space="preserve"> 2012]. Disponible en: </w:t>
      </w:r>
    </w:p>
    <w:p w:rsidR="00380790" w:rsidRDefault="00F8102B">
      <w:pPr>
        <w:ind w:left="360"/>
        <w:jc w:val="both"/>
        <w:rPr>
          <w:sz w:val="24"/>
          <w:szCs w:val="24"/>
          <w:lang w:val="es-ES" w:eastAsia="es-US"/>
        </w:rPr>
      </w:pPr>
      <w:hyperlink r:id="rId35" w:history="1">
        <w:r w:rsidR="00380790">
          <w:rPr>
            <w:rStyle w:val="Hyperlink"/>
            <w:sz w:val="24"/>
            <w:szCs w:val="24"/>
            <w:lang w:val="es-ES" w:eastAsia="es-US"/>
          </w:rPr>
          <w:t>http://www.unjiu.org/data/reports/2007/en2007_06.pdf</w:t>
        </w:r>
      </w:hyperlink>
      <w:r w:rsidR="00380790">
        <w:rPr>
          <w:sz w:val="24"/>
          <w:szCs w:val="24"/>
          <w:lang w:val="es-ES" w:eastAsia="es-US"/>
        </w:rPr>
        <w:t xml:space="preserve">. </w:t>
      </w:r>
    </w:p>
    <w:p w:rsidR="00380790" w:rsidRDefault="00380790">
      <w:pPr>
        <w:ind w:left="360"/>
        <w:jc w:val="both"/>
        <w:rPr>
          <w:sz w:val="24"/>
          <w:szCs w:val="24"/>
          <w:lang w:val="es-ES" w:eastAsia="es-US"/>
        </w:rPr>
      </w:pPr>
    </w:p>
    <w:p w:rsidR="00383390" w:rsidRPr="00DF46E7" w:rsidRDefault="00953C1B" w:rsidP="00383390">
      <w:pPr>
        <w:numPr>
          <w:ilvl w:val="0"/>
          <w:numId w:val="10"/>
        </w:numPr>
        <w:jc w:val="both"/>
        <w:rPr>
          <w:sz w:val="24"/>
          <w:szCs w:val="24"/>
          <w:lang w:val="es-ES_tradnl" w:eastAsia="es-US"/>
        </w:rPr>
      </w:pPr>
      <w:r w:rsidRPr="00953C1B">
        <w:rPr>
          <w:sz w:val="24"/>
          <w:lang w:val="es-ES"/>
        </w:rPr>
        <w:t xml:space="preserve">Organización Mundial de la Salud. </w:t>
      </w:r>
      <w:r>
        <w:rPr>
          <w:sz w:val="24"/>
          <w:lang w:val="es-ES"/>
        </w:rPr>
        <w:t>Oficina Regional del Mediterráneo Oriental</w:t>
      </w:r>
      <w:r w:rsidR="00383390" w:rsidRPr="00953C1B">
        <w:rPr>
          <w:sz w:val="24"/>
          <w:lang w:val="es-ES"/>
        </w:rPr>
        <w:t xml:space="preserve">. </w:t>
      </w:r>
      <w:r w:rsidR="00383390" w:rsidRPr="00111F55">
        <w:rPr>
          <w:sz w:val="24"/>
          <w:szCs w:val="24"/>
          <w:lang w:eastAsia="es-US"/>
        </w:rPr>
        <w:t xml:space="preserve">Regional Strategy for Knowledge Management to Support Public Health 2006—2013 [Internet]. </w:t>
      </w:r>
      <w:r w:rsidRPr="00953C1B">
        <w:rPr>
          <w:sz w:val="24"/>
          <w:szCs w:val="24"/>
          <w:lang w:val="es-ES" w:eastAsia="es-US"/>
        </w:rPr>
        <w:t>Cairo (Egipto</w:t>
      </w:r>
      <w:r w:rsidR="00383390" w:rsidRPr="00DF46E7">
        <w:rPr>
          <w:sz w:val="24"/>
          <w:szCs w:val="24"/>
          <w:lang w:val="es-ES_tradnl" w:eastAsia="es-US"/>
        </w:rPr>
        <w:t xml:space="preserve">): </w:t>
      </w:r>
      <w:r>
        <w:rPr>
          <w:sz w:val="24"/>
          <w:szCs w:val="24"/>
          <w:lang w:val="es-ES_tradnl" w:eastAsia="es-US"/>
        </w:rPr>
        <w:t>OMS-EMRO</w:t>
      </w:r>
      <w:r w:rsidR="00383390" w:rsidRPr="00DF46E7">
        <w:rPr>
          <w:sz w:val="24"/>
          <w:szCs w:val="24"/>
          <w:lang w:val="es-ES_tradnl" w:eastAsia="es-US"/>
        </w:rPr>
        <w:t xml:space="preserve">; 2009 [consultado </w:t>
      </w:r>
      <w:r w:rsidR="00111F55" w:rsidRPr="00DF46E7">
        <w:rPr>
          <w:sz w:val="24"/>
          <w:szCs w:val="24"/>
          <w:lang w:val="es-ES_tradnl" w:eastAsia="es-US"/>
        </w:rPr>
        <w:t>e</w:t>
      </w:r>
      <w:r w:rsidR="00383390" w:rsidRPr="00DF46E7">
        <w:rPr>
          <w:sz w:val="24"/>
          <w:szCs w:val="24"/>
          <w:lang w:val="es-ES_tradnl" w:eastAsia="es-US"/>
        </w:rPr>
        <w:t>l 29 de febrero de</w:t>
      </w:r>
      <w:r w:rsidR="00C15A2A" w:rsidRPr="00DF46E7">
        <w:rPr>
          <w:sz w:val="24"/>
          <w:szCs w:val="24"/>
          <w:lang w:val="es-ES_tradnl" w:eastAsia="es-US"/>
        </w:rPr>
        <w:t>l</w:t>
      </w:r>
      <w:r w:rsidR="00383390" w:rsidRPr="00DF46E7">
        <w:rPr>
          <w:sz w:val="24"/>
          <w:szCs w:val="24"/>
          <w:lang w:val="es-ES_tradnl" w:eastAsia="es-US"/>
        </w:rPr>
        <w:t xml:space="preserve"> 2012]. Disponible en: </w:t>
      </w:r>
      <w:hyperlink r:id="rId36" w:history="1">
        <w:r w:rsidR="00383390" w:rsidRPr="00DF46E7">
          <w:rPr>
            <w:rStyle w:val="Hyperlink"/>
            <w:sz w:val="24"/>
            <w:szCs w:val="24"/>
            <w:lang w:val="es-ES_tradnl" w:eastAsia="es-US"/>
          </w:rPr>
          <w:t>http://www.emro.who.int/dsaf/dsa999.pdf</w:t>
        </w:r>
      </w:hyperlink>
      <w:r w:rsidR="00383390" w:rsidRPr="00DF46E7">
        <w:rPr>
          <w:sz w:val="24"/>
          <w:szCs w:val="24"/>
          <w:lang w:val="es-ES_tradnl" w:eastAsia="es-US"/>
        </w:rPr>
        <w:t xml:space="preserve">. </w:t>
      </w:r>
    </w:p>
    <w:p w:rsidR="00383390" w:rsidRPr="00DF46E7" w:rsidRDefault="00383390" w:rsidP="00383390">
      <w:pPr>
        <w:ind w:left="360"/>
        <w:jc w:val="both"/>
        <w:rPr>
          <w:sz w:val="24"/>
          <w:szCs w:val="24"/>
          <w:lang w:val="es-ES_tradnl" w:eastAsia="es-US"/>
        </w:rPr>
      </w:pPr>
    </w:p>
    <w:p w:rsidR="00D568E6" w:rsidRPr="00D77529" w:rsidRDefault="003358FC" w:rsidP="00D568E6">
      <w:pPr>
        <w:numPr>
          <w:ilvl w:val="0"/>
          <w:numId w:val="10"/>
        </w:numPr>
        <w:jc w:val="both"/>
        <w:rPr>
          <w:sz w:val="24"/>
          <w:szCs w:val="24"/>
          <w:lang w:val="es-ES" w:eastAsia="es-US"/>
        </w:rPr>
      </w:pPr>
      <w:r>
        <w:rPr>
          <w:sz w:val="24"/>
          <w:szCs w:val="24"/>
          <w:lang w:val="es-ES" w:eastAsia="es-US"/>
        </w:rPr>
        <w:t xml:space="preserve">Organización Panamericana de la Salud. Estrategia </w:t>
      </w:r>
      <w:r w:rsidR="00D568E6">
        <w:rPr>
          <w:sz w:val="24"/>
          <w:szCs w:val="24"/>
          <w:lang w:val="es-ES" w:eastAsia="es-US"/>
        </w:rPr>
        <w:t>de</w:t>
      </w:r>
      <w:r>
        <w:rPr>
          <w:sz w:val="24"/>
          <w:szCs w:val="24"/>
          <w:lang w:val="es-ES" w:eastAsia="es-US"/>
        </w:rPr>
        <w:t xml:space="preserve"> </w:t>
      </w:r>
      <w:r w:rsidR="00D568E6">
        <w:rPr>
          <w:sz w:val="24"/>
          <w:szCs w:val="24"/>
          <w:lang w:val="es-ES" w:eastAsia="es-US"/>
        </w:rPr>
        <w:t>g</w:t>
      </w:r>
      <w:r>
        <w:rPr>
          <w:sz w:val="24"/>
          <w:szCs w:val="24"/>
          <w:lang w:val="es-ES" w:eastAsia="es-US"/>
        </w:rPr>
        <w:t xml:space="preserve">estión del </w:t>
      </w:r>
      <w:r w:rsidR="00D568E6">
        <w:rPr>
          <w:sz w:val="24"/>
          <w:szCs w:val="24"/>
          <w:lang w:val="es-ES" w:eastAsia="es-US"/>
        </w:rPr>
        <w:t>c</w:t>
      </w:r>
      <w:r>
        <w:rPr>
          <w:sz w:val="24"/>
          <w:szCs w:val="24"/>
          <w:lang w:val="es-ES" w:eastAsia="es-US"/>
        </w:rPr>
        <w:t>onocimiento y Comunicaciones</w:t>
      </w:r>
      <w:r w:rsidR="00D568E6">
        <w:rPr>
          <w:sz w:val="24"/>
          <w:szCs w:val="24"/>
          <w:lang w:val="es-ES" w:eastAsia="es-US"/>
        </w:rPr>
        <w:t>, Guía para todas las entidades de la OPS/OMS en la adopción de prácticas, políticas, normas y procedimientos de gestión del conocimiento y comunicaciones [In</w:t>
      </w:r>
      <w:r>
        <w:rPr>
          <w:sz w:val="24"/>
          <w:szCs w:val="24"/>
          <w:lang w:val="es-ES" w:eastAsia="es-US"/>
        </w:rPr>
        <w:t xml:space="preserve">ternet]. </w:t>
      </w:r>
      <w:r w:rsidR="0095210E">
        <w:rPr>
          <w:sz w:val="24"/>
          <w:szCs w:val="24"/>
          <w:lang w:val="es-ES_tradnl" w:eastAsia="es-US"/>
        </w:rPr>
        <w:t>Washington</w:t>
      </w:r>
      <w:r>
        <w:rPr>
          <w:sz w:val="24"/>
          <w:szCs w:val="24"/>
          <w:lang w:val="es-ES_tradnl" w:eastAsia="es-US"/>
        </w:rPr>
        <w:t xml:space="preserve"> </w:t>
      </w:r>
      <w:r w:rsidR="0095210E">
        <w:rPr>
          <w:sz w:val="24"/>
          <w:szCs w:val="24"/>
          <w:lang w:val="es-ES_tradnl" w:eastAsia="es-US"/>
        </w:rPr>
        <w:t>(</w:t>
      </w:r>
      <w:r>
        <w:rPr>
          <w:sz w:val="24"/>
          <w:szCs w:val="24"/>
          <w:lang w:val="es-ES_tradnl" w:eastAsia="es-US"/>
        </w:rPr>
        <w:t>DC</w:t>
      </w:r>
      <w:r w:rsidR="0095210E">
        <w:rPr>
          <w:sz w:val="24"/>
          <w:szCs w:val="24"/>
          <w:lang w:val="es-ES_tradnl" w:eastAsia="es-US"/>
        </w:rPr>
        <w:t>)</w:t>
      </w:r>
      <w:r>
        <w:rPr>
          <w:sz w:val="24"/>
          <w:szCs w:val="24"/>
          <w:lang w:val="es-ES_tradnl" w:eastAsia="es-US"/>
        </w:rPr>
        <w:t>: OPS; 2</w:t>
      </w:r>
      <w:r w:rsidR="00D9280A">
        <w:rPr>
          <w:sz w:val="24"/>
          <w:szCs w:val="24"/>
          <w:lang w:val="es-ES_tradnl" w:eastAsia="es-US"/>
        </w:rPr>
        <w:t>011.</w:t>
      </w:r>
      <w:r w:rsidR="00D568E6" w:rsidRPr="00D568E6">
        <w:rPr>
          <w:sz w:val="24"/>
          <w:szCs w:val="24"/>
          <w:lang w:val="es-ES_tradnl" w:eastAsia="es-US"/>
        </w:rPr>
        <w:t xml:space="preserve"> </w:t>
      </w:r>
      <w:r w:rsidR="00D568E6" w:rsidRPr="00A22BAE">
        <w:rPr>
          <w:sz w:val="24"/>
          <w:szCs w:val="24"/>
          <w:lang w:val="es-ES_tradnl" w:eastAsia="es-US"/>
        </w:rPr>
        <w:t>[consultado 29 de febrero de</w:t>
      </w:r>
      <w:r w:rsidR="00D568E6">
        <w:rPr>
          <w:sz w:val="24"/>
          <w:szCs w:val="24"/>
          <w:lang w:val="es-ES_tradnl" w:eastAsia="es-US"/>
        </w:rPr>
        <w:t>l</w:t>
      </w:r>
      <w:r w:rsidR="00D568E6" w:rsidRPr="00A22BAE">
        <w:rPr>
          <w:sz w:val="24"/>
          <w:szCs w:val="24"/>
          <w:lang w:val="es-ES_tradnl" w:eastAsia="es-US"/>
        </w:rPr>
        <w:t xml:space="preserve"> 2012]. Disponible en: </w:t>
      </w:r>
    </w:p>
    <w:p w:rsidR="00D568E6" w:rsidRDefault="00F8102B" w:rsidP="00D568E6">
      <w:pPr>
        <w:ind w:left="360"/>
        <w:jc w:val="both"/>
        <w:rPr>
          <w:sz w:val="24"/>
          <w:szCs w:val="24"/>
          <w:lang w:val="es-ES_tradnl" w:eastAsia="es-US"/>
        </w:rPr>
      </w:pPr>
      <w:hyperlink r:id="rId37" w:history="1">
        <w:r w:rsidR="00D568E6" w:rsidRPr="00A22BAE">
          <w:rPr>
            <w:rStyle w:val="Hyperlink"/>
            <w:sz w:val="24"/>
            <w:szCs w:val="24"/>
            <w:lang w:val="es-ES_tradnl" w:eastAsia="es-US"/>
          </w:rPr>
          <w:t>https://intranet.paho.org/kmc/intranet/Documents/KMC%20Strategy/Estrategia%20KMC%20%28spanish%29.pdf</w:t>
        </w:r>
      </w:hyperlink>
      <w:r w:rsidR="00D568E6" w:rsidRPr="00A22BAE">
        <w:rPr>
          <w:sz w:val="24"/>
          <w:szCs w:val="24"/>
          <w:lang w:val="es-ES_tradnl" w:eastAsia="es-US"/>
        </w:rPr>
        <w:t xml:space="preserve">.  </w:t>
      </w:r>
    </w:p>
    <w:p w:rsidR="003358FC" w:rsidRDefault="003358FC" w:rsidP="003358FC">
      <w:pPr>
        <w:ind w:left="360"/>
        <w:jc w:val="both"/>
        <w:rPr>
          <w:sz w:val="24"/>
          <w:szCs w:val="24"/>
          <w:lang w:val="es-ES" w:eastAsia="es-US"/>
        </w:rPr>
      </w:pPr>
    </w:p>
    <w:p w:rsidR="00380790" w:rsidRDefault="00380790">
      <w:pPr>
        <w:numPr>
          <w:ilvl w:val="0"/>
          <w:numId w:val="10"/>
        </w:numPr>
        <w:jc w:val="both"/>
        <w:rPr>
          <w:sz w:val="24"/>
          <w:szCs w:val="24"/>
          <w:lang w:val="es-ES" w:eastAsia="es-US"/>
        </w:rPr>
      </w:pPr>
      <w:r>
        <w:rPr>
          <w:sz w:val="24"/>
          <w:szCs w:val="24"/>
          <w:lang w:val="es-ES" w:eastAsia="es-US"/>
        </w:rPr>
        <w:t xml:space="preserve">Organización Panamericana de la Salud. Estrategia y Plan de Acción sobre </w:t>
      </w:r>
      <w:proofErr w:type="spellStart"/>
      <w:r w:rsidRPr="00111F55">
        <w:rPr>
          <w:i/>
          <w:sz w:val="24"/>
          <w:szCs w:val="24"/>
          <w:lang w:val="es-ES" w:eastAsia="es-US"/>
        </w:rPr>
        <w:t>eSalud</w:t>
      </w:r>
      <w:proofErr w:type="spellEnd"/>
      <w:r>
        <w:rPr>
          <w:sz w:val="24"/>
          <w:szCs w:val="24"/>
          <w:lang w:val="es-ES" w:eastAsia="es-US"/>
        </w:rPr>
        <w:t xml:space="preserve"> (2012-2017) [Internet]. 51</w:t>
      </w:r>
      <w:proofErr w:type="gramStart"/>
      <w:r>
        <w:rPr>
          <w:sz w:val="24"/>
          <w:szCs w:val="24"/>
          <w:lang w:val="es-ES" w:eastAsia="es-US"/>
        </w:rPr>
        <w:t>.</w:t>
      </w:r>
      <w:r>
        <w:rPr>
          <w:sz w:val="24"/>
          <w:szCs w:val="24"/>
          <w:vertAlign w:val="superscript"/>
          <w:lang w:val="es-ES" w:eastAsia="es-US"/>
        </w:rPr>
        <w:t>o</w:t>
      </w:r>
      <w:proofErr w:type="gramEnd"/>
      <w:r>
        <w:rPr>
          <w:sz w:val="24"/>
          <w:szCs w:val="24"/>
          <w:lang w:val="es-ES" w:eastAsia="es-US"/>
        </w:rPr>
        <w:t xml:space="preserve"> Consejo Directivo</w:t>
      </w:r>
      <w:r w:rsidR="00D9280A">
        <w:rPr>
          <w:sz w:val="24"/>
          <w:szCs w:val="24"/>
          <w:lang w:val="es-ES" w:eastAsia="es-US"/>
        </w:rPr>
        <w:t xml:space="preserve"> </w:t>
      </w:r>
      <w:proofErr w:type="spellStart"/>
      <w:r w:rsidR="00D9280A">
        <w:rPr>
          <w:sz w:val="24"/>
          <w:szCs w:val="24"/>
          <w:lang w:val="es-ES" w:eastAsia="es-US"/>
        </w:rPr>
        <w:t>Directivo</w:t>
      </w:r>
      <w:proofErr w:type="spellEnd"/>
      <w:r w:rsidR="00D9280A">
        <w:rPr>
          <w:sz w:val="24"/>
          <w:szCs w:val="24"/>
          <w:lang w:val="es-ES" w:eastAsia="es-US"/>
        </w:rPr>
        <w:t xml:space="preserve"> de la OPS, 63.ª sesión del Comité Regional de la OMS para las Américas; del 26 al 30 de septiembre del 2011</w:t>
      </w:r>
      <w:r>
        <w:rPr>
          <w:sz w:val="24"/>
          <w:szCs w:val="24"/>
          <w:lang w:val="es-ES" w:eastAsia="es-US"/>
        </w:rPr>
        <w:t>;</w:t>
      </w:r>
      <w:r w:rsidR="00D9280A">
        <w:rPr>
          <w:sz w:val="24"/>
          <w:szCs w:val="24"/>
          <w:lang w:val="es-ES" w:eastAsia="es-US"/>
        </w:rPr>
        <w:t xml:space="preserve"> Washington (DC) Estados Unidos.</w:t>
      </w:r>
      <w:r>
        <w:rPr>
          <w:sz w:val="24"/>
          <w:szCs w:val="24"/>
          <w:lang w:val="es-ES" w:eastAsia="es-US"/>
        </w:rPr>
        <w:t xml:space="preserve"> Washington</w:t>
      </w:r>
      <w:r w:rsidR="0095210E">
        <w:rPr>
          <w:sz w:val="24"/>
          <w:szCs w:val="24"/>
          <w:lang w:val="es-ES" w:eastAsia="es-US"/>
        </w:rPr>
        <w:t xml:space="preserve"> (</w:t>
      </w:r>
      <w:r>
        <w:rPr>
          <w:sz w:val="24"/>
          <w:szCs w:val="24"/>
          <w:lang w:val="es-ES" w:eastAsia="es-US"/>
        </w:rPr>
        <w:t>DC</w:t>
      </w:r>
      <w:r w:rsidR="0095210E">
        <w:rPr>
          <w:sz w:val="24"/>
          <w:szCs w:val="24"/>
          <w:lang w:val="es-ES" w:eastAsia="es-US"/>
        </w:rPr>
        <w:t>)</w:t>
      </w:r>
      <w:r>
        <w:rPr>
          <w:sz w:val="24"/>
          <w:szCs w:val="24"/>
          <w:lang w:val="es-ES" w:eastAsia="es-US"/>
        </w:rPr>
        <w:t xml:space="preserve">: OPS; 2011 </w:t>
      </w:r>
      <w:r w:rsidR="00246D66">
        <w:rPr>
          <w:sz w:val="24"/>
          <w:szCs w:val="24"/>
          <w:lang w:val="es-ES" w:eastAsia="es-US"/>
        </w:rPr>
        <w:t>(documento CD51/13) [</w:t>
      </w:r>
      <w:r>
        <w:rPr>
          <w:sz w:val="24"/>
          <w:szCs w:val="24"/>
          <w:lang w:val="es-ES" w:eastAsia="es-US"/>
        </w:rPr>
        <w:t>consultado el 29 de febrero de</w:t>
      </w:r>
      <w:r w:rsidR="00C15A2A">
        <w:rPr>
          <w:sz w:val="24"/>
          <w:szCs w:val="24"/>
          <w:lang w:val="es-ES" w:eastAsia="es-US"/>
        </w:rPr>
        <w:t>l</w:t>
      </w:r>
      <w:r>
        <w:rPr>
          <w:sz w:val="24"/>
          <w:szCs w:val="24"/>
          <w:lang w:val="es-ES" w:eastAsia="es-US"/>
        </w:rPr>
        <w:t xml:space="preserve"> 2012]. Disponible en: </w:t>
      </w:r>
    </w:p>
    <w:p w:rsidR="00380790" w:rsidRDefault="00F8102B">
      <w:pPr>
        <w:ind w:left="360"/>
        <w:jc w:val="both"/>
        <w:rPr>
          <w:sz w:val="24"/>
          <w:szCs w:val="24"/>
          <w:lang w:val="es-ES" w:eastAsia="es-US"/>
        </w:rPr>
      </w:pPr>
      <w:hyperlink r:id="rId38" w:history="1">
        <w:r w:rsidR="00380790">
          <w:rPr>
            <w:rStyle w:val="Hyperlink"/>
            <w:sz w:val="24"/>
            <w:szCs w:val="24"/>
            <w:lang w:val="es-ES" w:eastAsia="es-US"/>
          </w:rPr>
          <w:t>http://new.paho.org/hq/index.php?option=com_docman&amp;task=doc_download&amp;gid=14573&amp;Itemid</w:t>
        </w:r>
      </w:hyperlink>
      <w:r w:rsidR="00380790">
        <w:rPr>
          <w:sz w:val="24"/>
          <w:szCs w:val="24"/>
          <w:lang w:val="es-ES" w:eastAsia="es-US"/>
        </w:rPr>
        <w:t>.</w:t>
      </w:r>
    </w:p>
    <w:p w:rsidR="00380790" w:rsidRDefault="00380790">
      <w:pPr>
        <w:ind w:left="360"/>
        <w:jc w:val="both"/>
        <w:rPr>
          <w:sz w:val="24"/>
          <w:szCs w:val="24"/>
          <w:lang w:val="es-ES" w:eastAsia="es-US"/>
        </w:rPr>
      </w:pPr>
    </w:p>
    <w:p w:rsidR="00380790" w:rsidRDefault="00380790">
      <w:pPr>
        <w:numPr>
          <w:ilvl w:val="0"/>
          <w:numId w:val="10"/>
        </w:numPr>
        <w:jc w:val="both"/>
        <w:rPr>
          <w:sz w:val="24"/>
          <w:szCs w:val="24"/>
          <w:lang w:val="es-ES" w:eastAsia="es-US"/>
        </w:rPr>
      </w:pPr>
      <w:r>
        <w:rPr>
          <w:sz w:val="24"/>
          <w:szCs w:val="24"/>
          <w:lang w:val="es-ES" w:eastAsia="es-US"/>
        </w:rPr>
        <w:t>Comisión Económica para América Latina y el Caribe. Salud electrónica en América Latina y el Caribe: avances y desafíos [Internet]. Santiago (Chile): CEPAL; 2010 [consultado el 12 de marzo de</w:t>
      </w:r>
      <w:r w:rsidR="00C15A2A">
        <w:rPr>
          <w:sz w:val="24"/>
          <w:szCs w:val="24"/>
          <w:lang w:val="es-ES" w:eastAsia="es-US"/>
        </w:rPr>
        <w:t>l</w:t>
      </w:r>
      <w:r>
        <w:rPr>
          <w:sz w:val="24"/>
          <w:szCs w:val="24"/>
          <w:lang w:val="es-ES" w:eastAsia="es-US"/>
        </w:rPr>
        <w:t xml:space="preserve"> 201</w:t>
      </w:r>
      <w:r w:rsidR="00DF46E7">
        <w:rPr>
          <w:sz w:val="24"/>
          <w:szCs w:val="24"/>
          <w:lang w:val="es-ES" w:eastAsia="es-US"/>
        </w:rPr>
        <w:t>2</w:t>
      </w:r>
      <w:r>
        <w:rPr>
          <w:sz w:val="24"/>
          <w:szCs w:val="24"/>
          <w:lang w:val="es-ES" w:eastAsia="es-US"/>
        </w:rPr>
        <w:t xml:space="preserve">]. Disponible en: </w:t>
      </w:r>
    </w:p>
    <w:p w:rsidR="00380790" w:rsidRDefault="00F8102B">
      <w:pPr>
        <w:ind w:left="360"/>
        <w:jc w:val="both"/>
        <w:rPr>
          <w:sz w:val="24"/>
          <w:szCs w:val="24"/>
          <w:lang w:val="es-ES" w:eastAsia="es-US"/>
        </w:rPr>
      </w:pPr>
      <w:hyperlink r:id="rId39" w:history="1">
        <w:r w:rsidR="00380790">
          <w:rPr>
            <w:rStyle w:val="Hyperlink"/>
            <w:sz w:val="24"/>
            <w:szCs w:val="24"/>
            <w:lang w:val="es-ES" w:eastAsia="es-US"/>
          </w:rPr>
          <w:t>http://www.cepal.org/publicaciones/xml/5/41825/di-salud-electrinica-LAC.pdf</w:t>
        </w:r>
      </w:hyperlink>
      <w:r w:rsidR="00380790">
        <w:rPr>
          <w:sz w:val="24"/>
          <w:szCs w:val="24"/>
          <w:lang w:val="es-ES" w:eastAsia="es-US"/>
        </w:rPr>
        <w:t xml:space="preserve">. </w:t>
      </w:r>
    </w:p>
    <w:p w:rsidR="00380790" w:rsidRDefault="00380790">
      <w:pPr>
        <w:ind w:left="360"/>
        <w:jc w:val="both"/>
        <w:rPr>
          <w:sz w:val="24"/>
          <w:szCs w:val="24"/>
          <w:lang w:val="es-ES" w:eastAsia="es-US"/>
        </w:rPr>
      </w:pPr>
    </w:p>
    <w:p w:rsidR="00771D46" w:rsidRPr="00111F55" w:rsidRDefault="00771D46">
      <w:pPr>
        <w:numPr>
          <w:ilvl w:val="0"/>
          <w:numId w:val="10"/>
        </w:numPr>
        <w:jc w:val="both"/>
        <w:rPr>
          <w:sz w:val="24"/>
          <w:szCs w:val="24"/>
          <w:lang w:val="es-ES" w:eastAsia="es-US"/>
        </w:rPr>
      </w:pPr>
      <w:r w:rsidRPr="00111F55">
        <w:rPr>
          <w:sz w:val="24"/>
          <w:szCs w:val="24"/>
          <w:lang w:val="es-ES" w:eastAsia="es-US"/>
        </w:rPr>
        <w:t xml:space="preserve">Red de Indicadores de Ciencia y Tecnología. Publicaciones </w:t>
      </w:r>
      <w:r>
        <w:rPr>
          <w:sz w:val="24"/>
          <w:szCs w:val="24"/>
          <w:lang w:val="es-ES" w:eastAsia="es-US"/>
        </w:rPr>
        <w:t>en MEDLINE</w:t>
      </w:r>
      <w:r w:rsidRPr="00111F55">
        <w:rPr>
          <w:sz w:val="24"/>
          <w:szCs w:val="24"/>
          <w:lang w:val="es-ES" w:eastAsia="es-US"/>
        </w:rPr>
        <w:t>. [Datos en línea]</w:t>
      </w:r>
      <w:r w:rsidR="00111F55">
        <w:rPr>
          <w:sz w:val="24"/>
          <w:szCs w:val="24"/>
          <w:lang w:val="es-ES" w:eastAsia="es-US"/>
        </w:rPr>
        <w:t>.</w:t>
      </w:r>
      <w:r w:rsidRPr="00111F55">
        <w:rPr>
          <w:sz w:val="24"/>
          <w:szCs w:val="24"/>
          <w:lang w:val="es-ES" w:eastAsia="es-US"/>
        </w:rPr>
        <w:t xml:space="preserve"> Buenos Aires: RICYT; 200</w:t>
      </w:r>
      <w:r>
        <w:rPr>
          <w:sz w:val="24"/>
          <w:szCs w:val="24"/>
          <w:lang w:val="es-ES" w:eastAsia="es-US"/>
        </w:rPr>
        <w:t>9</w:t>
      </w:r>
      <w:r w:rsidRPr="00111F55">
        <w:rPr>
          <w:sz w:val="24"/>
          <w:szCs w:val="24"/>
          <w:lang w:val="es-ES" w:eastAsia="es-US"/>
        </w:rPr>
        <w:t xml:space="preserve"> [</w:t>
      </w:r>
      <w:r w:rsidR="00517452">
        <w:rPr>
          <w:sz w:val="24"/>
          <w:szCs w:val="24"/>
          <w:lang w:val="es-ES" w:eastAsia="es-US"/>
        </w:rPr>
        <w:t>consu</w:t>
      </w:r>
      <w:r>
        <w:rPr>
          <w:sz w:val="24"/>
          <w:szCs w:val="24"/>
          <w:lang w:val="es-ES" w:eastAsia="es-US"/>
        </w:rPr>
        <w:t>l</w:t>
      </w:r>
      <w:r w:rsidR="00517452">
        <w:rPr>
          <w:sz w:val="24"/>
          <w:szCs w:val="24"/>
          <w:lang w:val="es-ES" w:eastAsia="es-US"/>
        </w:rPr>
        <w:t>t</w:t>
      </w:r>
      <w:r>
        <w:rPr>
          <w:sz w:val="24"/>
          <w:szCs w:val="24"/>
          <w:lang w:val="es-ES" w:eastAsia="es-US"/>
        </w:rPr>
        <w:t>ado el 19 de abril de</w:t>
      </w:r>
      <w:r w:rsidR="00C15A2A">
        <w:rPr>
          <w:sz w:val="24"/>
          <w:szCs w:val="24"/>
          <w:lang w:val="es-ES" w:eastAsia="es-US"/>
        </w:rPr>
        <w:t>l</w:t>
      </w:r>
      <w:r>
        <w:rPr>
          <w:sz w:val="24"/>
          <w:szCs w:val="24"/>
          <w:lang w:val="es-ES" w:eastAsia="es-US"/>
        </w:rPr>
        <w:t xml:space="preserve"> 2012</w:t>
      </w:r>
      <w:r w:rsidRPr="00111F55">
        <w:rPr>
          <w:sz w:val="24"/>
          <w:szCs w:val="24"/>
          <w:lang w:val="es-ES" w:eastAsia="es-US"/>
        </w:rPr>
        <w:t xml:space="preserve">]. </w:t>
      </w:r>
      <w:r>
        <w:rPr>
          <w:sz w:val="24"/>
          <w:szCs w:val="24"/>
          <w:lang w:val="es-ES" w:eastAsia="es-US"/>
        </w:rPr>
        <w:t>D</w:t>
      </w:r>
      <w:r w:rsidRPr="00111F55">
        <w:rPr>
          <w:sz w:val="24"/>
          <w:szCs w:val="24"/>
          <w:lang w:val="es-ES" w:eastAsia="es-US"/>
        </w:rPr>
        <w:t xml:space="preserve">isponible en: </w:t>
      </w:r>
      <w:r w:rsidRPr="00111F55">
        <w:rPr>
          <w:rStyle w:val="Hyperlink"/>
          <w:sz w:val="24"/>
          <w:szCs w:val="24"/>
          <w:lang w:val="es-ES"/>
        </w:rPr>
        <w:t>http://bd.ricyt.org/explorer.php/query/submit?excel=on&amp;indicators[]=PUBMED&amp;syear=1990&amp;eyear=2009&amp;</w:t>
      </w:r>
    </w:p>
    <w:p w:rsidR="00771D46" w:rsidRPr="00771D46" w:rsidRDefault="00771D46" w:rsidP="00111F55">
      <w:pPr>
        <w:ind w:left="360"/>
        <w:jc w:val="both"/>
        <w:rPr>
          <w:sz w:val="24"/>
          <w:szCs w:val="24"/>
          <w:lang w:val="es-ES" w:eastAsia="es-US"/>
        </w:rPr>
      </w:pPr>
    </w:p>
    <w:p w:rsidR="00380790" w:rsidRPr="00052EE7" w:rsidRDefault="00380790" w:rsidP="004322FA">
      <w:pPr>
        <w:keepNext/>
        <w:numPr>
          <w:ilvl w:val="0"/>
          <w:numId w:val="10"/>
        </w:numPr>
        <w:jc w:val="both"/>
        <w:rPr>
          <w:sz w:val="24"/>
          <w:szCs w:val="24"/>
          <w:lang w:val="es-ES" w:eastAsia="es-US"/>
        </w:rPr>
      </w:pPr>
      <w:r>
        <w:rPr>
          <w:sz w:val="24"/>
          <w:szCs w:val="24"/>
          <w:lang w:val="es-ES" w:eastAsia="es-US"/>
        </w:rPr>
        <w:lastRenderedPageBreak/>
        <w:t>Unión Internacional de Telecomunicaciones. Cumbre Mundial de la Sociedad de la Información. Ginebra (Suiza): Unión Internacional de Telecomunicaciones; 2003 [consultado el 29 de febrero de</w:t>
      </w:r>
      <w:r w:rsidR="00052EE7">
        <w:rPr>
          <w:sz w:val="24"/>
          <w:szCs w:val="24"/>
          <w:lang w:val="es-ES" w:eastAsia="es-US"/>
        </w:rPr>
        <w:t>l</w:t>
      </w:r>
      <w:r>
        <w:rPr>
          <w:sz w:val="24"/>
          <w:szCs w:val="24"/>
          <w:lang w:val="es-ES" w:eastAsia="es-US"/>
        </w:rPr>
        <w:t xml:space="preserve"> 2012]. </w:t>
      </w:r>
      <w:r w:rsidRPr="00052EE7">
        <w:rPr>
          <w:sz w:val="24"/>
          <w:szCs w:val="24"/>
          <w:lang w:val="es-ES" w:eastAsia="es-US"/>
        </w:rPr>
        <w:t xml:space="preserve">Disponible en: </w:t>
      </w:r>
    </w:p>
    <w:p w:rsidR="00380790" w:rsidRPr="00DF46E7" w:rsidRDefault="00F8102B" w:rsidP="004322FA">
      <w:pPr>
        <w:keepNext/>
        <w:ind w:left="360"/>
        <w:jc w:val="both"/>
        <w:rPr>
          <w:sz w:val="24"/>
          <w:szCs w:val="24"/>
          <w:lang w:val="es-ES" w:eastAsia="es-US"/>
        </w:rPr>
      </w:pPr>
      <w:hyperlink r:id="rId40" w:history="1">
        <w:r w:rsidR="00380790" w:rsidRPr="00DF46E7">
          <w:rPr>
            <w:rStyle w:val="Hyperlink"/>
            <w:sz w:val="24"/>
            <w:szCs w:val="24"/>
            <w:lang w:val="es-ES" w:eastAsia="es-US"/>
          </w:rPr>
          <w:t>http://new.paho.org/blogs/kmc/wp-content/uploads/2011/03/tabla1.doc</w:t>
        </w:r>
      </w:hyperlink>
      <w:r w:rsidR="00380790" w:rsidRPr="00DF46E7">
        <w:rPr>
          <w:sz w:val="24"/>
          <w:szCs w:val="24"/>
          <w:lang w:val="es-ES" w:eastAsia="es-US"/>
        </w:rPr>
        <w:t xml:space="preserve">. </w:t>
      </w:r>
    </w:p>
    <w:p w:rsidR="00380790" w:rsidRPr="00D9280A" w:rsidRDefault="00380790">
      <w:pPr>
        <w:ind w:left="360"/>
        <w:jc w:val="both"/>
        <w:rPr>
          <w:sz w:val="32"/>
          <w:szCs w:val="24"/>
          <w:lang w:val="es-ES" w:eastAsia="es-US"/>
        </w:rPr>
      </w:pPr>
    </w:p>
    <w:p w:rsidR="00D9280A" w:rsidRPr="00D9280A" w:rsidRDefault="00D9280A" w:rsidP="00D9280A">
      <w:pPr>
        <w:numPr>
          <w:ilvl w:val="0"/>
          <w:numId w:val="10"/>
        </w:numPr>
        <w:jc w:val="both"/>
        <w:rPr>
          <w:sz w:val="32"/>
          <w:szCs w:val="24"/>
          <w:lang w:val="es-ES" w:eastAsia="es-US"/>
        </w:rPr>
      </w:pPr>
      <w:r w:rsidRPr="00D9280A">
        <w:rPr>
          <w:sz w:val="24"/>
          <w:lang w:val="es-ES"/>
        </w:rPr>
        <w:t>Organización Panamericana de la Salud. Agenda de Salud para las Américas 2008</w:t>
      </w:r>
      <w:r w:rsidRPr="00D9280A">
        <w:rPr>
          <w:sz w:val="24"/>
          <w:lang w:val="es-ES"/>
        </w:rPr>
        <w:noBreakHyphen/>
        <w:t xml:space="preserve">2017 [Internet]. </w:t>
      </w:r>
      <w:r w:rsidRPr="00FC6FDF">
        <w:rPr>
          <w:sz w:val="24"/>
          <w:lang w:val="es-ES"/>
        </w:rPr>
        <w:t>Presentada por los Ministros de Salud de las Américas en la Ciudad de Panamá; junio del 2007; Panamá. Washington, (DC): OPS; 2007 [</w:t>
      </w:r>
      <w:r w:rsidRPr="00FC6FDF">
        <w:rPr>
          <w:color w:val="000000"/>
          <w:sz w:val="24"/>
          <w:lang w:val="es-ES"/>
        </w:rPr>
        <w:t xml:space="preserve">consultado el </w:t>
      </w:r>
      <w:r w:rsidRPr="00FC6FDF">
        <w:rPr>
          <w:sz w:val="24"/>
          <w:lang w:val="es-ES"/>
        </w:rPr>
        <w:t>12 de marzo del 2012</w:t>
      </w:r>
      <w:r w:rsidRPr="00FC6FDF">
        <w:rPr>
          <w:color w:val="000000"/>
          <w:sz w:val="24"/>
          <w:lang w:val="es-ES"/>
        </w:rPr>
        <w:t xml:space="preserve">]. Disponible en: </w:t>
      </w:r>
    </w:p>
    <w:p w:rsidR="00380790" w:rsidRDefault="00F8102B">
      <w:pPr>
        <w:ind w:left="360"/>
        <w:jc w:val="both"/>
        <w:rPr>
          <w:sz w:val="24"/>
          <w:szCs w:val="24"/>
          <w:lang w:val="es-ES" w:eastAsia="es-US"/>
        </w:rPr>
      </w:pPr>
      <w:hyperlink r:id="rId41" w:history="1">
        <w:r w:rsidR="00380790">
          <w:rPr>
            <w:rStyle w:val="Hyperlink"/>
            <w:sz w:val="24"/>
            <w:szCs w:val="24"/>
            <w:lang w:val="es-ES" w:eastAsia="es-US"/>
          </w:rPr>
          <w:t>http://new.paho.org/col/index.php?option=com_content&amp;task=view&amp;id=203&amp;Itemid=259</w:t>
        </w:r>
      </w:hyperlink>
      <w:r w:rsidR="00380790">
        <w:rPr>
          <w:sz w:val="24"/>
          <w:szCs w:val="24"/>
          <w:lang w:val="es-ES" w:eastAsia="es-US"/>
        </w:rPr>
        <w:t>.</w:t>
      </w:r>
    </w:p>
    <w:p w:rsidR="00380790" w:rsidRDefault="00380790">
      <w:pPr>
        <w:ind w:left="360"/>
        <w:jc w:val="both"/>
        <w:rPr>
          <w:sz w:val="24"/>
          <w:szCs w:val="24"/>
          <w:lang w:val="es-ES" w:eastAsia="es-US"/>
        </w:rPr>
      </w:pPr>
    </w:p>
    <w:p w:rsidR="00D9280A" w:rsidRPr="00D9280A" w:rsidRDefault="00D9280A" w:rsidP="00D9280A">
      <w:pPr>
        <w:numPr>
          <w:ilvl w:val="0"/>
          <w:numId w:val="10"/>
        </w:numPr>
        <w:jc w:val="both"/>
        <w:rPr>
          <w:sz w:val="32"/>
          <w:szCs w:val="24"/>
          <w:lang w:val="es-ES" w:eastAsia="es-US"/>
        </w:rPr>
      </w:pPr>
      <w:r w:rsidRPr="00D9280A">
        <w:rPr>
          <w:color w:val="000000"/>
          <w:sz w:val="24"/>
          <w:lang w:val="es-ES_tradnl"/>
        </w:rPr>
        <w:t xml:space="preserve">Organización Panamericana de la Salud. </w:t>
      </w:r>
      <w:r w:rsidRPr="00D9280A">
        <w:rPr>
          <w:sz w:val="24"/>
          <w:lang w:val="es-ES_tradnl"/>
        </w:rPr>
        <w:t>Plan Estratégico 2008-2012</w:t>
      </w:r>
      <w:r>
        <w:rPr>
          <w:sz w:val="24"/>
          <w:lang w:val="es-ES_tradnl"/>
        </w:rPr>
        <w:t>,</w:t>
      </w:r>
      <w:r w:rsidRPr="00D9280A">
        <w:rPr>
          <w:sz w:val="24"/>
          <w:lang w:val="es-ES_tradnl"/>
        </w:rPr>
        <w:t xml:space="preserve"> Modificado (Proyecto) [Internet]. </w:t>
      </w:r>
      <w:r w:rsidRPr="00D9280A">
        <w:rPr>
          <w:color w:val="000000"/>
          <w:sz w:val="24"/>
          <w:lang w:val="es-ES_tradnl"/>
        </w:rPr>
        <w:t>49</w:t>
      </w:r>
      <w:proofErr w:type="gramStart"/>
      <w:r w:rsidRPr="00D9280A">
        <w:rPr>
          <w:color w:val="000000"/>
          <w:sz w:val="24"/>
          <w:lang w:val="es-ES_tradnl"/>
        </w:rPr>
        <w:t>.°</w:t>
      </w:r>
      <w:proofErr w:type="gramEnd"/>
      <w:r w:rsidRPr="00D9280A">
        <w:rPr>
          <w:color w:val="000000"/>
          <w:sz w:val="24"/>
          <w:lang w:val="es-ES_tradnl"/>
        </w:rPr>
        <w:t xml:space="preserve"> Consejo Directivo de la OPS, 61.ª sesión del Comité Regional de la OMS para las Américas; del 28 de septiembre al 2 de octubre del 2009. Washington (DC), Estados Unidos. Washington (DC): OPS; 2009 </w:t>
      </w:r>
      <w:r w:rsidRPr="00D9280A">
        <w:rPr>
          <w:sz w:val="24"/>
          <w:lang w:val="es-ES_tradnl"/>
        </w:rPr>
        <w:t xml:space="preserve">(Documento oficial No. 328) [consultado el 18 de febrero del 2012]. Disponible en: </w:t>
      </w:r>
    </w:p>
    <w:p w:rsidR="00D9280A" w:rsidRDefault="00F8102B" w:rsidP="00D9280A">
      <w:pPr>
        <w:tabs>
          <w:tab w:val="left" w:pos="360"/>
        </w:tabs>
        <w:autoSpaceDE w:val="0"/>
        <w:autoSpaceDN w:val="0"/>
        <w:adjustRightInd w:val="0"/>
        <w:spacing w:after="220"/>
        <w:ind w:left="360"/>
        <w:jc w:val="both"/>
        <w:rPr>
          <w:sz w:val="24"/>
          <w:lang w:val="es-ES_tradnl"/>
        </w:rPr>
      </w:pPr>
      <w:hyperlink r:id="rId42" w:history="1">
        <w:r w:rsidR="00D9280A" w:rsidRPr="00D9280A">
          <w:rPr>
            <w:rStyle w:val="Hyperlink"/>
            <w:sz w:val="24"/>
            <w:lang w:val="es-ES_tradnl"/>
          </w:rPr>
          <w:t>http://new.paho.org/hq/dmdocuments/2009/DO-328-completo-s.pdf</w:t>
        </w:r>
      </w:hyperlink>
      <w:r w:rsidR="00D9280A" w:rsidRPr="00D9280A">
        <w:rPr>
          <w:sz w:val="24"/>
          <w:lang w:val="es-ES_tradnl"/>
        </w:rPr>
        <w:t>.</w:t>
      </w:r>
    </w:p>
    <w:p w:rsidR="0039475C" w:rsidRDefault="0039475C" w:rsidP="00D9280A">
      <w:pPr>
        <w:tabs>
          <w:tab w:val="left" w:pos="360"/>
        </w:tabs>
        <w:autoSpaceDE w:val="0"/>
        <w:autoSpaceDN w:val="0"/>
        <w:adjustRightInd w:val="0"/>
        <w:spacing w:after="220"/>
        <w:ind w:left="360"/>
        <w:jc w:val="both"/>
        <w:rPr>
          <w:sz w:val="24"/>
          <w:lang w:val="es-ES_tradnl"/>
        </w:rPr>
      </w:pPr>
    </w:p>
    <w:p w:rsidR="0039475C" w:rsidRPr="00D9280A" w:rsidRDefault="0039475C" w:rsidP="00D9280A">
      <w:pPr>
        <w:tabs>
          <w:tab w:val="left" w:pos="360"/>
        </w:tabs>
        <w:autoSpaceDE w:val="0"/>
        <w:autoSpaceDN w:val="0"/>
        <w:adjustRightInd w:val="0"/>
        <w:spacing w:after="220"/>
        <w:ind w:left="360"/>
        <w:jc w:val="both"/>
        <w:rPr>
          <w:color w:val="000000"/>
          <w:sz w:val="24"/>
          <w:lang w:val="es-ES"/>
        </w:rPr>
      </w:pPr>
      <w:r>
        <w:rPr>
          <w:sz w:val="24"/>
          <w:lang w:val="es-ES_tradnl"/>
        </w:rPr>
        <w:t>Anexos</w:t>
      </w:r>
    </w:p>
    <w:p w:rsidR="00380790" w:rsidRDefault="00380790">
      <w:pPr>
        <w:autoSpaceDE w:val="0"/>
        <w:autoSpaceDN w:val="0"/>
        <w:adjustRightInd w:val="0"/>
        <w:rPr>
          <w:lang w:val="es-ES" w:eastAsia="es-US"/>
        </w:rPr>
      </w:pPr>
    </w:p>
    <w:p w:rsidR="00A9001F" w:rsidRDefault="00A9001F">
      <w:pPr>
        <w:autoSpaceDE w:val="0"/>
        <w:autoSpaceDN w:val="0"/>
        <w:adjustRightInd w:val="0"/>
        <w:rPr>
          <w:lang w:val="es-ES" w:eastAsia="es-US"/>
        </w:rPr>
      </w:pPr>
    </w:p>
    <w:p w:rsidR="00A9001F" w:rsidRDefault="00A9001F">
      <w:pPr>
        <w:autoSpaceDE w:val="0"/>
        <w:autoSpaceDN w:val="0"/>
        <w:adjustRightInd w:val="0"/>
        <w:rPr>
          <w:lang w:val="es-ES" w:eastAsia="es-US"/>
        </w:rPr>
      </w:pPr>
    </w:p>
    <w:p w:rsidR="00A9001F" w:rsidRDefault="00A9001F">
      <w:pPr>
        <w:autoSpaceDE w:val="0"/>
        <w:autoSpaceDN w:val="0"/>
        <w:adjustRightInd w:val="0"/>
        <w:rPr>
          <w:lang w:val="es-ES" w:eastAsia="es-US"/>
        </w:rPr>
        <w:sectPr w:rsidR="00A9001F">
          <w:footerReference w:type="default" r:id="rId43"/>
          <w:type w:val="continuous"/>
          <w:pgSz w:w="12240" w:h="15840" w:code="1"/>
          <w:pgMar w:top="1440" w:right="1800" w:bottom="1296" w:left="1800" w:header="1440" w:footer="1008" w:gutter="0"/>
          <w:cols w:space="720"/>
          <w:formProt w:val="0"/>
          <w:titlePg/>
        </w:sectPr>
      </w:pPr>
    </w:p>
    <w:p w:rsidR="00380790" w:rsidRDefault="00380790" w:rsidP="007C76C1">
      <w:pPr>
        <w:autoSpaceDE w:val="0"/>
        <w:autoSpaceDN w:val="0"/>
        <w:adjustRightInd w:val="0"/>
        <w:rPr>
          <w:b/>
          <w:bCs/>
          <w:i/>
          <w:iCs/>
          <w:lang w:val="es-ES_tradnl"/>
        </w:rPr>
      </w:pPr>
      <w:r>
        <w:rPr>
          <w:b/>
          <w:bCs/>
          <w:i/>
          <w:iCs/>
          <w:lang w:val="es-ES_tradnl"/>
        </w:rPr>
        <w:lastRenderedPageBreak/>
        <w:br w:type="page"/>
      </w:r>
    </w:p>
    <w:tbl>
      <w:tblPr>
        <w:tblW w:w="0" w:type="auto"/>
        <w:tblLayout w:type="fixed"/>
        <w:tblLook w:val="0000" w:firstRow="0" w:lastRow="0" w:firstColumn="0" w:lastColumn="0" w:noHBand="0" w:noVBand="0"/>
      </w:tblPr>
      <w:tblGrid>
        <w:gridCol w:w="648"/>
        <w:gridCol w:w="630"/>
        <w:gridCol w:w="630"/>
        <w:gridCol w:w="8280"/>
      </w:tblGrid>
      <w:tr w:rsidR="00D85D4C" w:rsidRPr="00750675" w:rsidTr="00353421">
        <w:tc>
          <w:tcPr>
            <w:tcW w:w="648" w:type="dxa"/>
          </w:tcPr>
          <w:p w:rsidR="00D85D4C" w:rsidRPr="00B05061" w:rsidRDefault="00D85D4C" w:rsidP="00353421">
            <w:pPr>
              <w:pStyle w:val="Footer"/>
              <w:tabs>
                <w:tab w:val="clear" w:pos="4320"/>
                <w:tab w:val="clear" w:pos="8640"/>
              </w:tabs>
              <w:rPr>
                <w:lang w:val="es-ES_tradnl"/>
              </w:rPr>
            </w:pPr>
          </w:p>
        </w:tc>
        <w:tc>
          <w:tcPr>
            <w:tcW w:w="1260" w:type="dxa"/>
            <w:gridSpan w:val="2"/>
          </w:tcPr>
          <w:p w:rsidR="00D85D4C" w:rsidRPr="00B05061" w:rsidRDefault="00D85D4C" w:rsidP="00353421">
            <w:pPr>
              <w:rPr>
                <w:lang w:val="es-ES_tradnl"/>
              </w:rPr>
            </w:pPr>
            <w:r>
              <w:rPr>
                <w:noProof/>
              </w:rPr>
              <w:drawing>
                <wp:inline distT="0" distB="0" distL="0" distR="0">
                  <wp:extent cx="6762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c>
          <w:tcPr>
            <w:tcW w:w="8280" w:type="dxa"/>
          </w:tcPr>
          <w:p w:rsidR="00D85D4C" w:rsidRPr="00B05061" w:rsidRDefault="00D85D4C" w:rsidP="00353421">
            <w:pPr>
              <w:rPr>
                <w:lang w:val="es-ES_tradnl"/>
              </w:rPr>
            </w:pPr>
          </w:p>
          <w:p w:rsidR="00D85D4C" w:rsidRPr="00B05061" w:rsidRDefault="00D85D4C" w:rsidP="00353421">
            <w:pPr>
              <w:rPr>
                <w:lang w:val="es-ES_tradnl"/>
              </w:rPr>
            </w:pPr>
          </w:p>
          <w:p w:rsidR="00D85D4C" w:rsidRPr="00B05061" w:rsidRDefault="00D85D4C" w:rsidP="00353421">
            <w:pPr>
              <w:rPr>
                <w:rFonts w:ascii="Univers" w:hAnsi="Univers"/>
                <w:sz w:val="22"/>
                <w:lang w:val="es-ES_tradnl"/>
              </w:rPr>
            </w:pPr>
            <w:r w:rsidRPr="00B05061">
              <w:rPr>
                <w:rFonts w:ascii="Univers" w:hAnsi="Univers"/>
                <w:sz w:val="22"/>
                <w:lang w:val="es-ES_tradnl"/>
              </w:rPr>
              <w:t>ORGANIZACIÓN PANAMERICANA DE LA SALUD</w:t>
            </w:r>
          </w:p>
          <w:p w:rsidR="00D85D4C" w:rsidRPr="00B05061" w:rsidRDefault="00D85D4C" w:rsidP="00353421">
            <w:pPr>
              <w:rPr>
                <w:lang w:val="es-ES_tradnl"/>
              </w:rPr>
            </w:pPr>
            <w:r w:rsidRPr="00B05061">
              <w:rPr>
                <w:rFonts w:ascii="Univers" w:hAnsi="Univers"/>
                <w:sz w:val="22"/>
                <w:lang w:val="es-ES_tradnl"/>
              </w:rPr>
              <w:t>ORGANIZACIÓN MUNDIAL DE LA SALUD</w:t>
            </w:r>
          </w:p>
        </w:tc>
      </w:tr>
      <w:tr w:rsidR="00D85D4C" w:rsidRPr="00750675" w:rsidTr="00353421">
        <w:tc>
          <w:tcPr>
            <w:tcW w:w="1278" w:type="dxa"/>
            <w:gridSpan w:val="2"/>
          </w:tcPr>
          <w:p w:rsidR="00D85D4C" w:rsidRPr="00B05061" w:rsidRDefault="00D85D4C" w:rsidP="00353421">
            <w:pPr>
              <w:rPr>
                <w:lang w:val="es-ES_tradnl"/>
              </w:rPr>
            </w:pPr>
            <w:r>
              <w:rPr>
                <w:noProof/>
              </w:rPr>
              <w:drawing>
                <wp:inline distT="0" distB="0" distL="0" distR="0">
                  <wp:extent cx="752475" cy="666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inline>
              </w:drawing>
            </w:r>
          </w:p>
        </w:tc>
        <w:tc>
          <w:tcPr>
            <w:tcW w:w="8910" w:type="dxa"/>
            <w:gridSpan w:val="2"/>
          </w:tcPr>
          <w:p w:rsidR="00D85D4C" w:rsidRPr="00B05061" w:rsidRDefault="00D85D4C" w:rsidP="00353421">
            <w:pPr>
              <w:rPr>
                <w:lang w:val="es-ES_tradnl"/>
              </w:rPr>
            </w:pPr>
          </w:p>
          <w:p w:rsidR="00D85D4C" w:rsidRPr="00B05061" w:rsidRDefault="00D85D4C" w:rsidP="00353421">
            <w:pPr>
              <w:rPr>
                <w:b/>
                <w:sz w:val="36"/>
                <w:lang w:val="es-ES_tradnl"/>
              </w:rPr>
            </w:pPr>
            <w:r>
              <w:rPr>
                <w:b/>
                <w:sz w:val="36"/>
                <w:lang w:val="es-ES_tradnl"/>
              </w:rPr>
              <w:t>28</w:t>
            </w:r>
            <w:r w:rsidRPr="00B05061">
              <w:rPr>
                <w:b/>
                <w:sz w:val="36"/>
                <w:lang w:val="es-ES_tradnl"/>
              </w:rPr>
              <w:t>.</w:t>
            </w:r>
            <w:r w:rsidRPr="00B05061">
              <w:rPr>
                <w:b/>
                <w:sz w:val="36"/>
                <w:vertAlign w:val="superscript"/>
                <w:lang w:val="es-ES_tradnl"/>
              </w:rPr>
              <w:t>a</w:t>
            </w:r>
            <w:r w:rsidRPr="00B05061">
              <w:rPr>
                <w:b/>
                <w:sz w:val="36"/>
                <w:lang w:val="es-ES_tradnl"/>
              </w:rPr>
              <w:t xml:space="preserve"> CONFERENCIA SANITARIA PANAMERICANA</w:t>
            </w:r>
          </w:p>
          <w:p w:rsidR="00D85D4C" w:rsidRPr="005C2D75" w:rsidRDefault="00D85D4C" w:rsidP="00353421">
            <w:pPr>
              <w:rPr>
                <w:sz w:val="24"/>
                <w:szCs w:val="24"/>
                <w:lang w:val="es-ES_tradnl"/>
              </w:rPr>
            </w:pPr>
            <w:r w:rsidRPr="005C2D75">
              <w:rPr>
                <w:b/>
                <w:sz w:val="24"/>
                <w:szCs w:val="24"/>
                <w:lang w:val="es-ES_tradnl"/>
              </w:rPr>
              <w:t>64.</w:t>
            </w:r>
            <w:r w:rsidRPr="005C2D75">
              <w:rPr>
                <w:b/>
                <w:sz w:val="24"/>
                <w:szCs w:val="24"/>
                <w:vertAlign w:val="superscript"/>
                <w:lang w:val="es-ES_tradnl"/>
              </w:rPr>
              <w:t>a</w:t>
            </w:r>
            <w:r w:rsidRPr="005C2D75">
              <w:rPr>
                <w:b/>
                <w:sz w:val="24"/>
                <w:szCs w:val="24"/>
                <w:lang w:val="es-ES_tradnl"/>
              </w:rPr>
              <w:t xml:space="preserve"> SESIÓN DEL COMITÉ REGIONAL</w:t>
            </w:r>
          </w:p>
        </w:tc>
      </w:tr>
    </w:tbl>
    <w:p w:rsidR="00D85D4C" w:rsidRPr="00B05061" w:rsidRDefault="00D85D4C" w:rsidP="00D85D4C">
      <w:pPr>
        <w:jc w:val="right"/>
        <w:rPr>
          <w:i/>
          <w:lang w:val="es-ES_tradnl"/>
        </w:rPr>
      </w:pPr>
    </w:p>
    <w:p w:rsidR="00D85D4C" w:rsidRPr="00D85D4C" w:rsidRDefault="00D85D4C" w:rsidP="00D85D4C">
      <w:pPr>
        <w:jc w:val="right"/>
        <w:rPr>
          <w:sz w:val="24"/>
          <w:lang w:val="es-ES_tradnl"/>
        </w:rPr>
      </w:pPr>
      <w:r w:rsidRPr="00D85D4C">
        <w:rPr>
          <w:i/>
          <w:sz w:val="24"/>
          <w:lang w:val="es-ES_tradnl"/>
        </w:rPr>
        <w:t xml:space="preserve">Washington, D.C., EUA, </w:t>
      </w:r>
      <w:r w:rsidR="00853359">
        <w:rPr>
          <w:i/>
          <w:sz w:val="24"/>
          <w:lang w:val="es-ES_tradnl"/>
        </w:rPr>
        <w:t xml:space="preserve">del </w:t>
      </w:r>
      <w:r w:rsidRPr="00D85D4C">
        <w:rPr>
          <w:i/>
          <w:sz w:val="24"/>
          <w:lang w:val="es-ES_tradnl"/>
        </w:rPr>
        <w:t>17</w:t>
      </w:r>
      <w:r w:rsidR="00853359">
        <w:rPr>
          <w:i/>
          <w:sz w:val="24"/>
          <w:lang w:val="es-ES_tradnl"/>
        </w:rPr>
        <w:t xml:space="preserve"> al </w:t>
      </w:r>
      <w:r w:rsidRPr="00D85D4C">
        <w:rPr>
          <w:i/>
          <w:sz w:val="24"/>
          <w:lang w:val="es-ES_tradnl"/>
        </w:rPr>
        <w:t>21 de septiembre del 2012</w:t>
      </w:r>
    </w:p>
    <w:p w:rsidR="00D85D4C" w:rsidRPr="00D85D4C" w:rsidRDefault="00D85D4C" w:rsidP="00C0636B">
      <w:pPr>
        <w:pBdr>
          <w:bottom w:val="single" w:sz="18" w:space="1" w:color="auto"/>
        </w:pBdr>
        <w:spacing w:after="480"/>
        <w:jc w:val="both"/>
        <w:rPr>
          <w:sz w:val="24"/>
          <w:szCs w:val="16"/>
          <w:lang w:val="es-ES_tradnl"/>
        </w:rPr>
      </w:pPr>
    </w:p>
    <w:p w:rsidR="00D85D4C" w:rsidRPr="00D85D4C" w:rsidRDefault="00D85D4C" w:rsidP="00D85D4C">
      <w:pPr>
        <w:jc w:val="both"/>
        <w:rPr>
          <w:sz w:val="24"/>
          <w:lang w:val="es-ES_tradnl"/>
        </w:rPr>
      </w:pPr>
    </w:p>
    <w:p w:rsidR="00D85D4C" w:rsidRPr="00D85D4C" w:rsidRDefault="00D85D4C" w:rsidP="00D85D4C">
      <w:pPr>
        <w:jc w:val="both"/>
        <w:rPr>
          <w:sz w:val="24"/>
          <w:lang w:val="es-ES_tradnl"/>
        </w:rPr>
        <w:sectPr w:rsidR="00D85D4C" w:rsidRPr="00D85D4C" w:rsidSect="00D85D4C">
          <w:headerReference w:type="even" r:id="rId44"/>
          <w:headerReference w:type="default" r:id="rId45"/>
          <w:type w:val="continuous"/>
          <w:pgSz w:w="12240" w:h="15840" w:code="1"/>
          <w:pgMar w:top="576" w:right="1152" w:bottom="1440" w:left="1152" w:header="432" w:footer="1008" w:gutter="0"/>
          <w:cols w:space="720"/>
          <w:titlePg/>
        </w:sectPr>
      </w:pPr>
    </w:p>
    <w:p w:rsidR="00D85D4C" w:rsidRPr="00D85D4C" w:rsidRDefault="00D85D4C" w:rsidP="00D85D4C">
      <w:pPr>
        <w:tabs>
          <w:tab w:val="left" w:pos="6210"/>
        </w:tabs>
        <w:rPr>
          <w:sz w:val="24"/>
          <w:szCs w:val="24"/>
          <w:lang w:val="es-ES" w:eastAsia="ja-JP"/>
        </w:rPr>
      </w:pPr>
      <w:r w:rsidRPr="00D85D4C">
        <w:rPr>
          <w:sz w:val="24"/>
          <w:szCs w:val="24"/>
          <w:lang w:val="es-ES" w:eastAsia="ja-JP"/>
        </w:rPr>
        <w:lastRenderedPageBreak/>
        <w:tab/>
      </w:r>
      <w:r w:rsidR="008759C0" w:rsidRPr="008F3597">
        <w:rPr>
          <w:sz w:val="24"/>
          <w:szCs w:val="24"/>
          <w:lang w:val="es-ES" w:eastAsia="ja-JP"/>
        </w:rPr>
        <w:t>CSP28/</w:t>
      </w:r>
      <w:r w:rsidR="004B5DE3">
        <w:rPr>
          <w:sz w:val="24"/>
          <w:szCs w:val="24"/>
          <w:lang w:val="es-ES" w:eastAsia="ja-JP"/>
        </w:rPr>
        <w:t>12</w:t>
      </w:r>
      <w:r w:rsidR="008759C0" w:rsidRPr="00D85D4C">
        <w:rPr>
          <w:sz w:val="24"/>
          <w:szCs w:val="24"/>
          <w:lang w:val="es-ES" w:eastAsia="ja-JP"/>
        </w:rPr>
        <w:t xml:space="preserve"> </w:t>
      </w:r>
      <w:r w:rsidRPr="00D85D4C">
        <w:rPr>
          <w:sz w:val="24"/>
          <w:szCs w:val="24"/>
          <w:lang w:val="es-ES" w:eastAsia="ja-JP"/>
        </w:rPr>
        <w:t>(Esp.)</w:t>
      </w:r>
    </w:p>
    <w:p w:rsidR="00D85D4C" w:rsidRPr="00D85D4C" w:rsidRDefault="00D85D4C" w:rsidP="00D85D4C">
      <w:pPr>
        <w:tabs>
          <w:tab w:val="left" w:pos="6210"/>
        </w:tabs>
        <w:rPr>
          <w:sz w:val="24"/>
          <w:szCs w:val="24"/>
          <w:lang w:val="es-ES" w:eastAsia="ja-JP"/>
        </w:rPr>
      </w:pPr>
      <w:r w:rsidRPr="00D85D4C">
        <w:rPr>
          <w:sz w:val="24"/>
          <w:szCs w:val="24"/>
          <w:lang w:val="es-ES" w:eastAsia="ja-JP"/>
        </w:rPr>
        <w:tab/>
      </w:r>
      <w:r w:rsidR="004B5DE3">
        <w:rPr>
          <w:sz w:val="24"/>
          <w:szCs w:val="24"/>
          <w:lang w:val="es-ES" w:eastAsia="ja-JP"/>
        </w:rPr>
        <w:t>Anexo A</w:t>
      </w:r>
    </w:p>
    <w:p w:rsidR="00380790" w:rsidRPr="00D85D4C" w:rsidRDefault="00D85D4C" w:rsidP="00853359">
      <w:pPr>
        <w:tabs>
          <w:tab w:val="left" w:pos="6210"/>
        </w:tabs>
        <w:rPr>
          <w:sz w:val="24"/>
          <w:szCs w:val="24"/>
          <w:lang w:val="es-ES" w:eastAsia="ja-JP"/>
        </w:rPr>
      </w:pPr>
      <w:r w:rsidRPr="00D85D4C">
        <w:rPr>
          <w:sz w:val="24"/>
          <w:szCs w:val="24"/>
          <w:lang w:val="es-ES" w:eastAsia="ja-JP"/>
        </w:rPr>
        <w:tab/>
        <w:t xml:space="preserve">ORIGINAL: </w:t>
      </w:r>
      <w:r w:rsidR="00380790">
        <w:rPr>
          <w:bCs/>
          <w:iCs/>
          <w:sz w:val="24"/>
          <w:szCs w:val="24"/>
          <w:lang w:val="es-ES_tradnl"/>
        </w:rPr>
        <w:t>ESPAÑOL</w:t>
      </w:r>
    </w:p>
    <w:p w:rsidR="00380790" w:rsidRPr="008F3597" w:rsidRDefault="00380790" w:rsidP="008F3597">
      <w:pPr>
        <w:jc w:val="both"/>
        <w:rPr>
          <w:sz w:val="24"/>
          <w:szCs w:val="24"/>
          <w:lang w:val="es-ES_tradnl"/>
        </w:rPr>
      </w:pPr>
    </w:p>
    <w:p w:rsidR="00380790" w:rsidRPr="008F3597" w:rsidRDefault="00380790" w:rsidP="008F3597">
      <w:pPr>
        <w:jc w:val="both"/>
        <w:rPr>
          <w:sz w:val="24"/>
          <w:szCs w:val="24"/>
          <w:lang w:val="es-ES_tradnl"/>
        </w:rPr>
      </w:pPr>
    </w:p>
    <w:p w:rsidR="00380790" w:rsidRDefault="00380790">
      <w:pPr>
        <w:autoSpaceDE w:val="0"/>
        <w:autoSpaceDN w:val="0"/>
        <w:adjustRightInd w:val="0"/>
        <w:jc w:val="center"/>
        <w:rPr>
          <w:b/>
          <w:bCs/>
          <w:i/>
          <w:iCs/>
          <w:sz w:val="28"/>
          <w:szCs w:val="28"/>
          <w:lang w:val="es-ES_tradnl"/>
        </w:rPr>
      </w:pPr>
      <w:r>
        <w:rPr>
          <w:b/>
          <w:bCs/>
          <w:i/>
          <w:iCs/>
          <w:sz w:val="28"/>
          <w:szCs w:val="28"/>
          <w:lang w:val="es-ES_tradnl"/>
        </w:rPr>
        <w:t>PROYECTO DE RESOLUCIÓN</w:t>
      </w:r>
    </w:p>
    <w:p w:rsidR="00380790" w:rsidRPr="008F3597" w:rsidRDefault="00380790" w:rsidP="008F3597">
      <w:pPr>
        <w:jc w:val="both"/>
        <w:rPr>
          <w:sz w:val="24"/>
          <w:szCs w:val="24"/>
          <w:lang w:val="es-ES_tradnl"/>
        </w:rPr>
      </w:pPr>
    </w:p>
    <w:p w:rsidR="008F3597" w:rsidRDefault="008F3597" w:rsidP="008F3597">
      <w:pPr>
        <w:jc w:val="center"/>
        <w:rPr>
          <w:b/>
          <w:bCs/>
          <w:color w:val="000000"/>
          <w:sz w:val="24"/>
          <w:szCs w:val="24"/>
          <w:lang w:val="es-ES_tradnl" w:eastAsia="es-ES"/>
        </w:rPr>
      </w:pPr>
      <w:r>
        <w:rPr>
          <w:b/>
          <w:bCs/>
          <w:color w:val="000000"/>
          <w:sz w:val="24"/>
          <w:szCs w:val="24"/>
          <w:lang w:val="es-ES_tradnl" w:eastAsia="es-ES"/>
        </w:rPr>
        <w:t xml:space="preserve">ESTRATEGIA Y PLAN DE ACCIÓN SOBRE GESTIÓN </w:t>
      </w:r>
    </w:p>
    <w:p w:rsidR="008F3597" w:rsidRDefault="008F3597" w:rsidP="008F3597">
      <w:pPr>
        <w:jc w:val="center"/>
        <w:rPr>
          <w:sz w:val="24"/>
          <w:szCs w:val="24"/>
          <w:lang w:val="es-ES_tradnl" w:eastAsia="es-ES"/>
        </w:rPr>
      </w:pPr>
      <w:r>
        <w:rPr>
          <w:b/>
          <w:bCs/>
          <w:color w:val="000000"/>
          <w:sz w:val="24"/>
          <w:szCs w:val="24"/>
          <w:lang w:val="es-ES_tradnl" w:eastAsia="es-ES"/>
        </w:rPr>
        <w:t>DEL CONOCIMIENTO Y COMUNICACIONES</w:t>
      </w:r>
    </w:p>
    <w:p w:rsidR="008F3597" w:rsidRPr="00E273A9" w:rsidRDefault="008F3597" w:rsidP="008F3597">
      <w:pPr>
        <w:rPr>
          <w:sz w:val="24"/>
          <w:szCs w:val="24"/>
          <w:lang w:val="es-ES"/>
        </w:rPr>
      </w:pPr>
    </w:p>
    <w:p w:rsidR="008F3597" w:rsidRDefault="008F3597" w:rsidP="008F3597">
      <w:pPr>
        <w:jc w:val="both"/>
        <w:rPr>
          <w:b/>
          <w:i/>
          <w:sz w:val="24"/>
          <w:szCs w:val="24"/>
          <w:lang w:val="es-ES_tradnl"/>
        </w:rPr>
      </w:pPr>
      <w:r>
        <w:rPr>
          <w:b/>
          <w:i/>
          <w:sz w:val="24"/>
          <w:szCs w:val="24"/>
          <w:lang w:val="es-ES_tradnl"/>
        </w:rPr>
        <w:t>LA 28.</w:t>
      </w:r>
      <w:r>
        <w:rPr>
          <w:rFonts w:ascii="Times New Roman Bold" w:hAnsi="Times New Roman Bold"/>
          <w:b/>
          <w:i/>
          <w:sz w:val="24"/>
          <w:szCs w:val="24"/>
          <w:vertAlign w:val="superscript"/>
          <w:lang w:val="es-ES_tradnl"/>
        </w:rPr>
        <w:t xml:space="preserve">a </w:t>
      </w:r>
      <w:r>
        <w:rPr>
          <w:b/>
          <w:i/>
          <w:sz w:val="24"/>
          <w:szCs w:val="24"/>
          <w:lang w:val="es-ES_tradnl"/>
        </w:rPr>
        <w:t>CONFERENCIA SANITARIA PANAMERICANA,</w:t>
      </w:r>
    </w:p>
    <w:p w:rsidR="008F3597" w:rsidRPr="00E273A9" w:rsidRDefault="008F3597" w:rsidP="008F3597">
      <w:pPr>
        <w:rPr>
          <w:sz w:val="24"/>
          <w:szCs w:val="24"/>
          <w:lang w:val="es-ES"/>
        </w:rPr>
      </w:pPr>
    </w:p>
    <w:p w:rsidR="004B5DE3" w:rsidRDefault="008F3597" w:rsidP="004B5DE3">
      <w:pPr>
        <w:tabs>
          <w:tab w:val="left" w:pos="720"/>
        </w:tabs>
        <w:jc w:val="both"/>
        <w:rPr>
          <w:iCs/>
          <w:sz w:val="24"/>
          <w:szCs w:val="24"/>
          <w:lang w:val="es-ES_tradnl" w:eastAsia="es-ES"/>
        </w:rPr>
      </w:pPr>
      <w:r>
        <w:rPr>
          <w:b/>
          <w:iCs/>
          <w:sz w:val="24"/>
          <w:szCs w:val="24"/>
          <w:lang w:val="es-ES_tradnl" w:eastAsia="es-ES"/>
        </w:rPr>
        <w:tab/>
      </w:r>
      <w:r w:rsidR="004B5DE3">
        <w:rPr>
          <w:iCs/>
          <w:sz w:val="24"/>
          <w:szCs w:val="24"/>
          <w:lang w:val="es-ES_tradnl" w:eastAsia="es-ES"/>
        </w:rPr>
        <w:t>Habiendo examinado el documento CSP28/</w:t>
      </w:r>
      <w:r w:rsidR="005C2D75">
        <w:rPr>
          <w:iCs/>
          <w:sz w:val="24"/>
          <w:szCs w:val="24"/>
          <w:lang w:val="es-ES_tradnl" w:eastAsia="es-ES"/>
        </w:rPr>
        <w:t>12</w:t>
      </w:r>
      <w:r w:rsidR="004B5DE3">
        <w:rPr>
          <w:iCs/>
          <w:sz w:val="24"/>
          <w:szCs w:val="24"/>
          <w:lang w:val="es-ES_tradnl" w:eastAsia="es-ES"/>
        </w:rPr>
        <w:t xml:space="preserve"> </w:t>
      </w:r>
      <w:r w:rsidR="004B5DE3">
        <w:rPr>
          <w:i/>
          <w:iCs/>
          <w:sz w:val="24"/>
          <w:szCs w:val="24"/>
          <w:lang w:val="es-ES_tradnl" w:eastAsia="es-ES"/>
        </w:rPr>
        <w:t>Estrategia y Plan de acción sobre gestión del conocimiento y comunicaciones</w:t>
      </w:r>
      <w:r w:rsidR="004B5DE3">
        <w:rPr>
          <w:iCs/>
          <w:sz w:val="24"/>
          <w:szCs w:val="24"/>
          <w:lang w:val="es-ES_tradnl" w:eastAsia="es-ES"/>
        </w:rPr>
        <w:t>;</w:t>
      </w:r>
    </w:p>
    <w:p w:rsidR="004B5DE3" w:rsidRDefault="004B5DE3" w:rsidP="004B5DE3">
      <w:pPr>
        <w:tabs>
          <w:tab w:val="left" w:pos="720"/>
        </w:tabs>
        <w:jc w:val="both"/>
        <w:rPr>
          <w:iCs/>
          <w:sz w:val="24"/>
          <w:szCs w:val="24"/>
          <w:lang w:val="es-ES_tradnl" w:eastAsia="es-ES"/>
        </w:rPr>
      </w:pPr>
    </w:p>
    <w:p w:rsidR="004B5DE3" w:rsidRDefault="004B5DE3" w:rsidP="004B5DE3">
      <w:pPr>
        <w:jc w:val="both"/>
        <w:rPr>
          <w:iCs/>
          <w:sz w:val="24"/>
          <w:szCs w:val="24"/>
          <w:lang w:val="es-ES_tradnl" w:eastAsia="es-ES"/>
        </w:rPr>
      </w:pPr>
      <w:r>
        <w:rPr>
          <w:iCs/>
          <w:sz w:val="24"/>
          <w:szCs w:val="24"/>
          <w:lang w:val="es-ES_tradnl" w:eastAsia="es-ES"/>
        </w:rPr>
        <w:tab/>
        <w:t>Reconociendo que la revisión de la situación actual indica que la aplicación de la gestión del conocimiento y comunicaciones en los países de las Américas cuenta con dos condiciones básicas para su ejecución: dispone de medios eficaces para formular y llevar a la práctica estrategias y políticas de gestión del conocimiento y comunicaciones (viabilidad tecnológica), y de procedimientos prácticos e instrumentos sencillos, asequibles y sostenibles (viabilidad programática y financiera);</w:t>
      </w:r>
    </w:p>
    <w:p w:rsidR="004B5DE3" w:rsidRDefault="004B5DE3" w:rsidP="004B5DE3">
      <w:pPr>
        <w:jc w:val="both"/>
        <w:rPr>
          <w:iCs/>
          <w:sz w:val="24"/>
          <w:szCs w:val="24"/>
          <w:lang w:val="es-ES_tradnl" w:eastAsia="es-ES"/>
        </w:rPr>
      </w:pPr>
    </w:p>
    <w:p w:rsidR="004B5DE3" w:rsidRDefault="004B5DE3" w:rsidP="004B5DE3">
      <w:pPr>
        <w:jc w:val="both"/>
        <w:rPr>
          <w:iCs/>
          <w:sz w:val="24"/>
          <w:szCs w:val="24"/>
          <w:lang w:val="es-ES_tradnl" w:eastAsia="es-ES"/>
        </w:rPr>
      </w:pPr>
      <w:r>
        <w:rPr>
          <w:iCs/>
          <w:sz w:val="24"/>
          <w:szCs w:val="24"/>
          <w:lang w:val="es-ES_tradnl" w:eastAsia="es-ES"/>
        </w:rPr>
        <w:tab/>
      </w:r>
      <w:r>
        <w:rPr>
          <w:sz w:val="24"/>
          <w:szCs w:val="24"/>
          <w:lang w:val="es-ES_tradnl"/>
        </w:rPr>
        <w:t>Entendiendo</w:t>
      </w:r>
      <w:r>
        <w:rPr>
          <w:iCs/>
          <w:sz w:val="24"/>
          <w:szCs w:val="24"/>
          <w:lang w:val="es-ES_tradnl" w:eastAsia="es-ES"/>
        </w:rPr>
        <w:t xml:space="preserve"> que se busca mejorar la coordinación y la prestación de servicios en la esfera de la salud para aumentar su eficiencia, disponibilidad, accesibilidad y asequibilidad lo que le permitirá adecuarse y prever nuevos contextos en el ámbito sanitario;</w:t>
      </w:r>
    </w:p>
    <w:p w:rsidR="004B5DE3" w:rsidRDefault="004B5DE3" w:rsidP="004B5DE3">
      <w:pPr>
        <w:spacing w:before="100" w:beforeAutospacing="1" w:after="100" w:afterAutospacing="1"/>
        <w:jc w:val="both"/>
        <w:rPr>
          <w:sz w:val="24"/>
          <w:szCs w:val="24"/>
          <w:lang w:val="es-ES"/>
        </w:rPr>
      </w:pPr>
      <w:r>
        <w:rPr>
          <w:iCs/>
          <w:sz w:val="24"/>
          <w:szCs w:val="24"/>
          <w:lang w:val="es-ES_tradnl" w:eastAsia="es-ES"/>
        </w:rPr>
        <w:tab/>
        <w:t xml:space="preserve">Considerando </w:t>
      </w:r>
      <w:r>
        <w:rPr>
          <w:sz w:val="24"/>
          <w:szCs w:val="24"/>
          <w:lang w:val="es-ES" w:eastAsia="es-US"/>
        </w:rPr>
        <w:t xml:space="preserve">el </w:t>
      </w:r>
      <w:hyperlink r:id="rId46" w:history="1">
        <w:r w:rsidRPr="00FA0D78">
          <w:rPr>
            <w:rStyle w:val="Hyperlink"/>
            <w:sz w:val="24"/>
            <w:szCs w:val="24"/>
            <w:lang w:val="es-ES" w:eastAsia="es-US"/>
          </w:rPr>
          <w:t>informe JIU/REP/2007/6</w:t>
        </w:r>
      </w:hyperlink>
      <w:r w:rsidRPr="00FA0D78">
        <w:rPr>
          <w:sz w:val="24"/>
          <w:szCs w:val="24"/>
          <w:lang w:val="es-ES" w:eastAsia="es-US"/>
        </w:rPr>
        <w:t xml:space="preserve"> </w:t>
      </w:r>
      <w:r>
        <w:rPr>
          <w:sz w:val="24"/>
          <w:szCs w:val="24"/>
          <w:lang w:val="es-ES" w:eastAsia="es-US"/>
        </w:rPr>
        <w:t xml:space="preserve">(2007) </w:t>
      </w:r>
      <w:r w:rsidRPr="00FA0D78">
        <w:rPr>
          <w:sz w:val="24"/>
          <w:szCs w:val="24"/>
          <w:lang w:val="es-ES" w:eastAsia="es-US"/>
        </w:rPr>
        <w:t>so</w:t>
      </w:r>
      <w:r>
        <w:rPr>
          <w:sz w:val="24"/>
          <w:szCs w:val="24"/>
          <w:lang w:val="es-ES" w:eastAsia="es-US"/>
        </w:rPr>
        <w:t>bre g</w:t>
      </w:r>
      <w:r w:rsidRPr="00FA0D78">
        <w:rPr>
          <w:sz w:val="24"/>
          <w:szCs w:val="24"/>
          <w:lang w:val="es-ES" w:eastAsia="es-US"/>
        </w:rPr>
        <w:t>estión de los conocimientos en el sistema de las Naciones Unidas</w:t>
      </w:r>
      <w:r>
        <w:rPr>
          <w:sz w:val="24"/>
          <w:szCs w:val="24"/>
          <w:lang w:val="es-ES" w:eastAsia="es-US"/>
        </w:rPr>
        <w:t xml:space="preserve">; que, en noviembre del 2010, la Tercera Conferencia Ministerial sobre la Sociedad de la Información de América Latina y el Caribe realizada en Lima (Perú) establece su Plan de Acción sobre la Sociedad de la Información y del Conocimiento de América Latina y el Caribe; que en el 2011 fue aprobada la Estrategia de gestión del conocimiento y comunicaciones para todas las entidades y oficinas de país de la Oficina Sanitaria Panamericana (OSP); </w:t>
      </w:r>
      <w:r>
        <w:rPr>
          <w:color w:val="000000"/>
          <w:sz w:val="24"/>
          <w:szCs w:val="24"/>
          <w:lang w:val="es-ES" w:eastAsia="es-US"/>
        </w:rPr>
        <w:t xml:space="preserve">y destacando la celebración </w:t>
      </w:r>
      <w:r>
        <w:rPr>
          <w:sz w:val="24"/>
          <w:szCs w:val="24"/>
          <w:lang w:val="es-ES" w:eastAsia="es-US"/>
        </w:rPr>
        <w:t xml:space="preserve">del </w:t>
      </w:r>
      <w:r>
        <w:rPr>
          <w:sz w:val="24"/>
          <w:szCs w:val="24"/>
          <w:lang w:val="es-ES"/>
        </w:rPr>
        <w:t xml:space="preserve">Congreso Regional de Información en Ciencias de la Salud  (CRICS), organizado cada 2-3 años que se ha consolidado como una actividad de referencia que </w:t>
      </w:r>
      <w:r>
        <w:rPr>
          <w:sz w:val="24"/>
          <w:szCs w:val="24"/>
          <w:lang w:val="es-ES"/>
        </w:rPr>
        <w:lastRenderedPageBreak/>
        <w:t>refleja y sintetiza el estado del arte regional e internacional en las disciplinas y áreas temáticas de gestión de información científica y técnica, la comunicación científica, la bibliotecología y las tecnologías de la información;</w:t>
      </w:r>
    </w:p>
    <w:p w:rsidR="004B5DE3" w:rsidRDefault="004B5DE3" w:rsidP="004B5DE3">
      <w:pPr>
        <w:spacing w:before="100" w:beforeAutospacing="1" w:after="100" w:afterAutospacing="1"/>
        <w:jc w:val="both"/>
        <w:rPr>
          <w:sz w:val="24"/>
          <w:szCs w:val="24"/>
          <w:lang w:val="es-ES"/>
        </w:rPr>
      </w:pPr>
      <w:r>
        <w:rPr>
          <w:iCs/>
          <w:sz w:val="24"/>
          <w:szCs w:val="24"/>
          <w:lang w:val="es-ES_tradnl" w:eastAsia="es-ES"/>
        </w:rPr>
        <w:tab/>
        <w:t xml:space="preserve">Teniendo en cuenta </w:t>
      </w:r>
      <w:r>
        <w:rPr>
          <w:sz w:val="24"/>
          <w:szCs w:val="24"/>
          <w:lang w:val="es-ES" w:eastAsia="es-US"/>
        </w:rPr>
        <w:t xml:space="preserve">la </w:t>
      </w:r>
      <w:hyperlink r:id="rId47" w:history="1">
        <w:r w:rsidRPr="004F3602">
          <w:rPr>
            <w:rStyle w:val="Hyperlink"/>
            <w:sz w:val="24"/>
            <w:szCs w:val="24"/>
            <w:lang w:val="es-ES" w:eastAsia="es-US"/>
          </w:rPr>
          <w:t>resolución A/RES/51/172</w:t>
        </w:r>
      </w:hyperlink>
      <w:r w:rsidRPr="004F3602">
        <w:rPr>
          <w:sz w:val="24"/>
          <w:szCs w:val="24"/>
          <w:lang w:val="es-ES" w:eastAsia="es-US"/>
        </w:rPr>
        <w:t xml:space="preserve"> </w:t>
      </w:r>
      <w:r>
        <w:rPr>
          <w:sz w:val="24"/>
          <w:szCs w:val="24"/>
          <w:lang w:val="es-ES" w:eastAsia="es-US"/>
        </w:rPr>
        <w:t xml:space="preserve">(1996) </w:t>
      </w:r>
      <w:r w:rsidRPr="004F3602">
        <w:rPr>
          <w:sz w:val="24"/>
          <w:szCs w:val="24"/>
          <w:lang w:val="es-ES" w:eastAsia="es-US"/>
        </w:rPr>
        <w:t>sobre la comunicación para los programas de desarrollo en el sistema de las Naciones Unidas</w:t>
      </w:r>
      <w:r>
        <w:rPr>
          <w:color w:val="000000"/>
          <w:sz w:val="24"/>
          <w:szCs w:val="24"/>
          <w:lang w:val="es-ES" w:eastAsia="es-US"/>
        </w:rPr>
        <w:t>, que reconocía</w:t>
      </w:r>
      <w:r>
        <w:rPr>
          <w:sz w:val="24"/>
          <w:szCs w:val="24"/>
          <w:lang w:val="es-ES" w:eastAsia="es-US"/>
        </w:rPr>
        <w:t xml:space="preserve"> la importancia de asignar prioridad a la comunicación para el desarrollo y destacaba la necesidad de apoyar los sistemas de comunicación recíproca que propicien el diálogo y permitan que las comunidades se manifiesten, expresen sus aspiraciones e intereses y participen en las decisiones relacionadas con su desarrollo; la </w:t>
      </w:r>
      <w:r w:rsidRPr="00FA0D78">
        <w:rPr>
          <w:sz w:val="24"/>
          <w:szCs w:val="24"/>
          <w:lang w:val="es-ES" w:eastAsia="es-US"/>
        </w:rPr>
        <w:t>Estrategia en materia de gestión de los conocimientos</w:t>
      </w:r>
      <w:r>
        <w:rPr>
          <w:sz w:val="24"/>
          <w:szCs w:val="24"/>
          <w:lang w:val="es-ES" w:eastAsia="es-US"/>
        </w:rPr>
        <w:t xml:space="preserve"> de la Organización Mundial de la Salud (200</w:t>
      </w:r>
      <w:r>
        <w:rPr>
          <w:color w:val="000000"/>
          <w:sz w:val="24"/>
          <w:szCs w:val="24"/>
          <w:lang w:val="es-ES" w:eastAsia="es-US"/>
        </w:rPr>
        <w:t xml:space="preserve">5); </w:t>
      </w:r>
      <w:r>
        <w:rPr>
          <w:sz w:val="24"/>
          <w:szCs w:val="24"/>
          <w:lang w:val="es-ES" w:eastAsia="es-US"/>
        </w:rPr>
        <w:t xml:space="preserve">la </w:t>
      </w:r>
      <w:r w:rsidRPr="00EE0352">
        <w:rPr>
          <w:sz w:val="24"/>
          <w:szCs w:val="24"/>
          <w:lang w:val="es-ES" w:eastAsia="es-US"/>
        </w:rPr>
        <w:t>Estrategia regional de gestión del conocimiento para apoyar la salud pública (resolución EM/RC53/R.10 [2009]) de la Región del Mediterráneo Oriental;</w:t>
      </w:r>
      <w:r w:rsidRPr="00EE0352">
        <w:rPr>
          <w:sz w:val="24"/>
          <w:szCs w:val="24"/>
          <w:lang w:val="es-ES"/>
        </w:rPr>
        <w:t xml:space="preserve"> la</w:t>
      </w:r>
      <w:r w:rsidRPr="00EE0352">
        <w:rPr>
          <w:sz w:val="24"/>
          <w:szCs w:val="24"/>
          <w:lang w:val="es-ES" w:eastAsia="es-US"/>
        </w:rPr>
        <w:t xml:space="preserve"> </w:t>
      </w:r>
      <w:hyperlink r:id="rId48" w:history="1">
        <w:r w:rsidRPr="00EE0352">
          <w:rPr>
            <w:rStyle w:val="Hyperlink"/>
            <w:sz w:val="24"/>
            <w:szCs w:val="24"/>
            <w:lang w:val="es-ES" w:eastAsia="es-US"/>
          </w:rPr>
          <w:t xml:space="preserve">Estrategia y Plan de acción sobre </w:t>
        </w:r>
        <w:proofErr w:type="spellStart"/>
        <w:r w:rsidRPr="00EE0352">
          <w:rPr>
            <w:rStyle w:val="Hyperlink"/>
            <w:i/>
            <w:sz w:val="24"/>
            <w:szCs w:val="24"/>
            <w:lang w:val="es-ES" w:eastAsia="es-US"/>
          </w:rPr>
          <w:t>eSalud</w:t>
        </w:r>
        <w:proofErr w:type="spellEnd"/>
      </w:hyperlink>
      <w:r w:rsidRPr="00EE0352">
        <w:rPr>
          <w:sz w:val="24"/>
          <w:szCs w:val="24"/>
          <w:lang w:val="es-ES" w:eastAsia="es-US"/>
        </w:rPr>
        <w:t xml:space="preserve"> de la OPS (documento </w:t>
      </w:r>
      <w:r w:rsidRPr="005C2D75">
        <w:rPr>
          <w:sz w:val="24"/>
          <w:szCs w:val="24"/>
          <w:lang w:val="es-ES" w:eastAsia="es-US"/>
        </w:rPr>
        <w:t>CD51/13</w:t>
      </w:r>
      <w:r>
        <w:rPr>
          <w:sz w:val="24"/>
          <w:szCs w:val="24"/>
          <w:lang w:val="es-ES" w:eastAsia="es-US"/>
        </w:rPr>
        <w:t xml:space="preserve"> [2011])</w:t>
      </w:r>
      <w:r>
        <w:rPr>
          <w:color w:val="000000"/>
          <w:sz w:val="24"/>
          <w:szCs w:val="24"/>
          <w:lang w:val="es-ES" w:eastAsia="es-US"/>
        </w:rPr>
        <w:t xml:space="preserve">; </w:t>
      </w:r>
    </w:p>
    <w:p w:rsidR="004B5DE3" w:rsidRDefault="004B5DE3" w:rsidP="004B5DE3">
      <w:pPr>
        <w:jc w:val="both"/>
        <w:rPr>
          <w:iCs/>
          <w:sz w:val="24"/>
          <w:szCs w:val="24"/>
          <w:lang w:val="es-ES_tradnl" w:eastAsia="es-ES"/>
        </w:rPr>
      </w:pPr>
      <w:r>
        <w:rPr>
          <w:iCs/>
          <w:sz w:val="24"/>
          <w:szCs w:val="24"/>
          <w:lang w:val="es-ES_tradnl" w:eastAsia="es-ES"/>
        </w:rPr>
        <w:tab/>
        <w:t>Observando que la OPS ha colaborado con los países de la Región para establecer bases conceptuales, técnicas e infraestructura para la elaboración de programas y políticas nacionales en gestión del conocimiento y comunicaciones;</w:t>
      </w:r>
    </w:p>
    <w:p w:rsidR="004B5DE3" w:rsidRDefault="004B5DE3" w:rsidP="004B5DE3">
      <w:pPr>
        <w:jc w:val="both"/>
        <w:rPr>
          <w:iCs/>
          <w:sz w:val="24"/>
          <w:szCs w:val="24"/>
          <w:lang w:val="es-ES_tradnl" w:eastAsia="es-ES"/>
        </w:rPr>
      </w:pPr>
    </w:p>
    <w:p w:rsidR="004B5DE3" w:rsidRDefault="004B5DE3" w:rsidP="004B5DE3">
      <w:pPr>
        <w:jc w:val="both"/>
        <w:rPr>
          <w:iCs/>
          <w:sz w:val="24"/>
          <w:szCs w:val="24"/>
          <w:lang w:val="es-ES_tradnl" w:eastAsia="es-ES"/>
        </w:rPr>
      </w:pPr>
      <w:r>
        <w:rPr>
          <w:iCs/>
          <w:sz w:val="24"/>
          <w:szCs w:val="24"/>
          <w:lang w:val="es-ES_tradnl" w:eastAsia="es-ES"/>
        </w:rPr>
        <w:tab/>
        <w:t>Reconociendo el carácter transversal y complementario entre esta Estrategia y los objetivos establecidos en el Plan Estratégico de la OPS 2008-2012 (</w:t>
      </w:r>
      <w:r>
        <w:rPr>
          <w:i/>
          <w:iCs/>
          <w:sz w:val="24"/>
          <w:szCs w:val="24"/>
          <w:lang w:val="es-ES_tradnl" w:eastAsia="es-ES"/>
        </w:rPr>
        <w:t>Documento Oficial 328</w:t>
      </w:r>
      <w:r>
        <w:rPr>
          <w:iCs/>
          <w:sz w:val="24"/>
          <w:szCs w:val="24"/>
          <w:lang w:val="es-ES_tradnl" w:eastAsia="es-ES"/>
        </w:rPr>
        <w:t>);</w:t>
      </w:r>
    </w:p>
    <w:p w:rsidR="004B5DE3" w:rsidRDefault="004B5DE3" w:rsidP="004B5DE3">
      <w:pPr>
        <w:jc w:val="both"/>
        <w:rPr>
          <w:iCs/>
          <w:sz w:val="24"/>
          <w:szCs w:val="24"/>
          <w:lang w:val="es-ES_tradnl" w:eastAsia="es-ES"/>
        </w:rPr>
      </w:pPr>
    </w:p>
    <w:p w:rsidR="004B5DE3" w:rsidRDefault="004B5DE3" w:rsidP="004B5DE3">
      <w:pPr>
        <w:jc w:val="both"/>
        <w:rPr>
          <w:iCs/>
          <w:sz w:val="24"/>
          <w:szCs w:val="24"/>
          <w:lang w:val="es-ES_tradnl" w:eastAsia="es-ES"/>
        </w:rPr>
      </w:pPr>
      <w:r>
        <w:rPr>
          <w:iCs/>
          <w:sz w:val="24"/>
          <w:szCs w:val="24"/>
          <w:lang w:val="es-ES_tradnl" w:eastAsia="es-ES"/>
        </w:rPr>
        <w:tab/>
      </w:r>
      <w:r>
        <w:rPr>
          <w:sz w:val="24"/>
          <w:szCs w:val="24"/>
          <w:lang w:val="es-ES_tradnl"/>
        </w:rPr>
        <w:t>Considerando</w:t>
      </w:r>
      <w:r>
        <w:rPr>
          <w:iCs/>
          <w:sz w:val="24"/>
          <w:szCs w:val="24"/>
          <w:lang w:val="es-ES_tradnl" w:eastAsia="es-ES"/>
        </w:rPr>
        <w:t xml:space="preserve"> la importancia de contar con una estrategia y plan de acción que permita a los Estados Miembros, de forma eficaz y eficiente, mejorar la salud pública en la Región por medio de la gestión del conocimiento y comunicaciones,</w:t>
      </w:r>
    </w:p>
    <w:p w:rsidR="004B5DE3" w:rsidRDefault="004B5DE3" w:rsidP="004B5DE3">
      <w:pPr>
        <w:jc w:val="both"/>
        <w:rPr>
          <w:iCs/>
          <w:sz w:val="24"/>
          <w:szCs w:val="24"/>
          <w:lang w:val="es-ES_tradnl" w:eastAsia="es-ES"/>
        </w:rPr>
      </w:pPr>
    </w:p>
    <w:p w:rsidR="004B5DE3" w:rsidRDefault="004B5DE3" w:rsidP="004B5DE3">
      <w:pPr>
        <w:keepNext/>
        <w:jc w:val="center"/>
        <w:rPr>
          <w:b/>
          <w:i/>
          <w:sz w:val="24"/>
          <w:szCs w:val="24"/>
          <w:lang w:val="es-ES_tradnl"/>
        </w:rPr>
      </w:pPr>
      <w:r>
        <w:rPr>
          <w:b/>
          <w:i/>
          <w:sz w:val="24"/>
          <w:szCs w:val="24"/>
          <w:lang w:val="es-ES_tradnl"/>
        </w:rPr>
        <w:t>RESUELVE:</w:t>
      </w:r>
    </w:p>
    <w:p w:rsidR="004B5DE3" w:rsidRPr="00E273A9" w:rsidRDefault="004B5DE3" w:rsidP="004B5DE3">
      <w:pPr>
        <w:keepNext/>
        <w:rPr>
          <w:sz w:val="24"/>
          <w:szCs w:val="24"/>
          <w:lang w:val="es-ES"/>
        </w:rPr>
      </w:pPr>
    </w:p>
    <w:p w:rsidR="004B5DE3" w:rsidRDefault="004B5DE3" w:rsidP="004B5DE3">
      <w:pPr>
        <w:keepNext/>
        <w:numPr>
          <w:ilvl w:val="0"/>
          <w:numId w:val="3"/>
        </w:numPr>
        <w:jc w:val="both"/>
        <w:rPr>
          <w:color w:val="000000"/>
          <w:sz w:val="24"/>
          <w:szCs w:val="24"/>
          <w:lang w:val="es-ES_tradnl" w:eastAsia="es-ES"/>
        </w:rPr>
      </w:pPr>
      <w:r>
        <w:rPr>
          <w:color w:val="000000"/>
          <w:sz w:val="24"/>
          <w:szCs w:val="24"/>
          <w:lang w:val="es-ES_tradnl" w:eastAsia="es-ES"/>
        </w:rPr>
        <w:t xml:space="preserve">Respaldar la Estrategia, aprobar el Plan de acción </w:t>
      </w:r>
      <w:r w:rsidRPr="00EE0352">
        <w:rPr>
          <w:color w:val="000000"/>
          <w:sz w:val="24"/>
          <w:szCs w:val="24"/>
          <w:lang w:val="es-ES_tradnl" w:eastAsia="es-ES"/>
        </w:rPr>
        <w:t xml:space="preserve">sobre </w:t>
      </w:r>
      <w:r>
        <w:rPr>
          <w:color w:val="000000"/>
          <w:sz w:val="24"/>
          <w:szCs w:val="24"/>
          <w:lang w:val="es-ES_tradnl" w:eastAsia="es-ES"/>
        </w:rPr>
        <w:t>g</w:t>
      </w:r>
      <w:r w:rsidRPr="00EE0352">
        <w:rPr>
          <w:color w:val="000000"/>
          <w:sz w:val="24"/>
          <w:szCs w:val="24"/>
          <w:lang w:val="es-ES_tradnl" w:eastAsia="es-ES"/>
        </w:rPr>
        <w:t xml:space="preserve">estión del conocimiento y comunicaciones </w:t>
      </w:r>
      <w:r>
        <w:rPr>
          <w:color w:val="000000"/>
          <w:sz w:val="24"/>
          <w:szCs w:val="24"/>
          <w:lang w:val="es-ES_tradnl" w:eastAsia="es-ES"/>
        </w:rPr>
        <w:t xml:space="preserve">y apoyar su consideración en las políticas, planes y programas de desarrollo, así como en las propuestas y la discusión de los presupuestos nacionales, lo que permitirá crear las condiciones propicias para dar respuesta al reto de </w:t>
      </w:r>
      <w:r>
        <w:rPr>
          <w:iCs/>
          <w:color w:val="000000"/>
          <w:sz w:val="24"/>
          <w:szCs w:val="24"/>
          <w:lang w:val="es-ES_tradnl" w:eastAsia="es-ES"/>
        </w:rPr>
        <w:t xml:space="preserve">mejorar la salud pública en la Región a través de </w:t>
      </w:r>
      <w:r>
        <w:rPr>
          <w:color w:val="000000"/>
          <w:sz w:val="24"/>
          <w:szCs w:val="24"/>
          <w:lang w:val="es-ES" w:eastAsia="es-US"/>
        </w:rPr>
        <w:t>la adopción de normas, políticas y procedimientos en materia de gestión del conocimiento y comunicaciones, asegurando la convergencia de proyectos, iniciativas, productos y servicios de la Región en estos temas.</w:t>
      </w:r>
    </w:p>
    <w:p w:rsidR="004B5DE3" w:rsidRDefault="004B5DE3" w:rsidP="004B5DE3">
      <w:pPr>
        <w:jc w:val="both"/>
        <w:rPr>
          <w:sz w:val="24"/>
          <w:szCs w:val="24"/>
          <w:lang w:val="es-ES_tradnl" w:eastAsia="es-ES"/>
        </w:rPr>
      </w:pPr>
    </w:p>
    <w:p w:rsidR="004B5DE3" w:rsidRDefault="004B5DE3" w:rsidP="004B5DE3">
      <w:pPr>
        <w:numPr>
          <w:ilvl w:val="0"/>
          <w:numId w:val="3"/>
        </w:numPr>
        <w:jc w:val="both"/>
        <w:rPr>
          <w:sz w:val="24"/>
          <w:szCs w:val="24"/>
          <w:lang w:val="es-ES_tradnl" w:eastAsia="es-ES"/>
        </w:rPr>
      </w:pPr>
      <w:r>
        <w:rPr>
          <w:color w:val="000000"/>
          <w:sz w:val="24"/>
          <w:szCs w:val="24"/>
          <w:lang w:val="es-ES_tradnl" w:eastAsia="es-ES"/>
        </w:rPr>
        <w:t>Instar a los Estados Miembros a que:</w:t>
      </w:r>
    </w:p>
    <w:p w:rsidR="004B5DE3" w:rsidRDefault="004B5DE3" w:rsidP="004B5DE3">
      <w:pPr>
        <w:rPr>
          <w:sz w:val="24"/>
          <w:szCs w:val="24"/>
          <w:lang w:val="es-ES_tradnl" w:eastAsia="es-ES"/>
        </w:rPr>
      </w:pPr>
    </w:p>
    <w:p w:rsidR="004B5DE3" w:rsidRDefault="004B5DE3" w:rsidP="004B5DE3">
      <w:pPr>
        <w:numPr>
          <w:ilvl w:val="0"/>
          <w:numId w:val="4"/>
        </w:numPr>
        <w:jc w:val="both"/>
        <w:rPr>
          <w:color w:val="000000"/>
          <w:sz w:val="24"/>
          <w:szCs w:val="24"/>
          <w:lang w:val="es-ES_tradnl" w:eastAsia="es-ES"/>
        </w:rPr>
      </w:pPr>
      <w:r>
        <w:rPr>
          <w:color w:val="000000"/>
          <w:sz w:val="24"/>
          <w:szCs w:val="24"/>
          <w:lang w:val="es-ES_tradnl" w:eastAsia="es-ES"/>
        </w:rPr>
        <w:t>asignen prioridad a la realización de un análisis de situación de las instituciones que trabajan en gestión del conocimiento y comunicaciones sobre salud, a</w:t>
      </w:r>
      <w:r>
        <w:rPr>
          <w:iCs/>
          <w:sz w:val="24"/>
          <w:szCs w:val="24"/>
          <w:lang w:val="es-ES_tradnl" w:eastAsia="es-ES"/>
        </w:rPr>
        <w:t xml:space="preserve">l acceso a la información confiable y al intercambio de conocimientos sobre salud, por </w:t>
      </w:r>
      <w:r>
        <w:rPr>
          <w:iCs/>
          <w:sz w:val="24"/>
          <w:szCs w:val="24"/>
          <w:lang w:val="es-ES_tradnl" w:eastAsia="es-ES"/>
        </w:rPr>
        <w:lastRenderedPageBreak/>
        <w:t>medio de un proceso de aprendizaje continuo, para contribuir al desarrollo de la salud en la Región</w:t>
      </w:r>
      <w:r>
        <w:rPr>
          <w:color w:val="000000"/>
          <w:sz w:val="24"/>
          <w:szCs w:val="24"/>
          <w:lang w:val="es-ES_tradnl" w:eastAsia="es-ES"/>
        </w:rPr>
        <w:t>;</w:t>
      </w:r>
    </w:p>
    <w:p w:rsidR="004B5DE3" w:rsidRDefault="004B5DE3" w:rsidP="004B5DE3">
      <w:pPr>
        <w:jc w:val="both"/>
        <w:rPr>
          <w:color w:val="000000"/>
          <w:sz w:val="24"/>
          <w:szCs w:val="24"/>
          <w:lang w:val="es-ES_tradnl" w:eastAsia="es-ES"/>
        </w:rPr>
      </w:pPr>
    </w:p>
    <w:p w:rsidR="004B5DE3" w:rsidRDefault="004B5DE3" w:rsidP="004B5DE3">
      <w:pPr>
        <w:numPr>
          <w:ilvl w:val="0"/>
          <w:numId w:val="4"/>
        </w:numPr>
        <w:jc w:val="both"/>
        <w:rPr>
          <w:color w:val="000000"/>
          <w:sz w:val="24"/>
          <w:szCs w:val="24"/>
          <w:lang w:val="es-ES_tradnl" w:eastAsia="es-ES"/>
        </w:rPr>
      </w:pPr>
      <w:r>
        <w:rPr>
          <w:color w:val="000000"/>
          <w:sz w:val="24"/>
          <w:szCs w:val="24"/>
          <w:lang w:val="es-ES_tradnl" w:eastAsia="es-ES"/>
        </w:rPr>
        <w:t>elaboren y ejecuten políticas, planes, programas e intervenciones interministeriales en materia de gestión del conocimiento y comunicaciones, guiados por la Estrategia y Plan de acción, poniendo a disposición los recursos y el marco jurídico necesarios, centrándose en las necesidades de las poblaciones en riesgo y en situación de vulnerabilidad;</w:t>
      </w:r>
    </w:p>
    <w:p w:rsidR="004B5DE3" w:rsidRDefault="004B5DE3" w:rsidP="004B5DE3">
      <w:pPr>
        <w:jc w:val="both"/>
        <w:rPr>
          <w:color w:val="000000"/>
          <w:sz w:val="24"/>
          <w:szCs w:val="24"/>
          <w:lang w:val="es-ES_tradnl" w:eastAsia="es-ES"/>
        </w:rPr>
      </w:pPr>
    </w:p>
    <w:p w:rsidR="004B5DE3" w:rsidRDefault="004B5DE3" w:rsidP="004B5DE3">
      <w:pPr>
        <w:numPr>
          <w:ilvl w:val="0"/>
          <w:numId w:val="4"/>
        </w:numPr>
        <w:jc w:val="both"/>
        <w:rPr>
          <w:color w:val="000000"/>
          <w:sz w:val="24"/>
          <w:szCs w:val="24"/>
          <w:lang w:val="es-ES_tradnl" w:eastAsia="es-ES"/>
        </w:rPr>
      </w:pPr>
      <w:r>
        <w:rPr>
          <w:color w:val="000000"/>
          <w:sz w:val="24"/>
          <w:szCs w:val="24"/>
          <w:lang w:val="es-ES_tradnl" w:eastAsia="es-ES"/>
        </w:rPr>
        <w:t xml:space="preserve">ejecuten la Estrategia y Plan de acción, según corresponda, dentro de un marco integrado por el sistema de salud e instituciones de gestión del conocimiento y  comunicaciones incluidos los servicios de información pública, bibliotecas, redes de información y servicios de tecnologías de información, haciendo hincapié en la colaboración </w:t>
      </w:r>
      <w:proofErr w:type="spellStart"/>
      <w:r>
        <w:rPr>
          <w:color w:val="000000"/>
          <w:sz w:val="24"/>
          <w:szCs w:val="24"/>
          <w:lang w:val="es-ES_tradnl" w:eastAsia="es-ES"/>
        </w:rPr>
        <w:t>interprogramática</w:t>
      </w:r>
      <w:proofErr w:type="spellEnd"/>
      <w:r>
        <w:rPr>
          <w:color w:val="000000"/>
          <w:sz w:val="24"/>
          <w:szCs w:val="24"/>
          <w:lang w:val="es-ES_tradnl" w:eastAsia="es-ES"/>
        </w:rPr>
        <w:t xml:space="preserve"> y la acción intersectorial, al tiempo que vigilan y evalúan la eficacia de esta Estrategia y Plan de acción y la asignación de recursos;</w:t>
      </w:r>
    </w:p>
    <w:p w:rsidR="004B5DE3" w:rsidRDefault="004B5DE3" w:rsidP="004B5DE3">
      <w:pPr>
        <w:jc w:val="both"/>
        <w:rPr>
          <w:color w:val="000000"/>
          <w:sz w:val="24"/>
          <w:szCs w:val="24"/>
          <w:lang w:val="es-ES_tradnl" w:eastAsia="es-ES"/>
        </w:rPr>
      </w:pPr>
    </w:p>
    <w:p w:rsidR="004B5DE3" w:rsidRDefault="004B5DE3" w:rsidP="004B5DE3">
      <w:pPr>
        <w:numPr>
          <w:ilvl w:val="0"/>
          <w:numId w:val="4"/>
        </w:numPr>
        <w:jc w:val="both"/>
        <w:rPr>
          <w:color w:val="000000"/>
          <w:sz w:val="24"/>
          <w:szCs w:val="24"/>
          <w:lang w:val="es-ES_tradnl" w:eastAsia="es-ES"/>
        </w:rPr>
      </w:pPr>
      <w:r>
        <w:rPr>
          <w:color w:val="000000"/>
          <w:sz w:val="24"/>
          <w:szCs w:val="24"/>
          <w:lang w:val="es-ES_tradnl" w:eastAsia="es-ES"/>
        </w:rPr>
        <w:t>promuevan un diálogo interno y la coordinación entre ministerios y otras instituciones del sector público, así como alianzas entre los sectores público, privado y la sociedad civil, para lograr consensos nacionales y promover el establecimiento de redes nacionales de gestión del conocimiento y  comunicaciones sobre salud;</w:t>
      </w:r>
    </w:p>
    <w:p w:rsidR="004B5DE3" w:rsidRDefault="004B5DE3" w:rsidP="004B5DE3">
      <w:pPr>
        <w:jc w:val="both"/>
        <w:rPr>
          <w:color w:val="000000"/>
          <w:sz w:val="24"/>
          <w:szCs w:val="24"/>
          <w:lang w:val="es-ES_tradnl" w:eastAsia="es-ES"/>
        </w:rPr>
      </w:pPr>
    </w:p>
    <w:p w:rsidR="004B5DE3" w:rsidRDefault="004B5DE3" w:rsidP="004B5DE3">
      <w:pPr>
        <w:numPr>
          <w:ilvl w:val="0"/>
          <w:numId w:val="4"/>
        </w:numPr>
        <w:jc w:val="both"/>
        <w:rPr>
          <w:color w:val="000000"/>
          <w:sz w:val="24"/>
          <w:szCs w:val="24"/>
          <w:lang w:val="es-ES_tradnl" w:eastAsia="es-ES"/>
        </w:rPr>
      </w:pPr>
      <w:r>
        <w:rPr>
          <w:color w:val="000000"/>
          <w:sz w:val="24"/>
          <w:szCs w:val="24"/>
          <w:lang w:val="es-ES_tradnl" w:eastAsia="es-ES"/>
        </w:rPr>
        <w:t>apoyen la capacidad de generar información e investigación para la elaboración de estrategias y ejecución de modelos basados en las pruebas científicas pertinentes;</w:t>
      </w:r>
    </w:p>
    <w:p w:rsidR="004B5DE3" w:rsidRPr="00E273A9" w:rsidRDefault="004B5DE3" w:rsidP="004B5DE3">
      <w:pPr>
        <w:rPr>
          <w:sz w:val="24"/>
          <w:szCs w:val="24"/>
          <w:lang w:val="es-ES"/>
        </w:rPr>
      </w:pPr>
    </w:p>
    <w:p w:rsidR="004B5DE3" w:rsidRDefault="004B5DE3" w:rsidP="004B5DE3">
      <w:pPr>
        <w:numPr>
          <w:ilvl w:val="0"/>
          <w:numId w:val="4"/>
        </w:numPr>
        <w:jc w:val="both"/>
        <w:rPr>
          <w:color w:val="000000"/>
          <w:sz w:val="24"/>
          <w:szCs w:val="24"/>
          <w:lang w:val="es-ES_tradnl" w:eastAsia="es-ES"/>
        </w:rPr>
      </w:pPr>
      <w:r>
        <w:rPr>
          <w:color w:val="000000"/>
          <w:sz w:val="24"/>
          <w:szCs w:val="24"/>
          <w:lang w:val="es-ES_tradnl" w:eastAsia="es-ES"/>
        </w:rPr>
        <w:t>apoyen la capacidad de producir, registrar, clasificar y difundir el conocimiento científico en el ámbito de la Biblioteca Virtual en Salud liderado por BIREME OPS/OMS;</w:t>
      </w:r>
    </w:p>
    <w:p w:rsidR="004B5DE3" w:rsidRPr="00E273A9" w:rsidRDefault="004B5DE3" w:rsidP="004B5DE3">
      <w:pPr>
        <w:rPr>
          <w:sz w:val="24"/>
          <w:szCs w:val="24"/>
          <w:lang w:val="es-ES"/>
        </w:rPr>
      </w:pPr>
    </w:p>
    <w:p w:rsidR="004B5DE3" w:rsidRDefault="004B5DE3" w:rsidP="004B5DE3">
      <w:pPr>
        <w:keepNext/>
        <w:numPr>
          <w:ilvl w:val="0"/>
          <w:numId w:val="3"/>
        </w:numPr>
        <w:jc w:val="both"/>
        <w:rPr>
          <w:color w:val="000000"/>
          <w:sz w:val="24"/>
          <w:szCs w:val="24"/>
          <w:lang w:val="es-ES_tradnl" w:eastAsia="es-ES"/>
        </w:rPr>
      </w:pPr>
      <w:r>
        <w:rPr>
          <w:color w:val="000000"/>
          <w:sz w:val="24"/>
          <w:szCs w:val="24"/>
          <w:lang w:val="es-ES_tradnl" w:eastAsia="es-ES"/>
        </w:rPr>
        <w:t>Solicitar a la Directora:</w:t>
      </w:r>
    </w:p>
    <w:p w:rsidR="004B5DE3" w:rsidRDefault="004B5DE3" w:rsidP="004B5DE3">
      <w:pPr>
        <w:keepNext/>
        <w:jc w:val="both"/>
        <w:rPr>
          <w:color w:val="000000"/>
          <w:lang w:val="es-ES_tradnl" w:eastAsia="es-ES"/>
        </w:rPr>
      </w:pPr>
    </w:p>
    <w:p w:rsidR="004B5DE3" w:rsidRDefault="004B5DE3" w:rsidP="004B5DE3">
      <w:pPr>
        <w:keepNext/>
        <w:numPr>
          <w:ilvl w:val="0"/>
          <w:numId w:val="5"/>
        </w:numPr>
        <w:jc w:val="both"/>
        <w:rPr>
          <w:color w:val="000000"/>
          <w:sz w:val="24"/>
          <w:szCs w:val="24"/>
          <w:lang w:val="es-ES_tradnl" w:eastAsia="es-ES"/>
        </w:rPr>
      </w:pPr>
      <w:r>
        <w:rPr>
          <w:color w:val="000000"/>
          <w:sz w:val="24"/>
          <w:szCs w:val="24"/>
          <w:lang w:val="es-ES_tradnl" w:eastAsia="es-ES"/>
        </w:rPr>
        <w:t xml:space="preserve">que respalde la coordinación y ejecución de la Estrategia y Plan de acción sobre </w:t>
      </w:r>
      <w:r w:rsidRPr="00EA4F2F">
        <w:rPr>
          <w:color w:val="000000"/>
          <w:sz w:val="24"/>
          <w:szCs w:val="24"/>
          <w:lang w:val="es-ES_tradnl" w:eastAsia="es-ES"/>
        </w:rPr>
        <w:t>gestión del conocimiento y comunicaciones</w:t>
      </w:r>
      <w:r>
        <w:rPr>
          <w:color w:val="000000"/>
          <w:sz w:val="24"/>
          <w:szCs w:val="24"/>
          <w:lang w:val="es-ES_tradnl" w:eastAsia="es-ES"/>
        </w:rPr>
        <w:t xml:space="preserve"> en los ámbitos nacional, subregional, regional e interinstitucional, y preste la cooperación técnica necesaria a los países y promueva la cooperación técnica entre ellos, para la preparación y ejecución de los planes nacionales de acción; </w:t>
      </w:r>
    </w:p>
    <w:p w:rsidR="004B5DE3" w:rsidRDefault="004B5DE3" w:rsidP="004B5DE3">
      <w:pPr>
        <w:ind w:left="720"/>
        <w:jc w:val="both"/>
        <w:rPr>
          <w:color w:val="000000"/>
          <w:lang w:val="es-ES_tradnl" w:eastAsia="es-ES"/>
        </w:rPr>
      </w:pPr>
    </w:p>
    <w:p w:rsidR="004B5DE3" w:rsidRDefault="004B5DE3" w:rsidP="004B5DE3">
      <w:pPr>
        <w:numPr>
          <w:ilvl w:val="0"/>
          <w:numId w:val="5"/>
        </w:numPr>
        <w:jc w:val="both"/>
        <w:rPr>
          <w:color w:val="000000"/>
          <w:sz w:val="24"/>
          <w:szCs w:val="24"/>
          <w:lang w:val="es-ES_tradnl" w:eastAsia="es-ES"/>
        </w:rPr>
      </w:pPr>
      <w:r>
        <w:rPr>
          <w:color w:val="000000"/>
          <w:sz w:val="24"/>
          <w:szCs w:val="24"/>
          <w:lang w:val="es-ES_tradnl" w:eastAsia="es-ES"/>
        </w:rPr>
        <w:t>que fortalezca las relaciones con instituciones académicas y ministerios de educación para promover la formulación y ejecución   de programas nacionales de alfabetización digital, para mejorar las habilidades de las personas en el contexto de la nueva sociedad de la información;</w:t>
      </w:r>
    </w:p>
    <w:p w:rsidR="004B5DE3" w:rsidRDefault="004B5DE3" w:rsidP="004B5DE3">
      <w:pPr>
        <w:ind w:left="720"/>
        <w:jc w:val="both"/>
        <w:rPr>
          <w:color w:val="000000"/>
          <w:lang w:val="es-ES_tradnl" w:eastAsia="es-ES"/>
        </w:rPr>
      </w:pPr>
    </w:p>
    <w:p w:rsidR="004B5DE3" w:rsidRDefault="004B5DE3" w:rsidP="004B5DE3">
      <w:pPr>
        <w:numPr>
          <w:ilvl w:val="0"/>
          <w:numId w:val="5"/>
        </w:numPr>
        <w:jc w:val="both"/>
        <w:rPr>
          <w:color w:val="000000"/>
          <w:sz w:val="24"/>
          <w:szCs w:val="24"/>
          <w:lang w:val="es-ES_tradnl" w:eastAsia="es-ES"/>
        </w:rPr>
      </w:pPr>
      <w:r>
        <w:rPr>
          <w:color w:val="000000"/>
          <w:sz w:val="24"/>
          <w:szCs w:val="24"/>
          <w:lang w:val="es-ES_tradnl" w:eastAsia="es-ES"/>
        </w:rPr>
        <w:lastRenderedPageBreak/>
        <w:t>que fortalezca la estrategia de comunicación interna y las actividades para promover la aplicación de la gestión del conocimiento y de herramientas y metodologías de comunicación;</w:t>
      </w:r>
    </w:p>
    <w:p w:rsidR="004B5DE3" w:rsidRDefault="004B5DE3" w:rsidP="004B5DE3">
      <w:pPr>
        <w:ind w:left="720"/>
        <w:jc w:val="both"/>
        <w:rPr>
          <w:color w:val="000000"/>
          <w:lang w:val="es-ES_tradnl" w:eastAsia="es-ES"/>
        </w:rPr>
      </w:pPr>
    </w:p>
    <w:p w:rsidR="004B5DE3" w:rsidRDefault="004B5DE3" w:rsidP="004B5DE3">
      <w:pPr>
        <w:numPr>
          <w:ilvl w:val="0"/>
          <w:numId w:val="5"/>
        </w:numPr>
        <w:jc w:val="both"/>
        <w:rPr>
          <w:color w:val="000000"/>
          <w:sz w:val="24"/>
          <w:szCs w:val="24"/>
          <w:lang w:val="es-ES_tradnl" w:eastAsia="es-ES"/>
        </w:rPr>
      </w:pPr>
      <w:r>
        <w:rPr>
          <w:color w:val="000000"/>
          <w:sz w:val="24"/>
          <w:szCs w:val="24"/>
          <w:lang w:val="es-ES_tradnl" w:eastAsia="es-ES"/>
        </w:rPr>
        <w:t xml:space="preserve">que facilite la difusión de estudios, informes y soluciones que sirvan como modelo en materia de </w:t>
      </w:r>
      <w:r w:rsidRPr="00EA4F2F">
        <w:rPr>
          <w:color w:val="000000"/>
          <w:sz w:val="24"/>
          <w:szCs w:val="24"/>
          <w:lang w:val="es-ES_tradnl" w:eastAsia="es-ES"/>
        </w:rPr>
        <w:t>gestión del conocimiento y comunicaciones</w:t>
      </w:r>
      <w:r>
        <w:rPr>
          <w:i/>
          <w:color w:val="000000"/>
          <w:sz w:val="24"/>
          <w:szCs w:val="24"/>
          <w:lang w:val="es-ES_tradnl" w:eastAsia="es-ES"/>
        </w:rPr>
        <w:t xml:space="preserve"> </w:t>
      </w:r>
      <w:r>
        <w:rPr>
          <w:color w:val="000000"/>
          <w:sz w:val="24"/>
          <w:szCs w:val="24"/>
          <w:lang w:val="es-ES_tradnl" w:eastAsia="es-ES"/>
        </w:rPr>
        <w:t>para que, con las modificaciones apropiadas, se puedan utilizar para los Estados Miembros;</w:t>
      </w:r>
    </w:p>
    <w:p w:rsidR="004B5DE3" w:rsidRPr="00E273A9" w:rsidRDefault="004B5DE3" w:rsidP="004B5DE3">
      <w:pPr>
        <w:rPr>
          <w:sz w:val="24"/>
          <w:szCs w:val="24"/>
          <w:lang w:val="es-ES"/>
        </w:rPr>
      </w:pPr>
    </w:p>
    <w:p w:rsidR="004B5DE3" w:rsidRDefault="004B5DE3" w:rsidP="004B5DE3">
      <w:pPr>
        <w:numPr>
          <w:ilvl w:val="0"/>
          <w:numId w:val="5"/>
        </w:numPr>
        <w:jc w:val="both"/>
        <w:rPr>
          <w:color w:val="000000"/>
          <w:sz w:val="24"/>
          <w:szCs w:val="24"/>
          <w:lang w:val="es-ES_tradnl" w:eastAsia="es-ES"/>
        </w:rPr>
      </w:pPr>
      <w:r>
        <w:rPr>
          <w:color w:val="000000"/>
          <w:sz w:val="24"/>
          <w:szCs w:val="24"/>
          <w:lang w:val="es-ES_tradnl" w:eastAsia="es-ES"/>
        </w:rPr>
        <w:t>que desarrolle y mantenga la red regional de centros colaboradores de la Organización Mundial de la Salud en materia de información, conocimiento y comunicaciones sobre salud en colaboración con los Estados Miembros;</w:t>
      </w:r>
    </w:p>
    <w:p w:rsidR="004B5DE3" w:rsidRDefault="004B5DE3" w:rsidP="004B5DE3">
      <w:pPr>
        <w:jc w:val="both"/>
        <w:rPr>
          <w:color w:val="000000"/>
          <w:lang w:val="es-ES_tradnl" w:eastAsia="es-ES"/>
        </w:rPr>
      </w:pPr>
    </w:p>
    <w:p w:rsidR="004B5DE3" w:rsidRDefault="004B5DE3" w:rsidP="004B5DE3">
      <w:pPr>
        <w:numPr>
          <w:ilvl w:val="0"/>
          <w:numId w:val="5"/>
        </w:numPr>
        <w:jc w:val="both"/>
        <w:rPr>
          <w:sz w:val="24"/>
          <w:szCs w:val="24"/>
          <w:lang w:val="es-ES"/>
        </w:rPr>
      </w:pPr>
      <w:r>
        <w:rPr>
          <w:color w:val="000000"/>
          <w:sz w:val="24"/>
          <w:szCs w:val="24"/>
          <w:lang w:val="es-ES_tradnl" w:eastAsia="es-ES"/>
        </w:rPr>
        <w:t>que informe periódicamente a los Cuerpos Directivos sobre los progresos y las limitaciones en la ejecución de la presente Estrategia y Plan de acción, así como su adecuación a contextos y necesidades específicos.</w:t>
      </w:r>
    </w:p>
    <w:p w:rsidR="008759C0" w:rsidRPr="004B5DE3" w:rsidRDefault="008759C0" w:rsidP="004B5DE3">
      <w:pPr>
        <w:tabs>
          <w:tab w:val="left" w:pos="720"/>
        </w:tabs>
        <w:jc w:val="both"/>
        <w:rPr>
          <w:sz w:val="24"/>
          <w:szCs w:val="24"/>
          <w:lang w:val="es-ES"/>
        </w:rPr>
      </w:pPr>
    </w:p>
    <w:p w:rsidR="008759C0" w:rsidRDefault="008759C0">
      <w:pPr>
        <w:jc w:val="both"/>
        <w:rPr>
          <w:sz w:val="24"/>
          <w:szCs w:val="24"/>
          <w:lang w:val="es-ES_tradnl"/>
        </w:rPr>
      </w:pPr>
    </w:p>
    <w:p w:rsidR="008759C0" w:rsidRDefault="008759C0">
      <w:pPr>
        <w:jc w:val="both"/>
        <w:rPr>
          <w:sz w:val="24"/>
          <w:szCs w:val="24"/>
          <w:lang w:val="es-ES_tradnl"/>
        </w:rPr>
      </w:pPr>
    </w:p>
    <w:p w:rsidR="008759C0" w:rsidRDefault="008759C0">
      <w:pPr>
        <w:jc w:val="both"/>
        <w:rPr>
          <w:sz w:val="24"/>
          <w:szCs w:val="24"/>
          <w:lang w:val="es-ES_tradnl"/>
        </w:rPr>
      </w:pPr>
    </w:p>
    <w:p w:rsidR="008759C0" w:rsidRDefault="008759C0">
      <w:pPr>
        <w:jc w:val="both"/>
        <w:rPr>
          <w:sz w:val="24"/>
          <w:szCs w:val="24"/>
          <w:lang w:val="es-ES_tradnl"/>
        </w:rPr>
      </w:pPr>
    </w:p>
    <w:p w:rsidR="008759C0" w:rsidRDefault="008759C0">
      <w:pPr>
        <w:jc w:val="both"/>
        <w:rPr>
          <w:sz w:val="24"/>
          <w:szCs w:val="24"/>
          <w:lang w:val="es-ES_tradnl"/>
        </w:rPr>
      </w:pPr>
    </w:p>
    <w:p w:rsidR="008759C0" w:rsidRDefault="008759C0">
      <w:pPr>
        <w:jc w:val="both"/>
        <w:rPr>
          <w:sz w:val="24"/>
          <w:szCs w:val="24"/>
          <w:lang w:val="es-ES_tradnl"/>
        </w:rPr>
      </w:pPr>
    </w:p>
    <w:p w:rsidR="008759C0" w:rsidRDefault="008759C0">
      <w:pPr>
        <w:jc w:val="both"/>
        <w:rPr>
          <w:sz w:val="24"/>
          <w:szCs w:val="24"/>
          <w:lang w:val="es-ES_tradnl"/>
        </w:rPr>
      </w:pPr>
    </w:p>
    <w:p w:rsidR="008759C0" w:rsidRPr="008759C0" w:rsidRDefault="008759C0">
      <w:pPr>
        <w:jc w:val="both"/>
        <w:rPr>
          <w:sz w:val="24"/>
          <w:szCs w:val="24"/>
          <w:lang w:val="es-ES_tradnl"/>
        </w:rPr>
      </w:pPr>
    </w:p>
    <w:p w:rsidR="00380790" w:rsidRPr="008F3597" w:rsidRDefault="00380790" w:rsidP="008F3597">
      <w:pPr>
        <w:jc w:val="both"/>
        <w:rPr>
          <w:sz w:val="24"/>
          <w:szCs w:val="24"/>
          <w:lang w:val="es-ES_tradnl"/>
        </w:rPr>
      </w:pPr>
    </w:p>
    <w:p w:rsidR="008F3597" w:rsidRPr="008F3597" w:rsidRDefault="008F3597" w:rsidP="008F3597">
      <w:pPr>
        <w:jc w:val="both"/>
        <w:rPr>
          <w:sz w:val="24"/>
          <w:szCs w:val="24"/>
          <w:lang w:val="es-ES_tradnl"/>
        </w:rPr>
      </w:pPr>
    </w:p>
    <w:p w:rsidR="008F3597" w:rsidRPr="008F3597" w:rsidRDefault="008F3597" w:rsidP="008F3597">
      <w:pPr>
        <w:jc w:val="both"/>
        <w:rPr>
          <w:sz w:val="24"/>
          <w:szCs w:val="24"/>
          <w:lang w:val="es-ES_tradnl"/>
        </w:rPr>
      </w:pPr>
    </w:p>
    <w:p w:rsidR="008F3597" w:rsidRPr="008F3597" w:rsidRDefault="008F3597" w:rsidP="008F3597">
      <w:pPr>
        <w:jc w:val="both"/>
        <w:rPr>
          <w:sz w:val="24"/>
          <w:szCs w:val="24"/>
          <w:lang w:val="es-ES_tradnl"/>
        </w:rPr>
      </w:pPr>
    </w:p>
    <w:p w:rsidR="008F3597" w:rsidRPr="008F3597" w:rsidRDefault="008F3597" w:rsidP="008F3597">
      <w:pPr>
        <w:jc w:val="both"/>
        <w:rPr>
          <w:sz w:val="24"/>
          <w:szCs w:val="24"/>
          <w:lang w:val="es-ES_tradnl"/>
        </w:rPr>
      </w:pPr>
    </w:p>
    <w:p w:rsidR="008F3597" w:rsidRPr="008759C0" w:rsidRDefault="008F3597" w:rsidP="008F3597">
      <w:pPr>
        <w:ind w:left="720"/>
        <w:jc w:val="both"/>
        <w:rPr>
          <w:b/>
          <w:bCs/>
          <w:lang w:val="es-ES_tradnl" w:eastAsia="es-ES"/>
        </w:rPr>
      </w:pPr>
    </w:p>
    <w:p w:rsidR="00380790" w:rsidRPr="008759C0" w:rsidRDefault="00380790">
      <w:pPr>
        <w:jc w:val="center"/>
        <w:rPr>
          <w:b/>
          <w:bCs/>
          <w:lang w:val="es-ES_tradnl" w:eastAsia="es-ES"/>
        </w:rPr>
        <w:sectPr w:rsidR="00380790" w:rsidRPr="008759C0">
          <w:headerReference w:type="even" r:id="rId49"/>
          <w:headerReference w:type="default" r:id="rId50"/>
          <w:type w:val="continuous"/>
          <w:pgSz w:w="12240" w:h="15840" w:code="1"/>
          <w:pgMar w:top="1440" w:right="1800" w:bottom="1296" w:left="1800" w:header="1440" w:footer="1008" w:gutter="0"/>
          <w:pgNumType w:fmt="numberInDash" w:start="1"/>
          <w:cols w:space="720"/>
          <w:formProt w:val="0"/>
          <w:titlePg/>
        </w:sectPr>
      </w:pPr>
    </w:p>
    <w:p w:rsidR="00380790" w:rsidRPr="008759C0" w:rsidRDefault="00380790">
      <w:pPr>
        <w:jc w:val="center"/>
        <w:rPr>
          <w:b/>
          <w:bCs/>
          <w:lang w:val="es-ES_tradnl" w:eastAsia="es-ES"/>
        </w:rPr>
      </w:pPr>
      <w:r w:rsidRPr="008759C0">
        <w:rPr>
          <w:b/>
          <w:bCs/>
          <w:lang w:val="es-ES_tradnl" w:eastAsia="es-ES"/>
        </w:rPr>
        <w:lastRenderedPageBreak/>
        <w:br w:type="page"/>
      </w:r>
    </w:p>
    <w:p w:rsidR="00380790" w:rsidRPr="008759C0" w:rsidRDefault="00380790" w:rsidP="00ED5E2E">
      <w:pPr>
        <w:autoSpaceDE w:val="0"/>
        <w:autoSpaceDN w:val="0"/>
        <w:adjustRightInd w:val="0"/>
        <w:ind w:left="-450"/>
        <w:rPr>
          <w:bCs/>
          <w:i/>
          <w:iCs/>
          <w:sz w:val="16"/>
          <w:lang w:val="es-ES_tradnl"/>
        </w:rPr>
      </w:pPr>
    </w:p>
    <w:tbl>
      <w:tblPr>
        <w:tblpPr w:leftFromText="187" w:rightFromText="187" w:vertAnchor="text" w:tblpY="1"/>
        <w:tblOverlap w:val="never"/>
        <w:tblW w:w="0" w:type="auto"/>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1548"/>
        <w:gridCol w:w="1200"/>
        <w:gridCol w:w="7320"/>
      </w:tblGrid>
      <w:tr w:rsidR="00ED5E2E" w:rsidRPr="00750675" w:rsidTr="00ED5E2E">
        <w:trPr>
          <w:trHeight w:val="1080"/>
        </w:trPr>
        <w:tc>
          <w:tcPr>
            <w:tcW w:w="1548" w:type="dxa"/>
            <w:vMerge w:val="restart"/>
            <w:tcBorders>
              <w:top w:val="nil"/>
              <w:left w:val="nil"/>
            </w:tcBorders>
            <w:shd w:val="clear" w:color="auto" w:fill="auto"/>
            <w:vAlign w:val="center"/>
          </w:tcPr>
          <w:p w:rsidR="00ED5E2E" w:rsidRPr="008759C0" w:rsidRDefault="00ED5E2E" w:rsidP="00185F19">
            <w:pPr>
              <w:jc w:val="right"/>
              <w:rPr>
                <w:lang w:val="es-ES_tradnl"/>
              </w:rPr>
            </w:pPr>
            <w:r>
              <w:rPr>
                <w:noProof/>
              </w:rPr>
              <w:drawing>
                <wp:anchor distT="0" distB="0" distL="114300" distR="114300" simplePos="0" relativeHeight="251658240" behindDoc="0" locked="0" layoutInCell="1" allowOverlap="1">
                  <wp:simplePos x="0" y="0"/>
                  <wp:positionH relativeFrom="column">
                    <wp:posOffset>274955</wp:posOffset>
                  </wp:positionH>
                  <wp:positionV relativeFrom="paragraph">
                    <wp:posOffset>208280</wp:posOffset>
                  </wp:positionV>
                  <wp:extent cx="601980" cy="57213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1980" cy="572135"/>
                          </a:xfrm>
                          <a:prstGeom prst="rect">
                            <a:avLst/>
                          </a:prstGeom>
                          <a:noFill/>
                          <a:ln>
                            <a:noFill/>
                          </a:ln>
                        </pic:spPr>
                      </pic:pic>
                    </a:graphicData>
                  </a:graphic>
                </wp:anchor>
              </w:drawing>
            </w:r>
          </w:p>
        </w:tc>
        <w:tc>
          <w:tcPr>
            <w:tcW w:w="1200" w:type="dxa"/>
            <w:tcBorders>
              <w:top w:val="nil"/>
              <w:bottom w:val="nil"/>
            </w:tcBorders>
            <w:shd w:val="clear" w:color="auto" w:fill="auto"/>
            <w:vAlign w:val="center"/>
          </w:tcPr>
          <w:p w:rsidR="00ED5E2E" w:rsidRDefault="00ED5E2E" w:rsidP="00185F19">
            <w:pPr>
              <w:jc w:val="center"/>
            </w:pPr>
            <w:r>
              <w:rPr>
                <w:noProof/>
              </w:rPr>
              <w:drawing>
                <wp:inline distT="0" distB="0" distL="0" distR="0">
                  <wp:extent cx="601980" cy="59499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1980" cy="594995"/>
                          </a:xfrm>
                          <a:prstGeom prst="rect">
                            <a:avLst/>
                          </a:prstGeom>
                          <a:noFill/>
                          <a:ln>
                            <a:noFill/>
                          </a:ln>
                        </pic:spPr>
                      </pic:pic>
                    </a:graphicData>
                  </a:graphic>
                </wp:inline>
              </w:drawing>
            </w:r>
          </w:p>
        </w:tc>
        <w:tc>
          <w:tcPr>
            <w:tcW w:w="7320" w:type="dxa"/>
            <w:tcBorders>
              <w:top w:val="nil"/>
              <w:bottom w:val="nil"/>
              <w:right w:val="nil"/>
            </w:tcBorders>
            <w:shd w:val="clear" w:color="auto" w:fill="auto"/>
          </w:tcPr>
          <w:p w:rsidR="00ED5E2E" w:rsidRPr="008B12DC" w:rsidRDefault="00ED5E2E" w:rsidP="00185F19">
            <w:pPr>
              <w:pStyle w:val="Header"/>
              <w:tabs>
                <w:tab w:val="right" w:pos="7800"/>
                <w:tab w:val="left" w:pos="8160"/>
              </w:tabs>
              <w:ind w:left="372" w:right="14"/>
              <w:jc w:val="center"/>
              <w:rPr>
                <w:sz w:val="28"/>
              </w:rPr>
            </w:pPr>
          </w:p>
          <w:p w:rsidR="00ED5E2E" w:rsidRPr="008B12DC" w:rsidRDefault="00ED5E2E" w:rsidP="00185F19">
            <w:pPr>
              <w:pStyle w:val="Header"/>
              <w:tabs>
                <w:tab w:val="center" w:pos="1812"/>
                <w:tab w:val="right" w:pos="7800"/>
                <w:tab w:val="left" w:pos="8160"/>
              </w:tabs>
              <w:ind w:left="372" w:right="14"/>
              <w:rPr>
                <w:sz w:val="28"/>
              </w:rPr>
            </w:pPr>
            <w:r w:rsidRPr="008B12DC">
              <w:rPr>
                <w:sz w:val="28"/>
              </w:rPr>
              <w:t>ORGANIZACIÓN PANAMERICANA DE LA SALUD</w:t>
            </w:r>
          </w:p>
          <w:p w:rsidR="00ED5E2E" w:rsidRPr="005C2D75" w:rsidRDefault="00ED5E2E" w:rsidP="00185F19">
            <w:pPr>
              <w:tabs>
                <w:tab w:val="right" w:pos="7800"/>
                <w:tab w:val="left" w:pos="8160"/>
              </w:tabs>
              <w:spacing w:after="120"/>
              <w:ind w:left="619"/>
              <w:rPr>
                <w:sz w:val="24"/>
                <w:szCs w:val="24"/>
                <w:lang w:val="es-ES"/>
              </w:rPr>
            </w:pPr>
            <w:r w:rsidRPr="005C2D75">
              <w:rPr>
                <w:i/>
                <w:sz w:val="24"/>
                <w:szCs w:val="24"/>
                <w:lang w:val="es-ES"/>
              </w:rPr>
              <w:t>Oficina Sanitaria Panamericana, Oficina Regional de la</w:t>
            </w:r>
          </w:p>
        </w:tc>
      </w:tr>
      <w:tr w:rsidR="00ED5E2E" w:rsidRPr="00750675" w:rsidTr="00554AA4">
        <w:trPr>
          <w:trHeight w:val="720"/>
        </w:trPr>
        <w:tc>
          <w:tcPr>
            <w:tcW w:w="1548" w:type="dxa"/>
            <w:vMerge/>
            <w:tcBorders>
              <w:left w:val="nil"/>
              <w:bottom w:val="nil"/>
            </w:tcBorders>
            <w:shd w:val="clear" w:color="auto" w:fill="auto"/>
          </w:tcPr>
          <w:p w:rsidR="00ED5E2E" w:rsidRPr="008B12DC" w:rsidRDefault="00ED5E2E" w:rsidP="00185F19">
            <w:pPr>
              <w:jc w:val="right"/>
              <w:rPr>
                <w:lang w:val="es-ES"/>
              </w:rPr>
            </w:pPr>
          </w:p>
        </w:tc>
        <w:tc>
          <w:tcPr>
            <w:tcW w:w="1200" w:type="dxa"/>
            <w:tcBorders>
              <w:top w:val="nil"/>
              <w:bottom w:val="nil"/>
            </w:tcBorders>
            <w:shd w:val="clear" w:color="auto" w:fill="auto"/>
          </w:tcPr>
          <w:p w:rsidR="00ED5E2E" w:rsidRPr="008B12DC" w:rsidRDefault="00ED5E2E" w:rsidP="00185F19">
            <w:pPr>
              <w:jc w:val="center"/>
              <w:rPr>
                <w:lang w:val="es-ES"/>
              </w:rPr>
            </w:pPr>
          </w:p>
        </w:tc>
        <w:tc>
          <w:tcPr>
            <w:tcW w:w="7320" w:type="dxa"/>
            <w:tcBorders>
              <w:top w:val="nil"/>
              <w:bottom w:val="nil"/>
              <w:right w:val="nil"/>
            </w:tcBorders>
            <w:shd w:val="clear" w:color="auto" w:fill="auto"/>
          </w:tcPr>
          <w:p w:rsidR="00ED5E2E" w:rsidRPr="008B12DC" w:rsidRDefault="00ED5E2E" w:rsidP="00185F19">
            <w:pPr>
              <w:tabs>
                <w:tab w:val="right" w:pos="7800"/>
                <w:tab w:val="left" w:pos="8160"/>
              </w:tabs>
              <w:ind w:left="-108"/>
              <w:rPr>
                <w:lang w:val="es-ES"/>
              </w:rPr>
            </w:pPr>
            <w:r w:rsidRPr="008B12DC">
              <w:rPr>
                <w:sz w:val="28"/>
                <w:lang w:val="es-ES"/>
              </w:rPr>
              <w:t>ORGANIZACIÓN MUNDIAL DE LA SALUD</w:t>
            </w:r>
          </w:p>
        </w:tc>
      </w:tr>
    </w:tbl>
    <w:p w:rsidR="00380790" w:rsidRPr="005C2D75" w:rsidRDefault="00380790">
      <w:pPr>
        <w:pBdr>
          <w:bottom w:val="single" w:sz="12" w:space="1" w:color="auto"/>
        </w:pBdr>
        <w:tabs>
          <w:tab w:val="left" w:pos="7200"/>
        </w:tabs>
        <w:autoSpaceDE w:val="0"/>
        <w:autoSpaceDN w:val="0"/>
        <w:adjustRightInd w:val="0"/>
        <w:spacing w:after="120"/>
        <w:rPr>
          <w:bCs/>
          <w:iCs/>
          <w:sz w:val="4"/>
          <w:szCs w:val="4"/>
          <w:lang w:val="es-ES"/>
        </w:rPr>
      </w:pPr>
    </w:p>
    <w:p w:rsidR="00380790" w:rsidRDefault="00380790">
      <w:pPr>
        <w:tabs>
          <w:tab w:val="left" w:pos="7560"/>
        </w:tabs>
        <w:rPr>
          <w:bCs/>
          <w:sz w:val="24"/>
          <w:szCs w:val="24"/>
          <w:lang w:val="es-ES" w:eastAsia="es-ES"/>
        </w:rPr>
      </w:pPr>
      <w:r>
        <w:rPr>
          <w:rFonts w:ascii="Times New Roman Bold" w:hAnsi="Times New Roman Bold"/>
          <w:bCs/>
          <w:caps/>
          <w:sz w:val="22"/>
          <w:szCs w:val="22"/>
          <w:lang w:val="es-ES" w:eastAsia="es-ES"/>
        </w:rPr>
        <w:tab/>
      </w:r>
      <w:r w:rsidR="008759C0" w:rsidRPr="008F3597">
        <w:rPr>
          <w:sz w:val="24"/>
          <w:szCs w:val="24"/>
          <w:lang w:val="es-ES" w:eastAsia="ja-JP"/>
        </w:rPr>
        <w:t>CSP28/</w:t>
      </w:r>
      <w:r w:rsidR="004B5DE3">
        <w:rPr>
          <w:sz w:val="24"/>
          <w:szCs w:val="24"/>
          <w:lang w:val="es-ES" w:eastAsia="ja-JP"/>
        </w:rPr>
        <w:t>12</w:t>
      </w:r>
      <w:r w:rsidR="008759C0" w:rsidRPr="00D85D4C">
        <w:rPr>
          <w:sz w:val="24"/>
          <w:szCs w:val="24"/>
          <w:lang w:val="es-ES" w:eastAsia="ja-JP"/>
        </w:rPr>
        <w:t xml:space="preserve"> </w:t>
      </w:r>
      <w:r>
        <w:rPr>
          <w:bCs/>
          <w:sz w:val="24"/>
          <w:szCs w:val="24"/>
          <w:lang w:val="es-ES" w:eastAsia="es-ES"/>
        </w:rPr>
        <w:t>(Esp.)</w:t>
      </w:r>
    </w:p>
    <w:p w:rsidR="00380790" w:rsidRDefault="00380790">
      <w:pPr>
        <w:tabs>
          <w:tab w:val="left" w:pos="7560"/>
        </w:tabs>
        <w:rPr>
          <w:bCs/>
          <w:sz w:val="24"/>
          <w:szCs w:val="24"/>
          <w:lang w:val="es-ES" w:eastAsia="es-ES"/>
        </w:rPr>
      </w:pPr>
      <w:r>
        <w:rPr>
          <w:bCs/>
          <w:sz w:val="24"/>
          <w:szCs w:val="24"/>
          <w:lang w:val="es-ES" w:eastAsia="es-ES"/>
        </w:rPr>
        <w:tab/>
        <w:t>Anexo B</w:t>
      </w:r>
    </w:p>
    <w:p w:rsidR="00380790" w:rsidRDefault="00380790">
      <w:pPr>
        <w:tabs>
          <w:tab w:val="left" w:pos="7560"/>
        </w:tabs>
        <w:rPr>
          <w:bCs/>
          <w:sz w:val="24"/>
          <w:szCs w:val="24"/>
          <w:lang w:val="es-ES" w:eastAsia="es-ES"/>
        </w:rPr>
      </w:pPr>
    </w:p>
    <w:p w:rsidR="00380790" w:rsidRDefault="00380790">
      <w:pPr>
        <w:tabs>
          <w:tab w:val="left" w:pos="7560"/>
        </w:tabs>
        <w:rPr>
          <w:bCs/>
          <w:sz w:val="24"/>
          <w:szCs w:val="24"/>
          <w:lang w:val="es-ES" w:eastAsia="es-ES"/>
        </w:rPr>
        <w:sectPr w:rsidR="00380790">
          <w:headerReference w:type="even" r:id="rId53"/>
          <w:headerReference w:type="default" r:id="rId54"/>
          <w:type w:val="continuous"/>
          <w:pgSz w:w="12240" w:h="15840" w:code="1"/>
          <w:pgMar w:top="576" w:right="1152" w:bottom="1296" w:left="1152" w:header="576" w:footer="1008" w:gutter="0"/>
          <w:pgNumType w:fmt="numberInDash" w:start="1"/>
          <w:cols w:space="720"/>
          <w:formProt w:val="0"/>
          <w:titlePg/>
          <w:docGrid w:linePitch="272"/>
        </w:sectPr>
      </w:pPr>
    </w:p>
    <w:p w:rsidR="00380790" w:rsidRDefault="00380790">
      <w:pPr>
        <w:jc w:val="center"/>
        <w:rPr>
          <w:rFonts w:ascii="Times New Roman Bold" w:hAnsi="Times New Roman Bold"/>
          <w:b/>
          <w:bCs/>
          <w:sz w:val="28"/>
          <w:szCs w:val="28"/>
          <w:lang w:val="es-ES_tradnl" w:eastAsia="es-ES"/>
        </w:rPr>
      </w:pPr>
      <w:r>
        <w:rPr>
          <w:rFonts w:ascii="Times New Roman Bold" w:hAnsi="Times New Roman Bold"/>
          <w:b/>
          <w:bCs/>
          <w:sz w:val="28"/>
          <w:szCs w:val="28"/>
          <w:lang w:val="es-ES_tradnl" w:eastAsia="es-ES"/>
        </w:rPr>
        <w:lastRenderedPageBreak/>
        <w:t xml:space="preserve">Informe sobre las repercusiones financieras y administrativas para </w:t>
      </w:r>
    </w:p>
    <w:p w:rsidR="00380790" w:rsidRDefault="00380790">
      <w:pPr>
        <w:jc w:val="center"/>
        <w:rPr>
          <w:rFonts w:ascii="Times New Roman Bold" w:hAnsi="Times New Roman Bold"/>
          <w:b/>
          <w:bCs/>
          <w:lang w:val="es-ES_tradnl" w:eastAsia="es-ES"/>
        </w:rPr>
      </w:pPr>
      <w:proofErr w:type="gramStart"/>
      <w:r>
        <w:rPr>
          <w:rFonts w:ascii="Times New Roman Bold" w:hAnsi="Times New Roman Bold"/>
          <w:b/>
          <w:bCs/>
          <w:sz w:val="28"/>
          <w:szCs w:val="28"/>
          <w:lang w:val="es-ES_tradnl" w:eastAsia="es-ES"/>
        </w:rPr>
        <w:t>la</w:t>
      </w:r>
      <w:proofErr w:type="gramEnd"/>
      <w:r>
        <w:rPr>
          <w:rFonts w:ascii="Times New Roman Bold" w:hAnsi="Times New Roman Bold"/>
          <w:b/>
          <w:bCs/>
          <w:sz w:val="28"/>
          <w:szCs w:val="28"/>
          <w:lang w:val="es-ES_tradnl" w:eastAsia="es-ES"/>
        </w:rPr>
        <w:t xml:space="preserve"> Oficina de los proyectos de resolución</w:t>
      </w:r>
    </w:p>
    <w:p w:rsidR="00380790" w:rsidRDefault="00380790">
      <w:pPr>
        <w:jc w:val="center"/>
        <w:rPr>
          <w:rFonts w:ascii="Times New Roman Bold" w:hAnsi="Times New Roman Bold"/>
          <w:caps/>
          <w:lang w:val="es-ES_tradnl" w:eastAsia="es-ES"/>
        </w:rPr>
      </w:pPr>
    </w:p>
    <w:tbl>
      <w:tblPr>
        <w:tblW w:w="8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5"/>
      </w:tblGrid>
      <w:tr w:rsidR="00380790" w:rsidRPr="00750675">
        <w:trPr>
          <w:trHeight w:val="504"/>
          <w:jc w:val="center"/>
        </w:trPr>
        <w:tc>
          <w:tcPr>
            <w:tcW w:w="8935" w:type="dxa"/>
            <w:tcMar>
              <w:top w:w="58" w:type="dxa"/>
              <w:left w:w="115" w:type="dxa"/>
              <w:bottom w:w="58" w:type="dxa"/>
              <w:right w:w="115" w:type="dxa"/>
            </w:tcMar>
            <w:vAlign w:val="center"/>
          </w:tcPr>
          <w:p w:rsidR="00380790" w:rsidRDefault="00380790" w:rsidP="00DC4B24">
            <w:pPr>
              <w:tabs>
                <w:tab w:val="left" w:pos="393"/>
              </w:tabs>
              <w:ind w:left="393" w:hanging="360"/>
              <w:jc w:val="both"/>
              <w:rPr>
                <w:bCs/>
                <w:sz w:val="22"/>
                <w:szCs w:val="22"/>
                <w:lang w:val="es-ES_tradnl" w:eastAsia="es-ES"/>
              </w:rPr>
            </w:pPr>
            <w:r>
              <w:rPr>
                <w:b/>
                <w:bCs/>
                <w:sz w:val="22"/>
                <w:szCs w:val="22"/>
                <w:lang w:val="es-ES_tradnl" w:eastAsia="es-ES"/>
              </w:rPr>
              <w:t>1.</w:t>
            </w:r>
            <w:r>
              <w:rPr>
                <w:b/>
                <w:bCs/>
                <w:sz w:val="22"/>
                <w:szCs w:val="22"/>
                <w:lang w:val="es-ES_tradnl" w:eastAsia="es-ES"/>
              </w:rPr>
              <w:tab/>
              <w:t xml:space="preserve">Punto del orden del día: </w:t>
            </w:r>
            <w:r>
              <w:rPr>
                <w:bCs/>
                <w:sz w:val="22"/>
                <w:szCs w:val="22"/>
                <w:lang w:val="es-ES_tradnl" w:eastAsia="es-ES"/>
              </w:rPr>
              <w:t xml:space="preserve">4.7: Estrategia y </w:t>
            </w:r>
            <w:r w:rsidR="00DC4B24">
              <w:rPr>
                <w:bCs/>
                <w:sz w:val="22"/>
                <w:szCs w:val="22"/>
                <w:lang w:val="es-ES_tradnl" w:eastAsia="es-ES"/>
              </w:rPr>
              <w:t>P</w:t>
            </w:r>
            <w:r>
              <w:rPr>
                <w:bCs/>
                <w:sz w:val="22"/>
                <w:szCs w:val="22"/>
                <w:lang w:val="es-ES_tradnl" w:eastAsia="es-ES"/>
              </w:rPr>
              <w:t>lan de acción sobre gestión del conocimiento y  comunicaciones</w:t>
            </w:r>
          </w:p>
        </w:tc>
      </w:tr>
      <w:tr w:rsidR="00380790" w:rsidRPr="00750675">
        <w:trPr>
          <w:jc w:val="center"/>
        </w:trPr>
        <w:tc>
          <w:tcPr>
            <w:tcW w:w="8935" w:type="dxa"/>
            <w:tcMar>
              <w:top w:w="58" w:type="dxa"/>
              <w:left w:w="115" w:type="dxa"/>
              <w:bottom w:w="14" w:type="dxa"/>
              <w:right w:w="115" w:type="dxa"/>
            </w:tcMar>
          </w:tcPr>
          <w:p w:rsidR="00380790" w:rsidRDefault="00380790">
            <w:pPr>
              <w:tabs>
                <w:tab w:val="left" w:pos="330"/>
              </w:tabs>
              <w:spacing w:after="200"/>
              <w:jc w:val="both"/>
              <w:rPr>
                <w:b/>
                <w:bCs/>
                <w:sz w:val="22"/>
                <w:szCs w:val="22"/>
                <w:lang w:val="es-ES_tradnl" w:eastAsia="es-ES"/>
              </w:rPr>
            </w:pPr>
            <w:r>
              <w:rPr>
                <w:b/>
                <w:bCs/>
                <w:sz w:val="22"/>
                <w:szCs w:val="22"/>
                <w:lang w:val="es-ES_tradnl" w:eastAsia="es-ES"/>
              </w:rPr>
              <w:t>2.</w:t>
            </w:r>
            <w:r>
              <w:rPr>
                <w:b/>
                <w:bCs/>
                <w:sz w:val="22"/>
                <w:szCs w:val="22"/>
                <w:lang w:val="es-ES_tradnl" w:eastAsia="es-ES"/>
              </w:rPr>
              <w:tab/>
              <w:t>Relación con el presupuesto por programas:</w:t>
            </w:r>
          </w:p>
          <w:p w:rsidR="00380790" w:rsidRDefault="00380790">
            <w:pPr>
              <w:spacing w:after="200"/>
              <w:ind w:left="360" w:hanging="360"/>
              <w:jc w:val="both"/>
              <w:rPr>
                <w:bCs/>
                <w:sz w:val="22"/>
                <w:szCs w:val="22"/>
                <w:lang w:val="es-ES_tradnl" w:eastAsia="es-ES"/>
              </w:rPr>
            </w:pPr>
            <w:r>
              <w:rPr>
                <w:b/>
                <w:bCs/>
                <w:sz w:val="22"/>
                <w:szCs w:val="22"/>
                <w:lang w:val="es-ES_tradnl" w:eastAsia="es-ES"/>
              </w:rPr>
              <w:t xml:space="preserve">a) </w:t>
            </w:r>
            <w:r>
              <w:rPr>
                <w:b/>
                <w:bCs/>
                <w:sz w:val="22"/>
                <w:szCs w:val="22"/>
                <w:lang w:val="es-ES_tradnl" w:eastAsia="es-ES"/>
              </w:rPr>
              <w:tab/>
              <w:t>Área de trabajo:</w:t>
            </w:r>
            <w:r>
              <w:rPr>
                <w:bCs/>
                <w:sz w:val="22"/>
                <w:szCs w:val="22"/>
                <w:lang w:val="es-ES_tradnl" w:eastAsia="es-ES"/>
              </w:rPr>
              <w:t xml:space="preserve"> Gestión del Conocimiento y Comunicaciones</w:t>
            </w:r>
          </w:p>
          <w:p w:rsidR="00380790" w:rsidRDefault="00380790">
            <w:pPr>
              <w:spacing w:after="200"/>
              <w:ind w:left="360" w:hanging="360"/>
              <w:jc w:val="both"/>
              <w:rPr>
                <w:bCs/>
                <w:sz w:val="22"/>
                <w:szCs w:val="22"/>
                <w:lang w:val="es-ES_tradnl" w:eastAsia="es-ES"/>
              </w:rPr>
            </w:pPr>
            <w:r>
              <w:rPr>
                <w:b/>
                <w:bCs/>
                <w:sz w:val="22"/>
                <w:szCs w:val="22"/>
                <w:lang w:val="es-ES_tradnl" w:eastAsia="es-ES"/>
              </w:rPr>
              <w:t xml:space="preserve">b) </w:t>
            </w:r>
            <w:r>
              <w:rPr>
                <w:b/>
                <w:bCs/>
                <w:sz w:val="22"/>
                <w:szCs w:val="22"/>
                <w:lang w:val="es-ES_tradnl" w:eastAsia="es-ES"/>
              </w:rPr>
              <w:tab/>
              <w:t>Resultado previsto:</w:t>
            </w:r>
          </w:p>
          <w:p w:rsidR="00380790" w:rsidRDefault="00380790" w:rsidP="00442B31">
            <w:pPr>
              <w:spacing w:after="200"/>
              <w:ind w:left="393"/>
              <w:jc w:val="both"/>
              <w:rPr>
                <w:sz w:val="22"/>
                <w:szCs w:val="22"/>
                <w:lang w:val="es-ES_tradnl" w:eastAsia="es-ES"/>
              </w:rPr>
            </w:pPr>
            <w:r w:rsidRPr="00442B31">
              <w:rPr>
                <w:b/>
                <w:bCs/>
                <w:i/>
                <w:sz w:val="22"/>
                <w:szCs w:val="22"/>
                <w:lang w:val="es-ES_tradnl" w:eastAsia="es-ES"/>
              </w:rPr>
              <w:t>Objetivo Estratégico 5</w:t>
            </w:r>
            <w:r w:rsidRPr="00442B31">
              <w:rPr>
                <w:b/>
                <w:i/>
                <w:sz w:val="22"/>
                <w:szCs w:val="22"/>
                <w:lang w:val="es-ES_tradnl" w:eastAsia="es-ES"/>
              </w:rPr>
              <w:t>:</w:t>
            </w:r>
            <w:r>
              <w:rPr>
                <w:sz w:val="22"/>
                <w:szCs w:val="22"/>
                <w:lang w:val="es-ES_tradnl" w:eastAsia="es-ES"/>
              </w:rPr>
              <w:t xml:space="preserve"> Reducir las consecuencias para la salud de las emergencias, desastres, crisis y conflictos, y minimizar su impacto social y económico.</w:t>
            </w:r>
          </w:p>
          <w:p w:rsidR="00380790" w:rsidRDefault="00380790" w:rsidP="00442B31">
            <w:pPr>
              <w:tabs>
                <w:tab w:val="left" w:pos="1653"/>
              </w:tabs>
              <w:spacing w:after="200"/>
              <w:ind w:left="1653" w:hanging="1260"/>
              <w:jc w:val="both"/>
              <w:rPr>
                <w:iCs/>
                <w:sz w:val="22"/>
                <w:szCs w:val="22"/>
                <w:lang w:val="es-ES_tradnl" w:eastAsia="es-ES"/>
              </w:rPr>
            </w:pPr>
            <w:r w:rsidRPr="00ED5E2E">
              <w:rPr>
                <w:bCs/>
                <w:i/>
                <w:iCs/>
                <w:sz w:val="22"/>
                <w:szCs w:val="22"/>
                <w:lang w:val="es-ES_tradnl" w:eastAsia="es-ES"/>
              </w:rPr>
              <w:t>RPR 5.6:</w:t>
            </w:r>
            <w:r>
              <w:rPr>
                <w:b/>
                <w:bCs/>
                <w:iCs/>
                <w:sz w:val="22"/>
                <w:szCs w:val="22"/>
                <w:lang w:val="es-ES_tradnl" w:eastAsia="es-ES"/>
              </w:rPr>
              <w:tab/>
            </w:r>
            <w:r>
              <w:rPr>
                <w:iCs/>
                <w:sz w:val="22"/>
                <w:szCs w:val="22"/>
                <w:lang w:val="es-ES_tradnl" w:eastAsia="es-ES"/>
              </w:rPr>
              <w:t>Se habrán emitido comunicaciones eficaces, formado alianzas y estrechado los lazos de coordinación con organizaciones del sistema de las Naciones Unidas, gobiernos, organizaciones no gubernamentales locales e internacionales, instituciones académicas y asociaciones profesionales a los niveles nacional, regional y mundial.</w:t>
            </w:r>
          </w:p>
          <w:p w:rsidR="00380790" w:rsidRDefault="00380790" w:rsidP="00442B31">
            <w:pPr>
              <w:spacing w:after="200"/>
              <w:ind w:left="393"/>
              <w:jc w:val="both"/>
              <w:rPr>
                <w:sz w:val="22"/>
                <w:szCs w:val="22"/>
                <w:lang w:val="es-ES_tradnl" w:eastAsia="es-ES"/>
              </w:rPr>
            </w:pPr>
            <w:r w:rsidRPr="00442B31">
              <w:rPr>
                <w:b/>
                <w:bCs/>
                <w:i/>
                <w:sz w:val="22"/>
                <w:szCs w:val="22"/>
                <w:lang w:val="es-ES_tradnl" w:eastAsia="es-ES"/>
              </w:rPr>
              <w:t>Objetivo Estratégico 11</w:t>
            </w:r>
            <w:r w:rsidRPr="00442B31">
              <w:rPr>
                <w:b/>
                <w:i/>
                <w:sz w:val="22"/>
                <w:szCs w:val="22"/>
                <w:lang w:val="es-ES_tradnl" w:eastAsia="es-ES"/>
              </w:rPr>
              <w:t>:</w:t>
            </w:r>
            <w:r>
              <w:rPr>
                <w:sz w:val="22"/>
                <w:szCs w:val="22"/>
                <w:lang w:val="es-ES_tradnl" w:eastAsia="es-ES"/>
              </w:rPr>
              <w:t xml:space="preserve"> Fortalecer el liderazgo, la gobernanza y la evidencia científica de los sistemas de salud.</w:t>
            </w:r>
          </w:p>
          <w:p w:rsidR="00380790" w:rsidRDefault="00380790" w:rsidP="00442B31">
            <w:pPr>
              <w:tabs>
                <w:tab w:val="left" w:pos="1653"/>
              </w:tabs>
              <w:spacing w:after="200"/>
              <w:ind w:left="1653" w:hanging="1260"/>
              <w:jc w:val="both"/>
              <w:rPr>
                <w:iCs/>
                <w:sz w:val="22"/>
                <w:szCs w:val="22"/>
                <w:lang w:val="es-ES_tradnl" w:eastAsia="es-ES"/>
              </w:rPr>
            </w:pPr>
            <w:r w:rsidRPr="00ED5E2E">
              <w:rPr>
                <w:bCs/>
                <w:i/>
                <w:iCs/>
                <w:sz w:val="22"/>
                <w:szCs w:val="22"/>
                <w:lang w:val="es-ES_tradnl" w:eastAsia="es-ES"/>
              </w:rPr>
              <w:t>RPR 11.3:</w:t>
            </w:r>
            <w:r>
              <w:rPr>
                <w:b/>
                <w:bCs/>
                <w:iCs/>
                <w:sz w:val="22"/>
                <w:szCs w:val="22"/>
                <w:lang w:val="es-ES_tradnl" w:eastAsia="es-ES"/>
              </w:rPr>
              <w:tab/>
            </w:r>
            <w:r>
              <w:rPr>
                <w:iCs/>
                <w:sz w:val="22"/>
                <w:szCs w:val="22"/>
                <w:lang w:val="es-ES_tradnl" w:eastAsia="es-ES"/>
              </w:rPr>
              <w:t>Estados Miembros apoyados a través de la cooperación técnica a fin de aumentar el acceso equitativo, la difusión y la utilización de información, conocimientos y evidencias sobre la salud, destinados a la toma de decisiones.</w:t>
            </w:r>
          </w:p>
          <w:p w:rsidR="00380790" w:rsidRDefault="00380790" w:rsidP="00442B31">
            <w:pPr>
              <w:tabs>
                <w:tab w:val="left" w:pos="1653"/>
              </w:tabs>
              <w:spacing w:after="200"/>
              <w:ind w:left="1653" w:hanging="1260"/>
              <w:jc w:val="both"/>
              <w:rPr>
                <w:iCs/>
                <w:sz w:val="22"/>
                <w:szCs w:val="22"/>
                <w:lang w:val="es-ES_tradnl" w:eastAsia="es-ES"/>
              </w:rPr>
            </w:pPr>
            <w:r w:rsidRPr="00ED5E2E">
              <w:rPr>
                <w:bCs/>
                <w:i/>
                <w:iCs/>
                <w:sz w:val="22"/>
                <w:szCs w:val="22"/>
                <w:lang w:val="es-ES_tradnl" w:eastAsia="es-ES"/>
              </w:rPr>
              <w:t>RPR 11.5:</w:t>
            </w:r>
            <w:r w:rsidRPr="00ED5E2E">
              <w:rPr>
                <w:bCs/>
                <w:iCs/>
                <w:sz w:val="22"/>
                <w:szCs w:val="22"/>
                <w:lang w:val="es-ES_tradnl" w:eastAsia="es-ES"/>
              </w:rPr>
              <w:tab/>
            </w:r>
            <w:r>
              <w:rPr>
                <w:iCs/>
                <w:sz w:val="22"/>
                <w:szCs w:val="22"/>
                <w:lang w:val="es-ES_tradnl" w:eastAsia="es-ES"/>
              </w:rPr>
              <w:t>La OPS será la fuente autorizada y la intermediaria en materia de información de salud pública basada en evidencia y conocimientos, suministrando conocimientos esenciales de salud y material de promoción de la causa a los Estados Miembros, a los socios en la esfera de la salud y a otros interesados directos.</w:t>
            </w:r>
          </w:p>
          <w:p w:rsidR="00380790" w:rsidRDefault="00380790" w:rsidP="00442B31">
            <w:pPr>
              <w:spacing w:after="200"/>
              <w:ind w:left="393"/>
              <w:jc w:val="both"/>
              <w:rPr>
                <w:sz w:val="22"/>
                <w:szCs w:val="22"/>
                <w:lang w:val="es-ES_tradnl" w:eastAsia="es-ES"/>
              </w:rPr>
            </w:pPr>
            <w:r w:rsidRPr="00442B31">
              <w:rPr>
                <w:b/>
                <w:bCs/>
                <w:i/>
                <w:sz w:val="22"/>
                <w:szCs w:val="22"/>
                <w:lang w:val="es-ES_tradnl" w:eastAsia="es-ES"/>
              </w:rPr>
              <w:t>Objetivo Estratégico 13</w:t>
            </w:r>
            <w:r w:rsidRPr="00442B31">
              <w:rPr>
                <w:b/>
                <w:i/>
                <w:sz w:val="22"/>
                <w:szCs w:val="22"/>
                <w:lang w:val="es-ES_tradnl" w:eastAsia="es-ES"/>
              </w:rPr>
              <w:t>:</w:t>
            </w:r>
            <w:r>
              <w:rPr>
                <w:sz w:val="22"/>
                <w:szCs w:val="22"/>
                <w:lang w:val="es-ES_tradnl" w:eastAsia="es-ES"/>
              </w:rPr>
              <w:t xml:space="preserve"> Asegurar la existencia de un personal de salud disponible, competente, productivo y capaz de responder a las necesidades, con miras a mejorar los resultados sanitarios.</w:t>
            </w:r>
          </w:p>
          <w:p w:rsidR="00380790" w:rsidRDefault="00380790" w:rsidP="00442B31">
            <w:pPr>
              <w:tabs>
                <w:tab w:val="left" w:pos="1653"/>
              </w:tabs>
              <w:spacing w:after="200"/>
              <w:ind w:left="1653" w:hanging="1260"/>
              <w:jc w:val="both"/>
              <w:rPr>
                <w:sz w:val="22"/>
                <w:szCs w:val="22"/>
                <w:lang w:val="es-ES_tradnl" w:eastAsia="es-ES"/>
              </w:rPr>
            </w:pPr>
            <w:r w:rsidRPr="00ED5E2E">
              <w:rPr>
                <w:bCs/>
                <w:i/>
                <w:iCs/>
                <w:sz w:val="22"/>
                <w:szCs w:val="22"/>
                <w:lang w:val="es-ES_tradnl" w:eastAsia="es-ES"/>
              </w:rPr>
              <w:t>RPR 13.4:</w:t>
            </w:r>
            <w:r w:rsidRPr="00ED5E2E">
              <w:rPr>
                <w:bCs/>
                <w:iCs/>
                <w:sz w:val="22"/>
                <w:szCs w:val="22"/>
                <w:lang w:val="es-ES_tradnl" w:eastAsia="es-ES"/>
              </w:rPr>
              <w:tab/>
            </w:r>
            <w:r>
              <w:rPr>
                <w:sz w:val="22"/>
                <w:szCs w:val="22"/>
                <w:lang w:val="es-ES_tradnl" w:eastAsia="es-ES"/>
              </w:rPr>
              <w:t>Estados Miembros apoyados a través de la cooperación técnica para fortalecer los sistemas y las estrategias de educación a nivel nacional, con miras a desarrollar y mantener las competencias de los trabajadores de la salud centradas en la atención primaria de salud.</w:t>
            </w:r>
          </w:p>
          <w:p w:rsidR="00380790" w:rsidRDefault="00380790" w:rsidP="00442B31">
            <w:pPr>
              <w:spacing w:after="200"/>
              <w:ind w:left="393"/>
              <w:jc w:val="both"/>
              <w:rPr>
                <w:sz w:val="22"/>
                <w:szCs w:val="22"/>
                <w:lang w:val="es-ES_tradnl" w:eastAsia="es-ES"/>
              </w:rPr>
            </w:pPr>
            <w:r w:rsidRPr="00442B31">
              <w:rPr>
                <w:b/>
                <w:bCs/>
                <w:i/>
                <w:sz w:val="22"/>
                <w:szCs w:val="22"/>
                <w:lang w:val="es-ES_tradnl" w:eastAsia="es-ES"/>
              </w:rPr>
              <w:t>Objetivo Estratégico 16</w:t>
            </w:r>
            <w:r w:rsidRPr="00442B31">
              <w:rPr>
                <w:b/>
                <w:i/>
                <w:sz w:val="22"/>
                <w:szCs w:val="22"/>
                <w:lang w:val="es-ES_tradnl" w:eastAsia="es-ES"/>
              </w:rPr>
              <w:t>:</w:t>
            </w:r>
            <w:r>
              <w:rPr>
                <w:sz w:val="22"/>
                <w:szCs w:val="22"/>
                <w:lang w:val="es-ES_tradnl" w:eastAsia="es-ES"/>
              </w:rPr>
              <w:t xml:space="preserve"> Desarrollar y mantener a la OPS/OMS como una organización </w:t>
            </w:r>
            <w:r>
              <w:rPr>
                <w:sz w:val="22"/>
                <w:szCs w:val="22"/>
                <w:lang w:val="es-ES_tradnl" w:eastAsia="es-ES"/>
              </w:rPr>
              <w:lastRenderedPageBreak/>
              <w:t>flexible y discente, facilitándole los medios necesarios para cumplir su mandato de manera más eficiente y eficaz.</w:t>
            </w:r>
          </w:p>
          <w:p w:rsidR="00380790" w:rsidRDefault="00380790" w:rsidP="00442B31">
            <w:pPr>
              <w:tabs>
                <w:tab w:val="left" w:pos="1653"/>
              </w:tabs>
              <w:spacing w:after="200"/>
              <w:ind w:left="1653" w:hanging="1260"/>
              <w:jc w:val="both"/>
              <w:rPr>
                <w:sz w:val="22"/>
                <w:szCs w:val="22"/>
                <w:lang w:val="es-ES_tradnl" w:eastAsia="es-ES"/>
              </w:rPr>
            </w:pPr>
            <w:r w:rsidRPr="00ED5E2E">
              <w:rPr>
                <w:bCs/>
                <w:i/>
                <w:iCs/>
                <w:sz w:val="22"/>
                <w:szCs w:val="22"/>
                <w:lang w:val="es-ES_tradnl" w:eastAsia="es-ES"/>
              </w:rPr>
              <w:t>RPR 16.1:</w:t>
            </w:r>
            <w:r>
              <w:rPr>
                <w:b/>
                <w:bCs/>
                <w:iCs/>
                <w:sz w:val="22"/>
                <w:szCs w:val="22"/>
                <w:lang w:val="es-ES_tradnl" w:eastAsia="es-ES"/>
              </w:rPr>
              <w:tab/>
            </w:r>
            <w:r>
              <w:rPr>
                <w:sz w:val="22"/>
                <w:szCs w:val="22"/>
                <w:lang w:val="es-ES_tradnl" w:eastAsia="es-ES"/>
              </w:rPr>
              <w:t>OPS es una institución orientada a la consecución de resultados cuyo trabajo se rige por planes estratégicos y operativos fundamentados en las lecciones aprendidas, que reflejan las necesidades de los países y las subregiones, se formulan conjuntamente en toda la Organización y se utilizan eficazmente para dar seguimiento al desempeño y evaluar los resultados.</w:t>
            </w:r>
          </w:p>
          <w:p w:rsidR="00380790" w:rsidRDefault="00380790" w:rsidP="00442B31">
            <w:pPr>
              <w:tabs>
                <w:tab w:val="left" w:pos="1653"/>
              </w:tabs>
              <w:spacing w:after="200"/>
              <w:ind w:left="1653" w:hanging="1260"/>
              <w:jc w:val="both"/>
              <w:rPr>
                <w:sz w:val="22"/>
                <w:szCs w:val="22"/>
                <w:lang w:val="es-ES_tradnl" w:eastAsia="es-ES"/>
              </w:rPr>
            </w:pPr>
            <w:r w:rsidRPr="00ED5E2E">
              <w:rPr>
                <w:bCs/>
                <w:i/>
                <w:iCs/>
                <w:sz w:val="22"/>
                <w:szCs w:val="22"/>
                <w:lang w:val="es-ES_tradnl" w:eastAsia="es-ES"/>
              </w:rPr>
              <w:t>RPR 16.3:</w:t>
            </w:r>
            <w:r w:rsidRPr="00442B31">
              <w:rPr>
                <w:b/>
                <w:bCs/>
                <w:i/>
                <w:iCs/>
                <w:sz w:val="22"/>
                <w:szCs w:val="22"/>
                <w:lang w:val="es-ES_tradnl" w:eastAsia="es-ES"/>
              </w:rPr>
              <w:tab/>
            </w:r>
            <w:r>
              <w:rPr>
                <w:sz w:val="22"/>
                <w:szCs w:val="22"/>
                <w:lang w:val="es-ES_tradnl" w:eastAsia="es-ES"/>
              </w:rPr>
              <w:t xml:space="preserve">Las políticas y prácticas de recursos humanos promueven, </w:t>
            </w:r>
            <w:r>
              <w:rPr>
                <w:i/>
                <w:sz w:val="22"/>
                <w:szCs w:val="22"/>
                <w:lang w:val="es-ES_tradnl" w:eastAsia="es-ES"/>
              </w:rPr>
              <w:t>a</w:t>
            </w:r>
            <w:r>
              <w:rPr>
                <w:sz w:val="22"/>
                <w:szCs w:val="22"/>
                <w:lang w:val="es-ES_tradnl" w:eastAsia="es-ES"/>
              </w:rPr>
              <w:t xml:space="preserve">) la contratación y retención de personas idóneas con las competencias requeridas por la Organización; </w:t>
            </w:r>
            <w:r>
              <w:rPr>
                <w:i/>
                <w:sz w:val="22"/>
                <w:szCs w:val="22"/>
                <w:lang w:val="es-ES_tradnl" w:eastAsia="es-ES"/>
              </w:rPr>
              <w:t>b</w:t>
            </w:r>
            <w:r>
              <w:rPr>
                <w:sz w:val="22"/>
                <w:szCs w:val="22"/>
                <w:lang w:val="es-ES_tradnl" w:eastAsia="es-ES"/>
              </w:rPr>
              <w:t xml:space="preserve">) un desempeño y una gestión de los recursos humanos eficaces y equitativos; </w:t>
            </w:r>
            <w:r>
              <w:rPr>
                <w:i/>
                <w:sz w:val="22"/>
                <w:szCs w:val="22"/>
                <w:lang w:val="es-ES_tradnl" w:eastAsia="es-ES"/>
              </w:rPr>
              <w:t>c</w:t>
            </w:r>
            <w:r>
              <w:rPr>
                <w:sz w:val="22"/>
                <w:szCs w:val="22"/>
                <w:lang w:val="es-ES_tradnl" w:eastAsia="es-ES"/>
              </w:rPr>
              <w:t xml:space="preserve">) fomentar el desarrollo del personal; y </w:t>
            </w:r>
            <w:r>
              <w:rPr>
                <w:i/>
                <w:sz w:val="22"/>
                <w:szCs w:val="22"/>
                <w:lang w:val="es-ES_tradnl" w:eastAsia="es-ES"/>
              </w:rPr>
              <w:t>d</w:t>
            </w:r>
            <w:r>
              <w:rPr>
                <w:sz w:val="22"/>
                <w:szCs w:val="22"/>
                <w:lang w:val="es-ES_tradnl" w:eastAsia="es-ES"/>
              </w:rPr>
              <w:t>) velar por el comportamiento ético.</w:t>
            </w:r>
          </w:p>
        </w:tc>
      </w:tr>
      <w:tr w:rsidR="00380790" w:rsidRPr="00750675">
        <w:trPr>
          <w:jc w:val="center"/>
        </w:trPr>
        <w:tc>
          <w:tcPr>
            <w:tcW w:w="8935" w:type="dxa"/>
            <w:tcMar>
              <w:top w:w="72" w:type="dxa"/>
              <w:left w:w="115" w:type="dxa"/>
              <w:bottom w:w="72" w:type="dxa"/>
              <w:right w:w="115" w:type="dxa"/>
            </w:tcMar>
          </w:tcPr>
          <w:p w:rsidR="00380790" w:rsidRDefault="00380790" w:rsidP="00750675">
            <w:pPr>
              <w:tabs>
                <w:tab w:val="left" w:pos="330"/>
              </w:tabs>
              <w:spacing w:after="200" w:line="240" w:lineRule="exact"/>
              <w:jc w:val="both"/>
              <w:rPr>
                <w:b/>
                <w:bCs/>
                <w:sz w:val="22"/>
                <w:szCs w:val="22"/>
                <w:lang w:val="es-ES_tradnl" w:eastAsia="es-ES"/>
              </w:rPr>
            </w:pPr>
            <w:r>
              <w:rPr>
                <w:b/>
                <w:bCs/>
                <w:sz w:val="22"/>
                <w:szCs w:val="22"/>
                <w:lang w:val="es-ES_tradnl" w:eastAsia="es-ES"/>
              </w:rPr>
              <w:lastRenderedPageBreak/>
              <w:t>3.</w:t>
            </w:r>
            <w:r>
              <w:rPr>
                <w:b/>
                <w:bCs/>
                <w:sz w:val="22"/>
                <w:szCs w:val="22"/>
                <w:lang w:val="es-ES_tradnl" w:eastAsia="es-ES"/>
              </w:rPr>
              <w:tab/>
              <w:t>Repercusiones financieras:</w:t>
            </w:r>
          </w:p>
          <w:p w:rsidR="00380790" w:rsidRDefault="00380790" w:rsidP="00750675">
            <w:pPr>
              <w:spacing w:after="200" w:line="240" w:lineRule="exact"/>
              <w:ind w:left="360" w:hanging="360"/>
              <w:jc w:val="both"/>
              <w:rPr>
                <w:b/>
                <w:bCs/>
                <w:sz w:val="22"/>
                <w:szCs w:val="22"/>
                <w:lang w:val="es-ES_tradnl" w:eastAsia="es-ES"/>
              </w:rPr>
            </w:pPr>
            <w:r>
              <w:rPr>
                <w:b/>
                <w:bCs/>
                <w:sz w:val="22"/>
                <w:szCs w:val="22"/>
                <w:lang w:val="es-ES_tradnl" w:eastAsia="es-ES"/>
              </w:rPr>
              <w:t xml:space="preserve">a) </w:t>
            </w:r>
            <w:r>
              <w:rPr>
                <w:b/>
                <w:bCs/>
                <w:sz w:val="22"/>
                <w:szCs w:val="22"/>
                <w:lang w:val="es-ES_tradnl" w:eastAsia="es-ES"/>
              </w:rPr>
              <w:tab/>
              <w:t xml:space="preserve">Costo total estimado de la aplicación de la resolución en todo su período de vigencia (redondeado a la decena de millar de US$ más próxima; incluye los gastos correspondientes a personal y actividades): </w:t>
            </w:r>
          </w:p>
          <w:p w:rsidR="00380790" w:rsidRDefault="00380790" w:rsidP="00750675">
            <w:pPr>
              <w:spacing w:after="200" w:line="240" w:lineRule="exact"/>
              <w:ind w:left="360"/>
              <w:jc w:val="both"/>
              <w:rPr>
                <w:sz w:val="22"/>
                <w:szCs w:val="22"/>
                <w:lang w:val="es-ES_tradnl" w:eastAsia="es-ES"/>
              </w:rPr>
            </w:pPr>
            <w:r>
              <w:rPr>
                <w:sz w:val="22"/>
                <w:szCs w:val="22"/>
                <w:lang w:val="es-ES_tradnl" w:eastAsia="es-ES"/>
              </w:rPr>
              <w:t xml:space="preserve">La Organización Panamericana de la Salud necesitará de la colaboración de otros organismos de las Naciones Unidas y de otras instituciones interesadas para poder ejecutar el Plan. Durante el período 2013-2018, el gasto estimado de la ejecución del </w:t>
            </w:r>
            <w:r w:rsidR="00DC4B24">
              <w:rPr>
                <w:sz w:val="22"/>
                <w:szCs w:val="22"/>
                <w:lang w:val="es-ES_tradnl" w:eastAsia="es-ES"/>
              </w:rPr>
              <w:t>P</w:t>
            </w:r>
            <w:r>
              <w:rPr>
                <w:sz w:val="22"/>
                <w:szCs w:val="22"/>
                <w:lang w:val="es-ES_tradnl" w:eastAsia="es-ES"/>
              </w:rPr>
              <w:t xml:space="preserve">lan de acción </w:t>
            </w:r>
            <w:r w:rsidR="007A1C55">
              <w:rPr>
                <w:sz w:val="22"/>
                <w:szCs w:val="22"/>
                <w:lang w:val="es-ES_tradnl" w:eastAsia="es-ES"/>
              </w:rPr>
              <w:t> </w:t>
            </w:r>
            <w:r>
              <w:rPr>
                <w:sz w:val="22"/>
                <w:szCs w:val="22"/>
                <w:lang w:val="es-ES_tradnl" w:eastAsia="es-ES"/>
              </w:rPr>
              <w:t xml:space="preserve">es </w:t>
            </w:r>
            <w:r w:rsidR="007A1C55">
              <w:rPr>
                <w:sz w:val="22"/>
                <w:szCs w:val="22"/>
                <w:lang w:val="es-ES_tradnl" w:eastAsia="es-ES"/>
              </w:rPr>
              <w:t> </w:t>
            </w:r>
            <w:r>
              <w:rPr>
                <w:sz w:val="22"/>
                <w:szCs w:val="22"/>
                <w:lang w:val="es-ES_tradnl" w:eastAsia="es-ES"/>
              </w:rPr>
              <w:t xml:space="preserve">de </w:t>
            </w:r>
            <w:r w:rsidR="007A1C55">
              <w:rPr>
                <w:sz w:val="22"/>
                <w:szCs w:val="22"/>
                <w:lang w:val="es-ES_tradnl" w:eastAsia="es-ES"/>
              </w:rPr>
              <w:t xml:space="preserve"> </w:t>
            </w:r>
            <w:r>
              <w:rPr>
                <w:color w:val="000000"/>
                <w:sz w:val="22"/>
                <w:szCs w:val="22"/>
                <w:lang w:val="es-ES_tradnl" w:eastAsia="es-ES"/>
              </w:rPr>
              <w:t>US$</w:t>
            </w:r>
            <w:r w:rsidR="007A1C55">
              <w:rPr>
                <w:color w:val="000000"/>
                <w:sz w:val="22"/>
                <w:szCs w:val="22"/>
                <w:lang w:val="es-ES_tradnl" w:eastAsia="es-ES"/>
              </w:rPr>
              <w:t xml:space="preserve"> </w:t>
            </w:r>
            <w:r w:rsidR="00470210">
              <w:rPr>
                <w:color w:val="000000"/>
                <w:sz w:val="22"/>
                <w:szCs w:val="22"/>
                <w:lang w:val="es-ES_tradnl" w:eastAsia="es-ES"/>
              </w:rPr>
              <w:t>550</w:t>
            </w:r>
            <w:r>
              <w:rPr>
                <w:color w:val="000000"/>
                <w:sz w:val="22"/>
                <w:szCs w:val="22"/>
                <w:lang w:val="es-ES_tradnl" w:eastAsia="es-ES"/>
              </w:rPr>
              <w:t>.000</w:t>
            </w:r>
            <w:r>
              <w:rPr>
                <w:sz w:val="22"/>
                <w:szCs w:val="22"/>
                <w:lang w:val="es-ES_tradnl" w:eastAsia="es-ES"/>
              </w:rPr>
              <w:t xml:space="preserve"> por año (incrementando esta cantidad en $150.000 en el tercer y último año para realizar tareas de evaluación). Este coste incluye: contratación de personal adicional y ejecución de actividades a nivel regional, subregional y nacional (cooperación técnica, estudios, talleres, reuniones, campañas, seguimiento y evaluación).</w:t>
            </w:r>
          </w:p>
          <w:p w:rsidR="00380790" w:rsidRDefault="00380790" w:rsidP="00750675">
            <w:pPr>
              <w:spacing w:after="200" w:line="240" w:lineRule="exact"/>
              <w:ind w:left="360"/>
              <w:jc w:val="both"/>
              <w:rPr>
                <w:color w:val="000000"/>
                <w:sz w:val="22"/>
                <w:szCs w:val="22"/>
                <w:lang w:val="es-ES_tradnl" w:eastAsia="es-ES"/>
              </w:rPr>
            </w:pPr>
            <w:r>
              <w:rPr>
                <w:color w:val="000000"/>
                <w:sz w:val="22"/>
                <w:szCs w:val="22"/>
                <w:lang w:val="es-ES_tradnl" w:eastAsia="es-ES"/>
              </w:rPr>
              <w:t xml:space="preserve">Debe tenerse en cuenta que la ejecución del </w:t>
            </w:r>
            <w:r w:rsidR="00DC4B24">
              <w:rPr>
                <w:i/>
                <w:color w:val="000000"/>
                <w:sz w:val="22"/>
                <w:szCs w:val="22"/>
                <w:lang w:val="es-ES_tradnl" w:eastAsia="es-ES"/>
              </w:rPr>
              <w:t>P</w:t>
            </w:r>
            <w:r>
              <w:rPr>
                <w:i/>
                <w:color w:val="000000"/>
                <w:sz w:val="22"/>
                <w:szCs w:val="22"/>
                <w:lang w:val="es-ES_tradnl" w:eastAsia="es-ES"/>
              </w:rPr>
              <w:t xml:space="preserve">lan de acción sobre  gestión del conocimiento y  comunicaciones </w:t>
            </w:r>
            <w:r>
              <w:rPr>
                <w:color w:val="000000"/>
                <w:sz w:val="22"/>
                <w:szCs w:val="22"/>
                <w:lang w:val="es-ES_tradnl" w:eastAsia="es-ES"/>
              </w:rPr>
              <w:t>producirá un ahorro sustancial en los costes asociados a la prestación, organización y evaluación de los servicios de salud.</w:t>
            </w:r>
          </w:p>
          <w:p w:rsidR="00380790" w:rsidRDefault="00380790" w:rsidP="00750675">
            <w:pPr>
              <w:tabs>
                <w:tab w:val="left" w:pos="0"/>
              </w:tabs>
              <w:spacing w:after="200" w:line="240" w:lineRule="exact"/>
              <w:ind w:left="360"/>
              <w:jc w:val="both"/>
              <w:rPr>
                <w:bCs/>
                <w:sz w:val="22"/>
                <w:szCs w:val="22"/>
                <w:lang w:val="es-ES_tradnl" w:eastAsia="es-ES"/>
              </w:rPr>
            </w:pPr>
            <w:r>
              <w:rPr>
                <w:bCs/>
                <w:sz w:val="22"/>
                <w:szCs w:val="22"/>
                <w:lang w:val="es-ES_tradnl" w:eastAsia="es-ES"/>
              </w:rPr>
              <w:t>En el proceso de planificación, los Estados Miembros deberán estimar los costos de ejecución de este Plan de acción en sus países y realizar los ajustes presupuestarios que sean necesarios.</w:t>
            </w:r>
          </w:p>
          <w:p w:rsidR="00380790" w:rsidRDefault="00380790" w:rsidP="00750675">
            <w:pPr>
              <w:spacing w:after="120" w:line="240" w:lineRule="exact"/>
              <w:ind w:left="360" w:hanging="360"/>
              <w:jc w:val="both"/>
              <w:rPr>
                <w:b/>
                <w:bCs/>
                <w:sz w:val="22"/>
                <w:szCs w:val="22"/>
                <w:lang w:val="es-ES_tradnl" w:eastAsia="es-ES"/>
              </w:rPr>
            </w:pPr>
            <w:r>
              <w:rPr>
                <w:b/>
                <w:bCs/>
                <w:sz w:val="22"/>
                <w:szCs w:val="22"/>
                <w:lang w:val="es-ES_tradnl" w:eastAsia="es-ES"/>
              </w:rPr>
              <w:t>b)</w:t>
            </w:r>
            <w:r>
              <w:rPr>
                <w:b/>
                <w:bCs/>
                <w:sz w:val="22"/>
                <w:szCs w:val="22"/>
                <w:lang w:val="es-ES_tradnl" w:eastAsia="es-ES"/>
              </w:rPr>
              <w:tab/>
              <w:t>Costo estimado para el bienio 2013-2014 (redondeado a la decena de millar de US$ más próxima; incluye los gastos correspondientes a personal y actividades):</w:t>
            </w:r>
          </w:p>
          <w:p w:rsidR="00380790" w:rsidRDefault="00380790" w:rsidP="00750675">
            <w:pPr>
              <w:tabs>
                <w:tab w:val="left" w:pos="360"/>
              </w:tabs>
              <w:spacing w:after="200" w:line="240" w:lineRule="exact"/>
              <w:ind w:left="360"/>
              <w:jc w:val="both"/>
              <w:rPr>
                <w:sz w:val="22"/>
                <w:szCs w:val="22"/>
                <w:lang w:val="es-ES_tradnl" w:eastAsia="es-ES"/>
              </w:rPr>
            </w:pPr>
            <w:r>
              <w:rPr>
                <w:color w:val="000000"/>
                <w:sz w:val="22"/>
                <w:szCs w:val="22"/>
                <w:lang w:val="es-ES_tradnl" w:eastAsia="es-ES"/>
              </w:rPr>
              <w:t>US$</w:t>
            </w:r>
            <w:r w:rsidR="007A1C55">
              <w:rPr>
                <w:color w:val="000000"/>
                <w:sz w:val="22"/>
                <w:szCs w:val="22"/>
                <w:lang w:val="es-ES_tradnl" w:eastAsia="es-ES"/>
              </w:rPr>
              <w:t xml:space="preserve"> </w:t>
            </w:r>
            <w:r w:rsidR="00470210">
              <w:rPr>
                <w:color w:val="000000"/>
                <w:sz w:val="22"/>
                <w:szCs w:val="22"/>
                <w:lang w:val="es-ES_tradnl" w:eastAsia="es-ES"/>
              </w:rPr>
              <w:t>550</w:t>
            </w:r>
            <w:r>
              <w:rPr>
                <w:color w:val="000000"/>
                <w:sz w:val="22"/>
                <w:szCs w:val="22"/>
                <w:lang w:val="es-ES_tradnl" w:eastAsia="es-ES"/>
              </w:rPr>
              <w:t>.000</w:t>
            </w:r>
            <w:r>
              <w:rPr>
                <w:sz w:val="22"/>
                <w:szCs w:val="22"/>
                <w:lang w:val="es-ES_tradnl" w:eastAsia="es-ES"/>
              </w:rPr>
              <w:t xml:space="preserve"> por año. En el tercer y último año este presupuesto se incrementa en $150.000.</w:t>
            </w:r>
          </w:p>
          <w:p w:rsidR="00380790" w:rsidRDefault="00380790" w:rsidP="00750675">
            <w:pPr>
              <w:numPr>
                <w:ilvl w:val="0"/>
                <w:numId w:val="7"/>
              </w:numPr>
              <w:tabs>
                <w:tab w:val="clear" w:pos="0"/>
                <w:tab w:val="left" w:pos="720"/>
              </w:tabs>
              <w:spacing w:after="120" w:line="240" w:lineRule="exact"/>
              <w:ind w:left="720"/>
              <w:jc w:val="both"/>
              <w:rPr>
                <w:color w:val="000000"/>
                <w:sz w:val="22"/>
                <w:szCs w:val="22"/>
                <w:lang w:val="es-ES_tradnl" w:eastAsia="es-ES"/>
              </w:rPr>
            </w:pPr>
            <w:r>
              <w:rPr>
                <w:color w:val="000000"/>
                <w:sz w:val="22"/>
                <w:szCs w:val="22"/>
                <w:lang w:val="es-ES_tradnl" w:eastAsia="es-ES"/>
              </w:rPr>
              <w:t>Personal: $250.000</w:t>
            </w:r>
          </w:p>
          <w:p w:rsidR="00380790" w:rsidRDefault="00380790" w:rsidP="00750675">
            <w:pPr>
              <w:numPr>
                <w:ilvl w:val="0"/>
                <w:numId w:val="7"/>
              </w:numPr>
              <w:tabs>
                <w:tab w:val="clear" w:pos="0"/>
                <w:tab w:val="left" w:pos="720"/>
              </w:tabs>
              <w:spacing w:after="120" w:line="240" w:lineRule="exact"/>
              <w:ind w:left="720"/>
              <w:jc w:val="both"/>
              <w:rPr>
                <w:color w:val="000000"/>
                <w:sz w:val="22"/>
                <w:szCs w:val="22"/>
                <w:lang w:val="es-ES_tradnl" w:eastAsia="es-ES"/>
              </w:rPr>
            </w:pPr>
            <w:r>
              <w:rPr>
                <w:color w:val="000000"/>
                <w:sz w:val="22"/>
                <w:szCs w:val="22"/>
                <w:lang w:val="es-ES_tradnl" w:eastAsia="es-ES"/>
              </w:rPr>
              <w:t>Actividades: $</w:t>
            </w:r>
            <w:r w:rsidR="00470210">
              <w:rPr>
                <w:color w:val="000000"/>
                <w:sz w:val="22"/>
                <w:szCs w:val="22"/>
                <w:lang w:val="es-ES_tradnl" w:eastAsia="es-ES"/>
              </w:rPr>
              <w:t>300</w:t>
            </w:r>
            <w:r>
              <w:rPr>
                <w:color w:val="000000"/>
                <w:sz w:val="22"/>
                <w:szCs w:val="22"/>
                <w:lang w:val="es-ES_tradnl" w:eastAsia="es-ES"/>
              </w:rPr>
              <w:t>.000</w:t>
            </w:r>
          </w:p>
          <w:p w:rsidR="00380790" w:rsidRDefault="00380790" w:rsidP="00750675">
            <w:pPr>
              <w:numPr>
                <w:ilvl w:val="0"/>
                <w:numId w:val="7"/>
              </w:numPr>
              <w:tabs>
                <w:tab w:val="clear" w:pos="0"/>
                <w:tab w:val="left" w:pos="720"/>
              </w:tabs>
              <w:spacing w:after="200" w:line="240" w:lineRule="exact"/>
              <w:ind w:left="720"/>
              <w:jc w:val="both"/>
              <w:rPr>
                <w:sz w:val="22"/>
                <w:szCs w:val="22"/>
                <w:lang w:val="es-ES_tradnl" w:eastAsia="es-ES"/>
              </w:rPr>
            </w:pPr>
            <w:r>
              <w:rPr>
                <w:sz w:val="22"/>
                <w:szCs w:val="22"/>
                <w:lang w:val="es-ES_tradnl" w:eastAsia="es-ES"/>
              </w:rPr>
              <w:t>Evaluación: $150.000 (Gastos aplicables al tercer y último año)</w:t>
            </w:r>
          </w:p>
          <w:p w:rsidR="00380790" w:rsidRDefault="00380790" w:rsidP="00750675">
            <w:pPr>
              <w:spacing w:after="100" w:line="240" w:lineRule="exact"/>
              <w:ind w:left="360" w:hanging="360"/>
              <w:jc w:val="both"/>
              <w:rPr>
                <w:b/>
                <w:bCs/>
                <w:sz w:val="22"/>
                <w:szCs w:val="22"/>
                <w:lang w:val="es-ES_tradnl" w:eastAsia="es-ES"/>
              </w:rPr>
            </w:pPr>
            <w:r>
              <w:rPr>
                <w:b/>
                <w:bCs/>
                <w:sz w:val="22"/>
                <w:szCs w:val="22"/>
                <w:lang w:val="es-ES_tradnl" w:eastAsia="es-ES"/>
              </w:rPr>
              <w:t>c)</w:t>
            </w:r>
            <w:r>
              <w:rPr>
                <w:b/>
                <w:bCs/>
                <w:sz w:val="22"/>
                <w:szCs w:val="22"/>
                <w:lang w:val="es-ES_tradnl" w:eastAsia="es-ES"/>
              </w:rPr>
              <w:tab/>
              <w:t xml:space="preserve">Del costo estimado que se indica en el apartado </w:t>
            </w:r>
            <w:r w:rsidRPr="00952869">
              <w:rPr>
                <w:b/>
                <w:bCs/>
                <w:i/>
                <w:sz w:val="22"/>
                <w:szCs w:val="22"/>
                <w:lang w:val="es-ES_tradnl" w:eastAsia="es-ES"/>
              </w:rPr>
              <w:t>b)</w:t>
            </w:r>
            <w:r>
              <w:rPr>
                <w:b/>
                <w:bCs/>
                <w:sz w:val="22"/>
                <w:szCs w:val="22"/>
                <w:lang w:val="es-ES_tradnl" w:eastAsia="es-ES"/>
              </w:rPr>
              <w:t xml:space="preserve">, ¿qué parte se podría subsumir en las actuales actividades programadas?: </w:t>
            </w:r>
          </w:p>
          <w:p w:rsidR="00380790" w:rsidRDefault="00380790" w:rsidP="00750675">
            <w:pPr>
              <w:spacing w:line="240" w:lineRule="exact"/>
              <w:ind w:left="360" w:hanging="360"/>
              <w:jc w:val="both"/>
              <w:rPr>
                <w:b/>
                <w:bCs/>
                <w:sz w:val="22"/>
                <w:szCs w:val="22"/>
                <w:lang w:val="es-ES_tradnl" w:eastAsia="es-ES"/>
              </w:rPr>
            </w:pPr>
            <w:r>
              <w:rPr>
                <w:bCs/>
                <w:sz w:val="22"/>
                <w:szCs w:val="22"/>
                <w:lang w:val="es-ES_tradnl" w:eastAsia="es-ES"/>
              </w:rPr>
              <w:tab/>
              <w:t>En las actuales actividades programadas podría incluirse el 15%.</w:t>
            </w:r>
          </w:p>
        </w:tc>
      </w:tr>
      <w:tr w:rsidR="00380790" w:rsidRPr="00750675">
        <w:trPr>
          <w:jc w:val="center"/>
        </w:trPr>
        <w:tc>
          <w:tcPr>
            <w:tcW w:w="8935" w:type="dxa"/>
            <w:tcMar>
              <w:top w:w="72" w:type="dxa"/>
              <w:left w:w="115" w:type="dxa"/>
              <w:bottom w:w="72" w:type="dxa"/>
              <w:right w:w="115" w:type="dxa"/>
            </w:tcMar>
          </w:tcPr>
          <w:p w:rsidR="00380790" w:rsidRDefault="00380790">
            <w:pPr>
              <w:tabs>
                <w:tab w:val="left" w:pos="330"/>
              </w:tabs>
              <w:spacing w:after="200"/>
              <w:jc w:val="both"/>
              <w:rPr>
                <w:b/>
                <w:bCs/>
                <w:sz w:val="22"/>
                <w:szCs w:val="22"/>
                <w:lang w:val="es-ES_tradnl" w:eastAsia="es-ES"/>
              </w:rPr>
            </w:pPr>
            <w:r>
              <w:rPr>
                <w:b/>
                <w:bCs/>
                <w:sz w:val="22"/>
                <w:szCs w:val="22"/>
                <w:lang w:val="es-ES_tradnl" w:eastAsia="es-ES"/>
              </w:rPr>
              <w:lastRenderedPageBreak/>
              <w:t>4.</w:t>
            </w:r>
            <w:r>
              <w:rPr>
                <w:b/>
                <w:bCs/>
                <w:sz w:val="22"/>
                <w:szCs w:val="22"/>
                <w:lang w:val="es-ES_tradnl" w:eastAsia="es-ES"/>
              </w:rPr>
              <w:tab/>
              <w:t>Repercusiones administrativas:</w:t>
            </w:r>
          </w:p>
          <w:p w:rsidR="00380790" w:rsidRDefault="00380790">
            <w:pPr>
              <w:spacing w:after="200"/>
              <w:ind w:left="360" w:hanging="360"/>
              <w:jc w:val="both"/>
              <w:rPr>
                <w:b/>
                <w:bCs/>
                <w:sz w:val="22"/>
                <w:szCs w:val="22"/>
                <w:lang w:val="es-ES_tradnl" w:eastAsia="es-ES"/>
              </w:rPr>
            </w:pPr>
            <w:r>
              <w:rPr>
                <w:b/>
                <w:bCs/>
                <w:sz w:val="22"/>
                <w:szCs w:val="22"/>
                <w:lang w:val="es-ES_tradnl" w:eastAsia="es-ES"/>
              </w:rPr>
              <w:t>a)</w:t>
            </w:r>
            <w:r>
              <w:rPr>
                <w:b/>
                <w:bCs/>
                <w:sz w:val="22"/>
                <w:szCs w:val="22"/>
                <w:lang w:val="es-ES_tradnl" w:eastAsia="es-ES"/>
              </w:rPr>
              <w:tab/>
              <w:t xml:space="preserve">Indicar a qué niveles de la Organización se tomarían medidas: </w:t>
            </w:r>
          </w:p>
          <w:p w:rsidR="00380790" w:rsidRDefault="00380790">
            <w:pPr>
              <w:spacing w:after="200"/>
              <w:ind w:left="360" w:hanging="360"/>
              <w:jc w:val="both"/>
              <w:rPr>
                <w:b/>
                <w:bCs/>
                <w:sz w:val="22"/>
                <w:szCs w:val="22"/>
                <w:lang w:val="es-ES_tradnl" w:eastAsia="es-ES"/>
              </w:rPr>
            </w:pPr>
            <w:r>
              <w:rPr>
                <w:bCs/>
                <w:sz w:val="22"/>
                <w:szCs w:val="22"/>
                <w:lang w:val="es-ES_tradnl" w:eastAsia="es-ES"/>
              </w:rPr>
              <w:tab/>
              <w:t>Regional, subregional y nacional.</w:t>
            </w:r>
          </w:p>
          <w:p w:rsidR="00380790" w:rsidRDefault="00380790">
            <w:pPr>
              <w:spacing w:after="200"/>
              <w:ind w:left="360" w:hanging="360"/>
              <w:jc w:val="both"/>
              <w:rPr>
                <w:b/>
                <w:bCs/>
                <w:sz w:val="22"/>
                <w:szCs w:val="22"/>
                <w:lang w:val="es-ES_tradnl" w:eastAsia="es-ES"/>
              </w:rPr>
            </w:pPr>
            <w:r>
              <w:rPr>
                <w:b/>
                <w:bCs/>
                <w:sz w:val="22"/>
                <w:szCs w:val="22"/>
                <w:lang w:val="es-ES_tradnl" w:eastAsia="es-ES"/>
              </w:rPr>
              <w:t>b)</w:t>
            </w:r>
            <w:r>
              <w:rPr>
                <w:b/>
                <w:bCs/>
                <w:sz w:val="22"/>
                <w:szCs w:val="22"/>
                <w:lang w:val="es-ES_tradnl" w:eastAsia="es-ES"/>
              </w:rPr>
              <w:tab/>
              <w:t xml:space="preserve">Necesidades adicionales de personal (indicar las necesidades adicionales en el equivalente de puestos a tiempo completo, precisando el perfil de ese personal): </w:t>
            </w:r>
          </w:p>
          <w:p w:rsidR="00380790" w:rsidRDefault="00380790">
            <w:pPr>
              <w:tabs>
                <w:tab w:val="left" w:pos="360"/>
              </w:tabs>
              <w:spacing w:after="200"/>
              <w:ind w:left="360"/>
              <w:jc w:val="both"/>
              <w:rPr>
                <w:bCs/>
                <w:color w:val="000000"/>
                <w:sz w:val="22"/>
                <w:szCs w:val="22"/>
                <w:lang w:val="es-ES_tradnl" w:eastAsia="es-ES"/>
              </w:rPr>
            </w:pPr>
            <w:r>
              <w:rPr>
                <w:bCs/>
                <w:color w:val="000000"/>
                <w:sz w:val="22"/>
                <w:szCs w:val="22"/>
                <w:lang w:val="es-ES_tradnl" w:eastAsia="es-ES"/>
              </w:rPr>
              <w:t>Para cumplir los objetivos previstos se hará necesaria la contratación a tiempo completo de una persona experta en gestión del conocimiento que coordine un observatorio regional sobre la materia y una persona experta en comunicaciones que brinde apoyo transversal al observatorio y los países de la Región.</w:t>
            </w:r>
          </w:p>
          <w:p w:rsidR="00380790" w:rsidRDefault="00380790">
            <w:pPr>
              <w:spacing w:after="200"/>
              <w:ind w:left="360" w:hanging="360"/>
              <w:jc w:val="both"/>
              <w:rPr>
                <w:b/>
                <w:bCs/>
                <w:sz w:val="22"/>
                <w:szCs w:val="22"/>
                <w:lang w:val="es-ES_tradnl" w:eastAsia="es-ES"/>
              </w:rPr>
            </w:pPr>
            <w:r>
              <w:rPr>
                <w:b/>
                <w:bCs/>
                <w:sz w:val="22"/>
                <w:szCs w:val="22"/>
                <w:lang w:val="es-ES_tradnl" w:eastAsia="es-ES"/>
              </w:rPr>
              <w:t>c)</w:t>
            </w:r>
            <w:r>
              <w:rPr>
                <w:b/>
                <w:bCs/>
                <w:sz w:val="22"/>
                <w:szCs w:val="22"/>
                <w:lang w:val="es-ES_tradnl" w:eastAsia="es-ES"/>
              </w:rPr>
              <w:tab/>
              <w:t xml:space="preserve">Plazos (indicar plazos amplios para las actividades de aplicación y evaluación): </w:t>
            </w:r>
          </w:p>
          <w:p w:rsidR="00380790" w:rsidRDefault="00380790">
            <w:pPr>
              <w:numPr>
                <w:ilvl w:val="0"/>
                <w:numId w:val="7"/>
              </w:numPr>
              <w:spacing w:after="120"/>
              <w:ind w:left="720"/>
              <w:jc w:val="both"/>
              <w:rPr>
                <w:bCs/>
                <w:sz w:val="22"/>
                <w:szCs w:val="22"/>
                <w:lang w:val="es-ES_tradnl" w:eastAsia="es-ES"/>
              </w:rPr>
            </w:pPr>
            <w:r>
              <w:rPr>
                <w:bCs/>
                <w:sz w:val="22"/>
                <w:szCs w:val="22"/>
                <w:lang w:val="es-ES_tradnl" w:eastAsia="es-ES"/>
              </w:rPr>
              <w:t xml:space="preserve">2013: </w:t>
            </w:r>
            <w:r>
              <w:rPr>
                <w:sz w:val="22"/>
                <w:szCs w:val="22"/>
                <w:lang w:val="es-ES_tradnl" w:eastAsia="es-ES"/>
              </w:rPr>
              <w:t xml:space="preserve">Aprobación </w:t>
            </w:r>
            <w:r>
              <w:rPr>
                <w:bCs/>
                <w:sz w:val="22"/>
                <w:szCs w:val="22"/>
                <w:lang w:val="es-ES_tradnl" w:eastAsia="es-ES"/>
              </w:rPr>
              <w:t xml:space="preserve">y ejecución de la Estrategia y </w:t>
            </w:r>
            <w:r w:rsidR="00DC4B24">
              <w:rPr>
                <w:bCs/>
                <w:sz w:val="22"/>
                <w:szCs w:val="22"/>
                <w:lang w:val="es-ES_tradnl" w:eastAsia="es-ES"/>
              </w:rPr>
              <w:t>P</w:t>
            </w:r>
            <w:r>
              <w:rPr>
                <w:bCs/>
                <w:sz w:val="22"/>
                <w:szCs w:val="22"/>
                <w:lang w:val="es-ES_tradnl" w:eastAsia="es-ES"/>
              </w:rPr>
              <w:t>lan de acción</w:t>
            </w:r>
          </w:p>
          <w:p w:rsidR="00380790" w:rsidRDefault="00380790">
            <w:pPr>
              <w:numPr>
                <w:ilvl w:val="0"/>
                <w:numId w:val="7"/>
              </w:numPr>
              <w:spacing w:after="120"/>
              <w:ind w:left="720"/>
              <w:jc w:val="both"/>
              <w:rPr>
                <w:bCs/>
                <w:sz w:val="22"/>
                <w:szCs w:val="22"/>
                <w:lang w:val="es-ES_tradnl" w:eastAsia="es-ES"/>
              </w:rPr>
            </w:pPr>
            <w:r>
              <w:rPr>
                <w:bCs/>
                <w:sz w:val="22"/>
                <w:szCs w:val="22"/>
                <w:lang w:val="es-ES_tradnl" w:eastAsia="es-ES"/>
              </w:rPr>
              <w:t xml:space="preserve">2016: </w:t>
            </w:r>
            <w:r>
              <w:rPr>
                <w:sz w:val="22"/>
                <w:szCs w:val="22"/>
                <w:lang w:val="es-ES_tradnl" w:eastAsia="es-ES"/>
              </w:rPr>
              <w:t>Evaluación</w:t>
            </w:r>
            <w:r>
              <w:rPr>
                <w:bCs/>
                <w:sz w:val="22"/>
                <w:szCs w:val="22"/>
                <w:lang w:val="es-ES_tradnl" w:eastAsia="es-ES"/>
              </w:rPr>
              <w:t xml:space="preserve"> de las primeras medidas adoptadas</w:t>
            </w:r>
          </w:p>
          <w:p w:rsidR="00380790" w:rsidRDefault="00380790" w:rsidP="00DC4B24">
            <w:pPr>
              <w:numPr>
                <w:ilvl w:val="0"/>
                <w:numId w:val="7"/>
              </w:numPr>
              <w:spacing w:after="120"/>
              <w:ind w:left="720"/>
              <w:jc w:val="both"/>
              <w:rPr>
                <w:bCs/>
                <w:sz w:val="22"/>
                <w:szCs w:val="22"/>
                <w:lang w:val="es-ES_tradnl" w:eastAsia="es-ES"/>
              </w:rPr>
            </w:pPr>
            <w:r>
              <w:rPr>
                <w:bCs/>
                <w:sz w:val="22"/>
                <w:szCs w:val="22"/>
                <w:lang w:val="es-ES_tradnl" w:eastAsia="es-ES"/>
              </w:rPr>
              <w:t xml:space="preserve">2018: Evaluación final de la ejecución de la Estrategia y </w:t>
            </w:r>
            <w:r w:rsidR="00DC4B24">
              <w:rPr>
                <w:bCs/>
                <w:sz w:val="22"/>
                <w:szCs w:val="22"/>
                <w:lang w:val="es-ES_tradnl" w:eastAsia="es-ES"/>
              </w:rPr>
              <w:t>P</w:t>
            </w:r>
            <w:r>
              <w:rPr>
                <w:bCs/>
                <w:sz w:val="22"/>
                <w:szCs w:val="22"/>
                <w:lang w:val="es-ES_tradnl" w:eastAsia="es-ES"/>
              </w:rPr>
              <w:t>lan de acción</w:t>
            </w:r>
          </w:p>
        </w:tc>
      </w:tr>
    </w:tbl>
    <w:p w:rsidR="00380790" w:rsidRDefault="00380790">
      <w:pPr>
        <w:pStyle w:val="EndnoteText"/>
        <w:ind w:left="360"/>
        <w:jc w:val="both"/>
        <w:rPr>
          <w:rFonts w:ascii="Times New Roman" w:hAnsi="Times New Roman"/>
          <w:iCs/>
          <w:sz w:val="22"/>
          <w:szCs w:val="22"/>
          <w:lang w:val="es-ES_tradnl" w:eastAsia="es-ES"/>
        </w:rPr>
      </w:pPr>
    </w:p>
    <w:p w:rsidR="00380790" w:rsidRDefault="00380790">
      <w:pPr>
        <w:pStyle w:val="EndnoteText"/>
        <w:ind w:left="360"/>
        <w:jc w:val="both"/>
        <w:rPr>
          <w:rFonts w:ascii="Times New Roman" w:hAnsi="Times New Roman"/>
          <w:iCs/>
          <w:sz w:val="22"/>
          <w:szCs w:val="22"/>
          <w:lang w:val="es-ES_tradnl" w:eastAsia="es-ES"/>
        </w:rPr>
        <w:sectPr w:rsidR="00380790">
          <w:headerReference w:type="even" r:id="rId55"/>
          <w:type w:val="continuous"/>
          <w:pgSz w:w="12240" w:h="15840" w:code="1"/>
          <w:pgMar w:top="1440" w:right="1800" w:bottom="1296" w:left="1800" w:header="1440" w:footer="1008" w:gutter="0"/>
          <w:pgNumType w:fmt="numberInDash" w:start="1"/>
          <w:cols w:space="720"/>
          <w:formProt w:val="0"/>
          <w:titlePg/>
        </w:sectPr>
      </w:pPr>
    </w:p>
    <w:p w:rsidR="00380790" w:rsidRDefault="00380790">
      <w:pPr>
        <w:pStyle w:val="EndnoteText"/>
        <w:ind w:left="360"/>
        <w:jc w:val="both"/>
        <w:rPr>
          <w:rFonts w:ascii="Times New Roman" w:hAnsi="Times New Roman"/>
          <w:iCs/>
          <w:sz w:val="22"/>
          <w:szCs w:val="22"/>
          <w:lang w:val="es-ES_tradnl" w:eastAsia="es-ES"/>
        </w:rPr>
      </w:pPr>
    </w:p>
    <w:p w:rsidR="00380790" w:rsidRDefault="00380790">
      <w:pPr>
        <w:tabs>
          <w:tab w:val="center" w:pos="4320"/>
          <w:tab w:val="right" w:pos="8640"/>
        </w:tabs>
        <w:rPr>
          <w:iCs/>
          <w:lang w:val="es-ES_tradnl" w:eastAsia="es-ES"/>
        </w:rPr>
      </w:pPr>
      <w:r>
        <w:rPr>
          <w:iCs/>
          <w:lang w:val="es-ES_tradnl" w:eastAsia="es-ES"/>
        </w:rPr>
        <w:br w:type="page"/>
      </w:r>
    </w:p>
    <w:p w:rsidR="00ED5E2E" w:rsidRPr="00554AA4" w:rsidRDefault="00ED5E2E">
      <w:pPr>
        <w:tabs>
          <w:tab w:val="center" w:pos="4320"/>
          <w:tab w:val="right" w:pos="8640"/>
        </w:tabs>
        <w:rPr>
          <w:i/>
          <w:sz w:val="16"/>
          <w:lang w:val="es-ES_tradnl"/>
        </w:rPr>
      </w:pPr>
    </w:p>
    <w:tbl>
      <w:tblPr>
        <w:tblpPr w:leftFromText="187" w:rightFromText="187" w:vertAnchor="text" w:tblpY="1"/>
        <w:tblOverlap w:val="never"/>
        <w:tblW w:w="0" w:type="auto"/>
        <w:tblBorders>
          <w:top w:val="dotted" w:sz="4" w:space="0" w:color="auto"/>
          <w:left w:val="dotted" w:sz="4" w:space="0" w:color="auto"/>
          <w:bottom w:val="dotted" w:sz="4" w:space="0" w:color="auto"/>
          <w:right w:val="dotted" w:sz="4" w:space="0" w:color="auto"/>
        </w:tblBorders>
        <w:tblLayout w:type="fixed"/>
        <w:tblLook w:val="01E0" w:firstRow="1" w:lastRow="1" w:firstColumn="1" w:lastColumn="1" w:noHBand="0" w:noVBand="0"/>
      </w:tblPr>
      <w:tblGrid>
        <w:gridCol w:w="1548"/>
        <w:gridCol w:w="1200"/>
        <w:gridCol w:w="7320"/>
      </w:tblGrid>
      <w:tr w:rsidR="00ED5E2E" w:rsidRPr="00750675" w:rsidTr="00185F19">
        <w:trPr>
          <w:trHeight w:val="900"/>
        </w:trPr>
        <w:tc>
          <w:tcPr>
            <w:tcW w:w="1548" w:type="dxa"/>
            <w:vMerge w:val="restart"/>
            <w:tcBorders>
              <w:top w:val="nil"/>
              <w:left w:val="nil"/>
            </w:tcBorders>
            <w:shd w:val="clear" w:color="auto" w:fill="auto"/>
            <w:vAlign w:val="center"/>
          </w:tcPr>
          <w:p w:rsidR="00ED5E2E" w:rsidRPr="00822190" w:rsidRDefault="00ED5E2E" w:rsidP="00185F19">
            <w:pPr>
              <w:jc w:val="right"/>
              <w:rPr>
                <w:lang w:val="es-ES"/>
              </w:rPr>
            </w:pPr>
            <w:r>
              <w:rPr>
                <w:noProof/>
              </w:rPr>
              <w:drawing>
                <wp:anchor distT="0" distB="0" distL="114300" distR="114300" simplePos="0" relativeHeight="251659264" behindDoc="0" locked="0" layoutInCell="1" allowOverlap="1">
                  <wp:simplePos x="0" y="0"/>
                  <wp:positionH relativeFrom="column">
                    <wp:posOffset>234919</wp:posOffset>
                  </wp:positionH>
                  <wp:positionV relativeFrom="paragraph">
                    <wp:posOffset>270510</wp:posOffset>
                  </wp:positionV>
                  <wp:extent cx="601980" cy="549910"/>
                  <wp:effectExtent l="0" t="0" r="762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1980" cy="549910"/>
                          </a:xfrm>
                          <a:prstGeom prst="rect">
                            <a:avLst/>
                          </a:prstGeom>
                          <a:noFill/>
                          <a:ln>
                            <a:noFill/>
                          </a:ln>
                        </pic:spPr>
                      </pic:pic>
                    </a:graphicData>
                  </a:graphic>
                </wp:anchor>
              </w:drawing>
            </w:r>
          </w:p>
        </w:tc>
        <w:tc>
          <w:tcPr>
            <w:tcW w:w="1200" w:type="dxa"/>
            <w:tcBorders>
              <w:top w:val="nil"/>
              <w:bottom w:val="nil"/>
            </w:tcBorders>
            <w:shd w:val="clear" w:color="auto" w:fill="auto"/>
            <w:vAlign w:val="center"/>
          </w:tcPr>
          <w:p w:rsidR="00ED5E2E" w:rsidRDefault="00ED5E2E" w:rsidP="00185F19">
            <w:pPr>
              <w:jc w:val="center"/>
            </w:pPr>
            <w:r>
              <w:rPr>
                <w:noProof/>
              </w:rPr>
              <w:drawing>
                <wp:inline distT="0" distB="0" distL="0" distR="0">
                  <wp:extent cx="601980" cy="59499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1980" cy="594995"/>
                          </a:xfrm>
                          <a:prstGeom prst="rect">
                            <a:avLst/>
                          </a:prstGeom>
                          <a:noFill/>
                          <a:ln>
                            <a:noFill/>
                          </a:ln>
                        </pic:spPr>
                      </pic:pic>
                    </a:graphicData>
                  </a:graphic>
                </wp:inline>
              </w:drawing>
            </w:r>
          </w:p>
        </w:tc>
        <w:tc>
          <w:tcPr>
            <w:tcW w:w="7320" w:type="dxa"/>
            <w:tcBorders>
              <w:top w:val="nil"/>
              <w:bottom w:val="nil"/>
              <w:right w:val="nil"/>
            </w:tcBorders>
            <w:shd w:val="clear" w:color="auto" w:fill="auto"/>
          </w:tcPr>
          <w:p w:rsidR="00ED5E2E" w:rsidRPr="008B12DC" w:rsidRDefault="00ED5E2E" w:rsidP="00185F19">
            <w:pPr>
              <w:pStyle w:val="Header"/>
              <w:tabs>
                <w:tab w:val="right" w:pos="7800"/>
                <w:tab w:val="left" w:pos="8160"/>
              </w:tabs>
              <w:ind w:left="372" w:right="14"/>
              <w:jc w:val="center"/>
              <w:rPr>
                <w:sz w:val="28"/>
              </w:rPr>
            </w:pPr>
          </w:p>
          <w:p w:rsidR="00ED5E2E" w:rsidRPr="008B12DC" w:rsidRDefault="00ED5E2E" w:rsidP="00185F19">
            <w:pPr>
              <w:pStyle w:val="Header"/>
              <w:tabs>
                <w:tab w:val="center" w:pos="1812"/>
                <w:tab w:val="right" w:pos="7800"/>
                <w:tab w:val="left" w:pos="8160"/>
              </w:tabs>
              <w:ind w:left="372" w:right="14"/>
              <w:rPr>
                <w:sz w:val="28"/>
              </w:rPr>
            </w:pPr>
            <w:r w:rsidRPr="008B12DC">
              <w:rPr>
                <w:sz w:val="28"/>
              </w:rPr>
              <w:t>ORGANIZACIÓN PANAMERICANA DE LA SALUD</w:t>
            </w:r>
          </w:p>
          <w:p w:rsidR="00ED5E2E" w:rsidRPr="005C2D75" w:rsidRDefault="00ED5E2E" w:rsidP="00185F19">
            <w:pPr>
              <w:tabs>
                <w:tab w:val="right" w:pos="7800"/>
                <w:tab w:val="left" w:pos="8160"/>
              </w:tabs>
              <w:spacing w:after="120"/>
              <w:ind w:left="619"/>
              <w:rPr>
                <w:sz w:val="24"/>
                <w:szCs w:val="24"/>
                <w:lang w:val="es-ES"/>
              </w:rPr>
            </w:pPr>
            <w:r w:rsidRPr="005C2D75">
              <w:rPr>
                <w:i/>
                <w:sz w:val="24"/>
                <w:szCs w:val="24"/>
                <w:lang w:val="es-ES"/>
              </w:rPr>
              <w:t>Oficina Sanitaria Panamericana, Oficina Regional de la</w:t>
            </w:r>
          </w:p>
        </w:tc>
      </w:tr>
      <w:tr w:rsidR="00ED5E2E" w:rsidRPr="00750675" w:rsidTr="00185F19">
        <w:trPr>
          <w:trHeight w:val="720"/>
        </w:trPr>
        <w:tc>
          <w:tcPr>
            <w:tcW w:w="1548" w:type="dxa"/>
            <w:vMerge/>
            <w:tcBorders>
              <w:left w:val="nil"/>
              <w:bottom w:val="nil"/>
            </w:tcBorders>
            <w:shd w:val="clear" w:color="auto" w:fill="auto"/>
          </w:tcPr>
          <w:p w:rsidR="00ED5E2E" w:rsidRPr="008B12DC" w:rsidRDefault="00ED5E2E" w:rsidP="00185F19">
            <w:pPr>
              <w:jc w:val="right"/>
              <w:rPr>
                <w:lang w:val="es-ES"/>
              </w:rPr>
            </w:pPr>
          </w:p>
        </w:tc>
        <w:tc>
          <w:tcPr>
            <w:tcW w:w="1200" w:type="dxa"/>
            <w:tcBorders>
              <w:top w:val="nil"/>
              <w:bottom w:val="nil"/>
            </w:tcBorders>
            <w:shd w:val="clear" w:color="auto" w:fill="auto"/>
          </w:tcPr>
          <w:p w:rsidR="00ED5E2E" w:rsidRPr="008B12DC" w:rsidRDefault="00ED5E2E" w:rsidP="00185F19">
            <w:pPr>
              <w:jc w:val="center"/>
              <w:rPr>
                <w:lang w:val="es-ES"/>
              </w:rPr>
            </w:pPr>
          </w:p>
        </w:tc>
        <w:tc>
          <w:tcPr>
            <w:tcW w:w="7320" w:type="dxa"/>
            <w:tcBorders>
              <w:top w:val="nil"/>
              <w:bottom w:val="nil"/>
              <w:right w:val="nil"/>
            </w:tcBorders>
            <w:shd w:val="clear" w:color="auto" w:fill="auto"/>
          </w:tcPr>
          <w:p w:rsidR="00ED5E2E" w:rsidRPr="008B12DC" w:rsidRDefault="00ED5E2E" w:rsidP="00185F19">
            <w:pPr>
              <w:tabs>
                <w:tab w:val="right" w:pos="7800"/>
                <w:tab w:val="left" w:pos="8160"/>
              </w:tabs>
              <w:ind w:left="-108"/>
              <w:rPr>
                <w:lang w:val="es-ES"/>
              </w:rPr>
            </w:pPr>
            <w:r w:rsidRPr="008B12DC">
              <w:rPr>
                <w:sz w:val="28"/>
                <w:lang w:val="es-ES"/>
              </w:rPr>
              <w:t>ORGANIZACIÓN MUNDIAL DE LA SALUD</w:t>
            </w:r>
          </w:p>
        </w:tc>
      </w:tr>
    </w:tbl>
    <w:p w:rsidR="00380790" w:rsidRPr="005C2D75" w:rsidRDefault="00380790">
      <w:pPr>
        <w:pBdr>
          <w:bottom w:val="single" w:sz="12" w:space="1" w:color="auto"/>
        </w:pBdr>
        <w:tabs>
          <w:tab w:val="left" w:pos="7200"/>
        </w:tabs>
        <w:autoSpaceDE w:val="0"/>
        <w:autoSpaceDN w:val="0"/>
        <w:adjustRightInd w:val="0"/>
        <w:spacing w:after="120"/>
        <w:rPr>
          <w:bCs/>
          <w:iCs/>
          <w:sz w:val="4"/>
          <w:szCs w:val="4"/>
          <w:lang w:val="es-ES"/>
        </w:rPr>
      </w:pPr>
    </w:p>
    <w:p w:rsidR="00380790" w:rsidRDefault="00380790">
      <w:pPr>
        <w:tabs>
          <w:tab w:val="left" w:pos="7560"/>
        </w:tabs>
        <w:rPr>
          <w:bCs/>
          <w:sz w:val="24"/>
          <w:szCs w:val="24"/>
          <w:lang w:val="es-ES" w:eastAsia="es-ES"/>
        </w:rPr>
      </w:pPr>
      <w:r>
        <w:rPr>
          <w:rFonts w:ascii="Times New Roman Bold" w:hAnsi="Times New Roman Bold"/>
          <w:bCs/>
          <w:caps/>
          <w:sz w:val="22"/>
          <w:szCs w:val="22"/>
          <w:lang w:val="es-ES" w:eastAsia="es-ES"/>
        </w:rPr>
        <w:tab/>
      </w:r>
      <w:r w:rsidR="008759C0" w:rsidRPr="008F3597">
        <w:rPr>
          <w:sz w:val="24"/>
          <w:szCs w:val="24"/>
          <w:lang w:val="es-ES" w:eastAsia="ja-JP"/>
        </w:rPr>
        <w:t>CSP28/</w:t>
      </w:r>
      <w:r w:rsidR="004B5DE3">
        <w:rPr>
          <w:sz w:val="24"/>
          <w:szCs w:val="24"/>
          <w:lang w:val="es-ES" w:eastAsia="ja-JP"/>
        </w:rPr>
        <w:t>12</w:t>
      </w:r>
      <w:r w:rsidR="008759C0" w:rsidRPr="00D85D4C">
        <w:rPr>
          <w:sz w:val="24"/>
          <w:szCs w:val="24"/>
          <w:lang w:val="es-ES" w:eastAsia="ja-JP"/>
        </w:rPr>
        <w:t xml:space="preserve"> </w:t>
      </w:r>
      <w:r>
        <w:rPr>
          <w:bCs/>
          <w:sz w:val="24"/>
          <w:szCs w:val="24"/>
          <w:lang w:val="es-ES" w:eastAsia="es-ES"/>
        </w:rPr>
        <w:t>(Esp.)</w:t>
      </w:r>
    </w:p>
    <w:p w:rsidR="00380790" w:rsidRDefault="00380790">
      <w:pPr>
        <w:tabs>
          <w:tab w:val="left" w:pos="7560"/>
        </w:tabs>
        <w:rPr>
          <w:bCs/>
          <w:sz w:val="24"/>
          <w:szCs w:val="24"/>
          <w:lang w:val="es-ES" w:eastAsia="es-ES"/>
        </w:rPr>
      </w:pPr>
      <w:r>
        <w:rPr>
          <w:bCs/>
          <w:sz w:val="24"/>
          <w:szCs w:val="24"/>
          <w:lang w:val="es-ES" w:eastAsia="es-ES"/>
        </w:rPr>
        <w:tab/>
        <w:t>Anexo C</w:t>
      </w:r>
    </w:p>
    <w:p w:rsidR="00380790" w:rsidRDefault="00380790">
      <w:pPr>
        <w:tabs>
          <w:tab w:val="center" w:pos="4320"/>
          <w:tab w:val="right" w:pos="8640"/>
        </w:tabs>
        <w:rPr>
          <w:i/>
          <w:lang w:val="es-ES_tradnl"/>
        </w:rPr>
        <w:sectPr w:rsidR="00380790">
          <w:headerReference w:type="even" r:id="rId56"/>
          <w:type w:val="continuous"/>
          <w:pgSz w:w="12240" w:h="15840" w:code="1"/>
          <w:pgMar w:top="576" w:right="1152" w:bottom="1296" w:left="1152" w:header="576" w:footer="1008" w:gutter="0"/>
          <w:pgNumType w:fmt="numberInDash" w:start="1"/>
          <w:cols w:space="720"/>
          <w:formProt w:val="0"/>
          <w:titlePg/>
          <w:docGrid w:linePitch="272"/>
        </w:sectPr>
      </w:pPr>
    </w:p>
    <w:p w:rsidR="00380790" w:rsidRDefault="00380790">
      <w:pPr>
        <w:tabs>
          <w:tab w:val="center" w:pos="4320"/>
          <w:tab w:val="right" w:pos="8640"/>
        </w:tabs>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80790">
        <w:trPr>
          <w:jc w:val="center"/>
        </w:trPr>
        <w:tc>
          <w:tcPr>
            <w:tcW w:w="8856" w:type="dxa"/>
            <w:tcMar>
              <w:top w:w="58" w:type="dxa"/>
              <w:left w:w="115" w:type="dxa"/>
              <w:bottom w:w="58" w:type="dxa"/>
              <w:right w:w="115" w:type="dxa"/>
            </w:tcMar>
          </w:tcPr>
          <w:p w:rsidR="00380790" w:rsidRPr="00B07950" w:rsidRDefault="00380790">
            <w:pPr>
              <w:spacing w:before="60"/>
              <w:jc w:val="center"/>
              <w:rPr>
                <w:rFonts w:ascii="Arial" w:hAnsi="Arial" w:cs="Arial"/>
                <w:b/>
                <w:sz w:val="22"/>
                <w:szCs w:val="22"/>
                <w:lang w:val="es-ES_tradnl"/>
              </w:rPr>
            </w:pPr>
            <w:r w:rsidRPr="00B07950">
              <w:rPr>
                <w:rFonts w:ascii="Arial" w:hAnsi="Arial" w:cs="Arial"/>
                <w:b/>
                <w:sz w:val="22"/>
                <w:szCs w:val="22"/>
                <w:lang w:val="es-ES_tradnl"/>
              </w:rPr>
              <w:t>PLANTILLA ANALÍTICA PARA VINCULAR LOS PUNTOS DEL ORDEN DEL DÍA</w:t>
            </w:r>
          </w:p>
          <w:p w:rsidR="00380790" w:rsidRDefault="00380790">
            <w:pPr>
              <w:jc w:val="center"/>
              <w:rPr>
                <w:lang w:val="es-ES_tradnl"/>
              </w:rPr>
            </w:pPr>
            <w:r w:rsidRPr="00B07950">
              <w:rPr>
                <w:rFonts w:ascii="Arial" w:hAnsi="Arial" w:cs="Arial"/>
                <w:b/>
                <w:sz w:val="22"/>
                <w:szCs w:val="22"/>
                <w:lang w:val="es-ES_tradnl"/>
              </w:rPr>
              <w:t>CON LOS MANDATOS INSTITUCIONALES</w:t>
            </w:r>
          </w:p>
        </w:tc>
      </w:tr>
      <w:tr w:rsidR="00380790" w:rsidRPr="00750675">
        <w:trPr>
          <w:trHeight w:val="504"/>
          <w:jc w:val="center"/>
        </w:trPr>
        <w:tc>
          <w:tcPr>
            <w:tcW w:w="8856" w:type="dxa"/>
            <w:vAlign w:val="center"/>
          </w:tcPr>
          <w:p w:rsidR="00380790" w:rsidRPr="00D624A5" w:rsidRDefault="00380790" w:rsidP="00DC4B24">
            <w:pPr>
              <w:ind w:left="360" w:hanging="360"/>
              <w:jc w:val="both"/>
              <w:rPr>
                <w:b/>
                <w:sz w:val="22"/>
                <w:szCs w:val="22"/>
                <w:lang w:val="es-ES_tradnl"/>
              </w:rPr>
            </w:pPr>
            <w:r w:rsidRPr="00D624A5">
              <w:rPr>
                <w:b/>
                <w:sz w:val="22"/>
                <w:szCs w:val="22"/>
                <w:lang w:val="es-ES_tradnl"/>
              </w:rPr>
              <w:t>1.</w:t>
            </w:r>
            <w:r w:rsidRPr="00D624A5">
              <w:rPr>
                <w:b/>
                <w:sz w:val="22"/>
                <w:szCs w:val="22"/>
                <w:lang w:val="es-ES_tradnl"/>
              </w:rPr>
              <w:tab/>
              <w:t xml:space="preserve">Punto del orden del día: </w:t>
            </w:r>
            <w:r w:rsidRPr="00D624A5">
              <w:rPr>
                <w:bCs/>
                <w:sz w:val="22"/>
                <w:szCs w:val="22"/>
                <w:lang w:val="es-ES_tradnl" w:eastAsia="es-ES"/>
              </w:rPr>
              <w:t xml:space="preserve">4.7: Estrategia y </w:t>
            </w:r>
            <w:r w:rsidR="00DC4B24" w:rsidRPr="00D624A5">
              <w:rPr>
                <w:bCs/>
                <w:sz w:val="22"/>
                <w:szCs w:val="22"/>
                <w:lang w:val="es-ES_tradnl" w:eastAsia="es-ES"/>
              </w:rPr>
              <w:t>P</w:t>
            </w:r>
            <w:r w:rsidRPr="00D624A5">
              <w:rPr>
                <w:bCs/>
                <w:sz w:val="22"/>
                <w:szCs w:val="22"/>
                <w:lang w:val="es-ES_tradnl" w:eastAsia="es-ES"/>
              </w:rPr>
              <w:t>lan de acción sobre gestión del conocimiento y  comunicaciones</w:t>
            </w:r>
          </w:p>
        </w:tc>
      </w:tr>
      <w:tr w:rsidR="00380790" w:rsidRPr="00750675">
        <w:trPr>
          <w:jc w:val="center"/>
        </w:trPr>
        <w:tc>
          <w:tcPr>
            <w:tcW w:w="8856" w:type="dxa"/>
            <w:tcMar>
              <w:top w:w="58" w:type="dxa"/>
              <w:left w:w="115" w:type="dxa"/>
              <w:bottom w:w="29" w:type="dxa"/>
              <w:right w:w="115" w:type="dxa"/>
            </w:tcMar>
            <w:vAlign w:val="center"/>
          </w:tcPr>
          <w:p w:rsidR="00380790" w:rsidRPr="00D624A5" w:rsidRDefault="00380790">
            <w:pPr>
              <w:spacing w:after="120"/>
              <w:ind w:left="360" w:hanging="360"/>
              <w:jc w:val="both"/>
              <w:rPr>
                <w:b/>
                <w:sz w:val="22"/>
                <w:szCs w:val="22"/>
                <w:lang w:val="es-ES_tradnl"/>
              </w:rPr>
            </w:pPr>
            <w:r w:rsidRPr="00D624A5">
              <w:rPr>
                <w:b/>
                <w:sz w:val="22"/>
                <w:szCs w:val="22"/>
                <w:lang w:val="es-ES_tradnl"/>
              </w:rPr>
              <w:t>2.</w:t>
            </w:r>
            <w:r w:rsidRPr="00D624A5">
              <w:rPr>
                <w:b/>
                <w:sz w:val="22"/>
                <w:szCs w:val="22"/>
                <w:lang w:val="es-ES_tradnl"/>
              </w:rPr>
              <w:tab/>
              <w:t xml:space="preserve">Unidad a cargo: </w:t>
            </w:r>
            <w:r w:rsidRPr="00D624A5">
              <w:rPr>
                <w:sz w:val="22"/>
                <w:szCs w:val="22"/>
                <w:lang w:val="es-ES_tradnl"/>
              </w:rPr>
              <w:t>Gestión</w:t>
            </w:r>
            <w:r w:rsidRPr="00D624A5">
              <w:rPr>
                <w:bCs/>
                <w:sz w:val="22"/>
                <w:szCs w:val="22"/>
                <w:lang w:val="es-ES_tradnl" w:eastAsia="es-ES"/>
              </w:rPr>
              <w:t xml:space="preserve"> de Conocimientos y Comunicación</w:t>
            </w:r>
          </w:p>
          <w:p w:rsidR="00380790" w:rsidRPr="00D624A5" w:rsidRDefault="00380790" w:rsidP="00111F55">
            <w:pPr>
              <w:spacing w:after="120"/>
              <w:ind w:left="360" w:hanging="360"/>
              <w:jc w:val="both"/>
              <w:rPr>
                <w:b/>
                <w:sz w:val="22"/>
                <w:szCs w:val="22"/>
                <w:lang w:val="es-ES_tradnl"/>
              </w:rPr>
            </w:pPr>
            <w:r w:rsidRPr="00D624A5">
              <w:rPr>
                <w:b/>
                <w:sz w:val="22"/>
                <w:szCs w:val="22"/>
                <w:lang w:val="es-ES_tradnl"/>
              </w:rPr>
              <w:t>3.</w:t>
            </w:r>
            <w:r w:rsidRPr="00D624A5">
              <w:rPr>
                <w:b/>
                <w:sz w:val="22"/>
                <w:szCs w:val="22"/>
                <w:lang w:val="es-ES_tradnl"/>
              </w:rPr>
              <w:tab/>
              <w:t xml:space="preserve">Funcionario a cargo: </w:t>
            </w:r>
            <w:r w:rsidRPr="00D624A5">
              <w:rPr>
                <w:sz w:val="22"/>
                <w:szCs w:val="22"/>
                <w:lang w:val="es-ES_tradnl" w:eastAsia="es-ES"/>
              </w:rPr>
              <w:t>Marcelo D’Agostino, Eliane Pereira dos Santos</w:t>
            </w:r>
            <w:r w:rsidR="00761B0C" w:rsidRPr="00D624A5">
              <w:rPr>
                <w:sz w:val="22"/>
                <w:szCs w:val="22"/>
                <w:lang w:val="es-ES_tradnl" w:eastAsia="es-ES"/>
              </w:rPr>
              <w:t xml:space="preserve">, Regina Castro, Gilles Collette, Ary Silva, Leticia Linn, </w:t>
            </w:r>
            <w:r w:rsidR="005B47DA" w:rsidRPr="00D624A5">
              <w:rPr>
                <w:sz w:val="22"/>
                <w:szCs w:val="22"/>
                <w:lang w:val="es-ES_tradnl" w:eastAsia="es-ES"/>
              </w:rPr>
              <w:t xml:space="preserve">Paulo Lyra, </w:t>
            </w:r>
            <w:r w:rsidR="00761B0C" w:rsidRPr="00D624A5">
              <w:rPr>
                <w:sz w:val="22"/>
                <w:szCs w:val="22"/>
                <w:lang w:val="es-ES_tradnl" w:eastAsia="es-ES"/>
              </w:rPr>
              <w:t>Myrna Marti</w:t>
            </w:r>
            <w:r w:rsidRPr="00D624A5">
              <w:rPr>
                <w:sz w:val="22"/>
                <w:szCs w:val="22"/>
                <w:lang w:val="es-ES_tradnl" w:eastAsia="es-ES"/>
              </w:rPr>
              <w:t xml:space="preserve"> y David Novillo (el documento es un estudio colaborativo de la OPS</w:t>
            </w:r>
            <w:r w:rsidR="00761B0C" w:rsidRPr="00D624A5">
              <w:rPr>
                <w:sz w:val="22"/>
                <w:szCs w:val="22"/>
                <w:lang w:val="es-ES_tradnl" w:eastAsia="es-ES"/>
              </w:rPr>
              <w:t xml:space="preserve"> junto a otros</w:t>
            </w:r>
            <w:r w:rsidRPr="00D624A5">
              <w:rPr>
                <w:sz w:val="22"/>
                <w:szCs w:val="22"/>
                <w:lang w:val="es-ES_tradnl" w:eastAsia="es-ES"/>
              </w:rPr>
              <w:t xml:space="preserve"> organismos de las Naciones Unidas, expertos internacionales y otros asociados)</w:t>
            </w:r>
          </w:p>
        </w:tc>
      </w:tr>
      <w:tr w:rsidR="00380790" w:rsidRPr="00750675" w:rsidTr="009D7502">
        <w:trPr>
          <w:jc w:val="center"/>
        </w:trPr>
        <w:tc>
          <w:tcPr>
            <w:tcW w:w="8784" w:type="dxa"/>
            <w:tcMar>
              <w:top w:w="72" w:type="dxa"/>
              <w:left w:w="115" w:type="dxa"/>
              <w:right w:w="115" w:type="dxa"/>
            </w:tcMar>
          </w:tcPr>
          <w:p w:rsidR="00380790" w:rsidRPr="00D624A5" w:rsidRDefault="00380790">
            <w:pPr>
              <w:spacing w:after="120"/>
              <w:ind w:left="360" w:hanging="360"/>
              <w:jc w:val="both"/>
              <w:rPr>
                <w:b/>
                <w:sz w:val="22"/>
                <w:szCs w:val="22"/>
                <w:lang w:val="es-ES_tradnl"/>
              </w:rPr>
            </w:pPr>
            <w:r w:rsidRPr="00D624A5">
              <w:rPr>
                <w:b/>
                <w:sz w:val="22"/>
                <w:szCs w:val="22"/>
                <w:lang w:val="es-ES_tradnl"/>
              </w:rPr>
              <w:t>4.</w:t>
            </w:r>
            <w:r w:rsidRPr="00D624A5">
              <w:rPr>
                <w:b/>
                <w:sz w:val="22"/>
                <w:szCs w:val="22"/>
                <w:lang w:val="es-ES_tradnl"/>
              </w:rPr>
              <w:tab/>
              <w:t xml:space="preserve">Lista de centros colaboradores e instituciones nacionales vinculados a este punto del orden del día: </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Instituciones nacionales de rectoría y ejecución de programas de salud, servicios de información y documentación, innovación, tecnologías de la información y la comunicación, académicas y otros</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Organizaciones de la sociedad civil</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Organización de los Estados Americanos (OEA)</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 xml:space="preserve">Comisión Económica </w:t>
            </w:r>
            <w:r w:rsidR="00554AA4">
              <w:rPr>
                <w:sz w:val="22"/>
                <w:szCs w:val="22"/>
                <w:lang w:val="es-ES_tradnl" w:eastAsia="es-ES"/>
              </w:rPr>
              <w:t xml:space="preserve">para </w:t>
            </w:r>
            <w:r w:rsidRPr="00D624A5">
              <w:rPr>
                <w:sz w:val="22"/>
                <w:szCs w:val="22"/>
                <w:lang w:val="es-ES_tradnl" w:eastAsia="es-ES"/>
              </w:rPr>
              <w:t>América Latina y el Caribe (CEPAL)</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Sistema Económico Latinoamericano y del Caribe (SELA)</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Biblioteca Nacional de Medicina de los Estados Unidos (NLM)</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Banco Mundial</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Banco Interamericano de Desarrollo (BID)</w:t>
            </w:r>
          </w:p>
          <w:p w:rsidR="00380790" w:rsidRPr="00D624A5" w:rsidRDefault="00380790">
            <w:pPr>
              <w:numPr>
                <w:ilvl w:val="0"/>
                <w:numId w:val="6"/>
              </w:numPr>
              <w:tabs>
                <w:tab w:val="clear" w:pos="360"/>
                <w:tab w:val="num" w:pos="713"/>
              </w:tabs>
              <w:spacing w:after="100"/>
              <w:ind w:left="713"/>
              <w:jc w:val="both"/>
              <w:rPr>
                <w:sz w:val="22"/>
                <w:szCs w:val="22"/>
                <w:lang w:eastAsia="es-ES"/>
              </w:rPr>
            </w:pPr>
            <w:r w:rsidRPr="00D624A5">
              <w:rPr>
                <w:sz w:val="22"/>
                <w:szCs w:val="22"/>
                <w:lang w:eastAsia="es-ES"/>
              </w:rPr>
              <w:t>International Development Research Centre (IDRC)</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Asociaciones profesionales de las ár</w:t>
            </w:r>
            <w:r w:rsidR="007E0DB1" w:rsidRPr="00D624A5">
              <w:rPr>
                <w:sz w:val="22"/>
                <w:szCs w:val="22"/>
                <w:lang w:val="es-ES_tradnl" w:eastAsia="es-ES"/>
              </w:rPr>
              <w:t>eas de gestión del conocimiento</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Todos los centros colaboradores de la OMS que tratan el tema del uso de la gestión del conocimiento y comunica</w:t>
            </w:r>
            <w:r w:rsidR="007E0DB1" w:rsidRPr="00D624A5">
              <w:rPr>
                <w:sz w:val="22"/>
                <w:szCs w:val="22"/>
                <w:lang w:val="es-ES_tradnl" w:eastAsia="es-ES"/>
              </w:rPr>
              <w:t>ciones en el ámbito de la salud</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Ministerios o secretarías de salud</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Ministerios o secretarías de industria, innovación o tecnologías</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Ministerios o secretarías de educación</w:t>
            </w:r>
          </w:p>
          <w:p w:rsidR="00380790" w:rsidRPr="00D624A5" w:rsidRDefault="00380790">
            <w:pPr>
              <w:numPr>
                <w:ilvl w:val="0"/>
                <w:numId w:val="6"/>
              </w:numPr>
              <w:tabs>
                <w:tab w:val="clear" w:pos="360"/>
                <w:tab w:val="num" w:pos="713"/>
              </w:tabs>
              <w:spacing w:after="100"/>
              <w:ind w:left="713"/>
              <w:jc w:val="both"/>
              <w:rPr>
                <w:sz w:val="22"/>
                <w:szCs w:val="22"/>
                <w:lang w:val="es-ES_tradnl" w:eastAsia="es-ES"/>
              </w:rPr>
            </w:pPr>
            <w:r w:rsidRPr="00D624A5">
              <w:rPr>
                <w:sz w:val="22"/>
                <w:szCs w:val="22"/>
                <w:lang w:val="es-ES_tradnl" w:eastAsia="es-ES"/>
              </w:rPr>
              <w:t xml:space="preserve">Universidades </w:t>
            </w:r>
          </w:p>
          <w:p w:rsidR="00D624A5" w:rsidRPr="00D624A5" w:rsidRDefault="00380790" w:rsidP="00D624A5">
            <w:pPr>
              <w:numPr>
                <w:ilvl w:val="0"/>
                <w:numId w:val="6"/>
              </w:numPr>
              <w:tabs>
                <w:tab w:val="clear" w:pos="360"/>
                <w:tab w:val="num" w:pos="713"/>
              </w:tabs>
              <w:spacing w:after="240"/>
              <w:ind w:left="720"/>
              <w:jc w:val="both"/>
              <w:rPr>
                <w:sz w:val="22"/>
                <w:szCs w:val="22"/>
                <w:lang w:val="es-ES_tradnl" w:eastAsia="es-ES"/>
              </w:rPr>
            </w:pPr>
            <w:r w:rsidRPr="00D624A5">
              <w:rPr>
                <w:sz w:val="22"/>
                <w:szCs w:val="22"/>
                <w:lang w:val="es-ES_tradnl" w:eastAsia="es-ES"/>
              </w:rPr>
              <w:t>Organizaciones no gubernamentales</w:t>
            </w:r>
          </w:p>
          <w:p w:rsidR="00ED5E2E" w:rsidRDefault="00ED5E2E" w:rsidP="00ED5E2E">
            <w:pPr>
              <w:ind w:left="360" w:hanging="360"/>
              <w:jc w:val="both"/>
              <w:rPr>
                <w:b/>
                <w:sz w:val="22"/>
                <w:szCs w:val="22"/>
                <w:lang w:val="es-ES_tradnl"/>
              </w:rPr>
            </w:pPr>
          </w:p>
          <w:p w:rsidR="00554AA4" w:rsidRDefault="00554AA4" w:rsidP="00ED5E2E">
            <w:pPr>
              <w:ind w:left="360" w:hanging="360"/>
              <w:jc w:val="both"/>
              <w:rPr>
                <w:b/>
                <w:sz w:val="22"/>
                <w:szCs w:val="22"/>
                <w:lang w:val="es-ES_tradnl"/>
              </w:rPr>
            </w:pPr>
          </w:p>
          <w:p w:rsidR="00380790" w:rsidRPr="00D624A5" w:rsidRDefault="00442B31" w:rsidP="00DD0763">
            <w:pPr>
              <w:spacing w:after="200"/>
              <w:ind w:left="360" w:hanging="360"/>
              <w:jc w:val="both"/>
              <w:rPr>
                <w:b/>
                <w:sz w:val="22"/>
                <w:szCs w:val="22"/>
                <w:lang w:val="es-ES_tradnl"/>
              </w:rPr>
            </w:pPr>
            <w:r>
              <w:rPr>
                <w:b/>
                <w:sz w:val="22"/>
                <w:szCs w:val="22"/>
                <w:lang w:val="es-ES_tradnl"/>
              </w:rPr>
              <w:lastRenderedPageBreak/>
              <w:t>5.</w:t>
            </w:r>
            <w:r>
              <w:rPr>
                <w:b/>
                <w:sz w:val="22"/>
                <w:szCs w:val="22"/>
                <w:lang w:val="es-ES_tradnl"/>
              </w:rPr>
              <w:tab/>
            </w:r>
            <w:r w:rsidR="00380790" w:rsidRPr="00D624A5">
              <w:rPr>
                <w:b/>
                <w:sz w:val="22"/>
                <w:szCs w:val="22"/>
                <w:lang w:val="es-ES_tradnl"/>
              </w:rPr>
              <w:t>Vínculo entre este punto del orden del día y la Agenda de Salud para las Américas 2008-2017:</w:t>
            </w:r>
          </w:p>
          <w:p w:rsidR="004E0A77" w:rsidRDefault="004E0A77" w:rsidP="00442B31">
            <w:pPr>
              <w:autoSpaceDE w:val="0"/>
              <w:autoSpaceDN w:val="0"/>
              <w:adjustRightInd w:val="0"/>
              <w:ind w:left="353"/>
              <w:rPr>
                <w:rFonts w:ascii="TimesNewRomanPSMT" w:hAnsi="TimesNewRomanPSMT" w:cs="TimesNewRomanPSMT"/>
                <w:sz w:val="22"/>
                <w:szCs w:val="22"/>
                <w:lang w:val="es-ES"/>
              </w:rPr>
            </w:pPr>
            <w:r w:rsidRPr="00D624A5">
              <w:rPr>
                <w:rFonts w:ascii="TimesNewRomanPSMT" w:hAnsi="TimesNewRomanPSMT" w:cs="TimesNewRomanPSMT"/>
                <w:sz w:val="22"/>
                <w:szCs w:val="22"/>
                <w:lang w:val="es-ES"/>
              </w:rPr>
              <w:t>El punto del orden del día se vincula a los principios y valores y las áreas de acción descritas en</w:t>
            </w:r>
            <w:r w:rsidR="00442B31">
              <w:rPr>
                <w:rFonts w:ascii="TimesNewRomanPSMT" w:hAnsi="TimesNewRomanPSMT" w:cs="TimesNewRomanPSMT"/>
                <w:sz w:val="22"/>
                <w:szCs w:val="22"/>
                <w:lang w:val="es-ES"/>
              </w:rPr>
              <w:t xml:space="preserve"> </w:t>
            </w:r>
            <w:r w:rsidRPr="00D624A5">
              <w:rPr>
                <w:rFonts w:ascii="TimesNewRomanPSMT" w:hAnsi="TimesNewRomanPSMT" w:cs="TimesNewRomanPSMT"/>
                <w:sz w:val="22"/>
                <w:szCs w:val="22"/>
                <w:lang w:val="es-ES"/>
              </w:rPr>
              <w:t>la Agenda de Salud de las Américas.</w:t>
            </w:r>
          </w:p>
          <w:p w:rsidR="00DD0763" w:rsidRDefault="00DD0763" w:rsidP="00442B31">
            <w:pPr>
              <w:autoSpaceDE w:val="0"/>
              <w:autoSpaceDN w:val="0"/>
              <w:adjustRightInd w:val="0"/>
              <w:ind w:left="353"/>
              <w:rPr>
                <w:rFonts w:ascii="TimesNewRomanPSMT" w:hAnsi="TimesNewRomanPSMT" w:cs="TimesNewRomanPSMT"/>
                <w:sz w:val="22"/>
                <w:szCs w:val="22"/>
                <w:lang w:val="es-ES"/>
              </w:rPr>
            </w:pPr>
          </w:p>
          <w:p w:rsidR="004E0A77" w:rsidRPr="00DD0763" w:rsidRDefault="004E0A77" w:rsidP="00DD0763">
            <w:pPr>
              <w:autoSpaceDE w:val="0"/>
              <w:autoSpaceDN w:val="0"/>
              <w:adjustRightInd w:val="0"/>
              <w:spacing w:after="120"/>
              <w:ind w:left="353"/>
              <w:rPr>
                <w:sz w:val="22"/>
                <w:szCs w:val="22"/>
                <w:lang w:val="es-ES"/>
              </w:rPr>
            </w:pPr>
            <w:r w:rsidRPr="00DD0763">
              <w:rPr>
                <w:b/>
                <w:bCs/>
                <w:i/>
                <w:iCs/>
                <w:sz w:val="22"/>
                <w:szCs w:val="22"/>
                <w:lang w:val="es-ES"/>
              </w:rPr>
              <w:t>Principios y valores</w:t>
            </w:r>
            <w:r w:rsidRPr="00DD0763">
              <w:rPr>
                <w:sz w:val="22"/>
                <w:szCs w:val="22"/>
                <w:lang w:val="es-ES"/>
              </w:rPr>
              <w:t>:</w:t>
            </w:r>
          </w:p>
          <w:p w:rsidR="009D7502" w:rsidRPr="00DD0763" w:rsidRDefault="004E0A77" w:rsidP="00DD0763">
            <w:pPr>
              <w:autoSpaceDE w:val="0"/>
              <w:autoSpaceDN w:val="0"/>
              <w:adjustRightInd w:val="0"/>
              <w:spacing w:after="120"/>
              <w:ind w:left="353"/>
              <w:jc w:val="both"/>
              <w:rPr>
                <w:sz w:val="22"/>
                <w:szCs w:val="22"/>
                <w:lang w:val="es-ES"/>
              </w:rPr>
            </w:pPr>
            <w:r w:rsidRPr="00DD0763">
              <w:rPr>
                <w:sz w:val="22"/>
                <w:szCs w:val="22"/>
                <w:lang w:val="es-ES"/>
              </w:rPr>
              <w:t>Reconociendo que la Región es heterogénea, y que los países y sus poblaciones tienen diferentes</w:t>
            </w:r>
            <w:r w:rsidR="009D7502" w:rsidRPr="00DD0763">
              <w:rPr>
                <w:sz w:val="22"/>
                <w:szCs w:val="22"/>
                <w:lang w:val="es-ES"/>
              </w:rPr>
              <w:t xml:space="preserve"> </w:t>
            </w:r>
            <w:r w:rsidRPr="00DD0763">
              <w:rPr>
                <w:sz w:val="22"/>
                <w:szCs w:val="22"/>
                <w:lang w:val="es-ES"/>
              </w:rPr>
              <w:t>necesidades y métodos socioculturales para la mejora de la salud, este orden del día respeta y</w:t>
            </w:r>
            <w:r w:rsidR="009D7502" w:rsidRPr="00DD0763">
              <w:rPr>
                <w:sz w:val="22"/>
                <w:szCs w:val="22"/>
                <w:lang w:val="es-ES"/>
              </w:rPr>
              <w:t xml:space="preserve"> </w:t>
            </w:r>
            <w:r w:rsidRPr="00DD0763">
              <w:rPr>
                <w:sz w:val="22"/>
                <w:szCs w:val="22"/>
                <w:lang w:val="es-ES"/>
              </w:rPr>
              <w:t>cumple los siguientes principios y valores encontrados en la Agenda de Salud de las Américas:</w:t>
            </w:r>
            <w:r w:rsidR="009D7502" w:rsidRPr="00DD0763">
              <w:rPr>
                <w:sz w:val="22"/>
                <w:szCs w:val="22"/>
                <w:lang w:val="es-ES"/>
              </w:rPr>
              <w:t xml:space="preserve"> </w:t>
            </w:r>
          </w:p>
          <w:p w:rsidR="004E0A77" w:rsidRPr="00DD0763" w:rsidRDefault="004E0A77" w:rsidP="00DD0763">
            <w:pPr>
              <w:pStyle w:val="ListParagraph"/>
              <w:numPr>
                <w:ilvl w:val="0"/>
                <w:numId w:val="18"/>
              </w:numPr>
              <w:autoSpaceDE w:val="0"/>
              <w:autoSpaceDN w:val="0"/>
              <w:adjustRightInd w:val="0"/>
              <w:spacing w:after="120" w:line="240" w:lineRule="auto"/>
              <w:ind w:left="720"/>
              <w:contextualSpacing w:val="0"/>
              <w:jc w:val="both"/>
              <w:rPr>
                <w:rFonts w:ascii="Times New Roman" w:hAnsi="Times New Roman"/>
                <w:lang w:val="es-ES"/>
              </w:rPr>
            </w:pPr>
            <w:r w:rsidRPr="00DD0763">
              <w:rPr>
                <w:rFonts w:ascii="Times New Roman" w:hAnsi="Times New Roman"/>
                <w:i/>
                <w:iCs/>
                <w:lang w:val="es-ES"/>
              </w:rPr>
              <w:t>Derechos humanos, acceso universal e inclusión</w:t>
            </w:r>
            <w:r w:rsidRPr="00DD0763">
              <w:rPr>
                <w:rFonts w:ascii="Times New Roman" w:hAnsi="Times New Roman"/>
                <w:lang w:val="es-ES"/>
              </w:rPr>
              <w:t>. La Constitución de la Organización</w:t>
            </w:r>
            <w:r w:rsidR="009D7502" w:rsidRPr="00DD0763">
              <w:rPr>
                <w:rFonts w:ascii="Times New Roman" w:hAnsi="Times New Roman"/>
                <w:lang w:val="es-ES"/>
              </w:rPr>
              <w:t xml:space="preserve"> </w:t>
            </w:r>
            <w:r w:rsidRPr="00DD0763">
              <w:rPr>
                <w:rFonts w:ascii="Times New Roman" w:hAnsi="Times New Roman"/>
                <w:lang w:val="es-ES"/>
              </w:rPr>
              <w:t>Mundial de la Salud establece que “el goce del grado máximo de salud que se pueda lograr es</w:t>
            </w:r>
            <w:r w:rsidR="009D7502" w:rsidRPr="00DD0763">
              <w:rPr>
                <w:rFonts w:ascii="Times New Roman" w:hAnsi="Times New Roman"/>
                <w:lang w:val="es-ES"/>
              </w:rPr>
              <w:t xml:space="preserve"> </w:t>
            </w:r>
            <w:r w:rsidRPr="00DD0763">
              <w:rPr>
                <w:rFonts w:ascii="Times New Roman" w:hAnsi="Times New Roman"/>
                <w:lang w:val="es-ES"/>
              </w:rPr>
              <w:t>uno de los derechos fundamentales de todo ser humano, sin distinción de raza, religión,</w:t>
            </w:r>
            <w:r w:rsidR="009D7502" w:rsidRPr="00DD0763">
              <w:rPr>
                <w:rFonts w:ascii="Times New Roman" w:hAnsi="Times New Roman"/>
                <w:lang w:val="es-ES"/>
              </w:rPr>
              <w:t xml:space="preserve"> </w:t>
            </w:r>
            <w:r w:rsidRPr="00DD0763">
              <w:rPr>
                <w:rFonts w:ascii="Times New Roman" w:hAnsi="Times New Roman"/>
                <w:lang w:val="es-ES"/>
              </w:rPr>
              <w:t>ideología política, o condición económica o social”. Para hacer de este derecho una realidad,</w:t>
            </w:r>
            <w:r w:rsidR="009D7502" w:rsidRPr="00DD0763">
              <w:rPr>
                <w:rFonts w:ascii="Times New Roman" w:hAnsi="Times New Roman"/>
                <w:lang w:val="es-ES"/>
              </w:rPr>
              <w:t xml:space="preserve"> </w:t>
            </w:r>
            <w:r w:rsidRPr="00DD0763">
              <w:rPr>
                <w:rFonts w:ascii="Times New Roman" w:hAnsi="Times New Roman"/>
                <w:lang w:val="es-ES"/>
              </w:rPr>
              <w:t>los países deben trabajar para lograr el acceso universal, la integridad, la calidad y la</w:t>
            </w:r>
            <w:r w:rsidR="009D7502" w:rsidRPr="00DD0763">
              <w:rPr>
                <w:rFonts w:ascii="Times New Roman" w:hAnsi="Times New Roman"/>
                <w:lang w:val="es-ES"/>
              </w:rPr>
              <w:t xml:space="preserve"> </w:t>
            </w:r>
            <w:r w:rsidRPr="00DD0763">
              <w:rPr>
                <w:rFonts w:ascii="Times New Roman" w:hAnsi="Times New Roman"/>
                <w:lang w:val="es-ES"/>
              </w:rPr>
              <w:t>inclusión en los sistemas de salud que están disponibles para las personas, las familias y las</w:t>
            </w:r>
            <w:r w:rsidR="009D7502" w:rsidRPr="00DD0763">
              <w:rPr>
                <w:rFonts w:ascii="Times New Roman" w:hAnsi="Times New Roman"/>
                <w:lang w:val="es-ES"/>
              </w:rPr>
              <w:t xml:space="preserve"> </w:t>
            </w:r>
            <w:r w:rsidRPr="00DD0763">
              <w:rPr>
                <w:rFonts w:ascii="Times New Roman" w:hAnsi="Times New Roman"/>
                <w:lang w:val="es-ES"/>
              </w:rPr>
              <w:t>comunidades. Los sistemas de salud deben ser responsables ante los ciudadanos del logro de</w:t>
            </w:r>
            <w:r w:rsidR="009D7502" w:rsidRPr="00DD0763">
              <w:rPr>
                <w:rFonts w:ascii="Times New Roman" w:hAnsi="Times New Roman"/>
                <w:lang w:val="es-ES"/>
              </w:rPr>
              <w:t xml:space="preserve"> </w:t>
            </w:r>
            <w:r w:rsidRPr="00DD0763">
              <w:rPr>
                <w:rFonts w:ascii="Times New Roman" w:hAnsi="Times New Roman"/>
                <w:lang w:val="es-ES"/>
              </w:rPr>
              <w:t>estas condiciones.</w:t>
            </w:r>
          </w:p>
          <w:p w:rsidR="004E0A77" w:rsidRPr="00DD0763" w:rsidRDefault="004E0A77" w:rsidP="00DD0763">
            <w:pPr>
              <w:pStyle w:val="ListParagraph"/>
              <w:numPr>
                <w:ilvl w:val="0"/>
                <w:numId w:val="18"/>
              </w:numPr>
              <w:autoSpaceDE w:val="0"/>
              <w:autoSpaceDN w:val="0"/>
              <w:adjustRightInd w:val="0"/>
              <w:spacing w:after="120" w:line="240" w:lineRule="auto"/>
              <w:ind w:left="720"/>
              <w:contextualSpacing w:val="0"/>
              <w:jc w:val="both"/>
              <w:rPr>
                <w:rFonts w:ascii="Times New Roman" w:hAnsi="Times New Roman"/>
                <w:lang w:val="es-ES"/>
              </w:rPr>
            </w:pPr>
            <w:r w:rsidRPr="00DD0763">
              <w:rPr>
                <w:rFonts w:ascii="Times New Roman" w:hAnsi="Times New Roman"/>
                <w:i/>
                <w:iCs/>
                <w:lang w:val="es-ES"/>
              </w:rPr>
              <w:t>Solidaridad panamericana</w:t>
            </w:r>
            <w:r w:rsidRPr="00DD0763">
              <w:rPr>
                <w:rFonts w:ascii="Times New Roman" w:hAnsi="Times New Roman"/>
                <w:lang w:val="es-ES"/>
              </w:rPr>
              <w:t>. La solidaridad, definida como la colaboración entre los países de</w:t>
            </w:r>
            <w:r w:rsidR="009D7502" w:rsidRPr="00DD0763">
              <w:rPr>
                <w:rFonts w:ascii="Times New Roman" w:hAnsi="Times New Roman"/>
                <w:lang w:val="es-ES"/>
              </w:rPr>
              <w:t xml:space="preserve"> </w:t>
            </w:r>
            <w:r w:rsidRPr="00DD0763">
              <w:rPr>
                <w:rFonts w:ascii="Times New Roman" w:hAnsi="Times New Roman"/>
                <w:lang w:val="es-ES"/>
              </w:rPr>
              <w:t>las Américas para avanzar en pos de los intereses y las responsabilidades comunes a fin de</w:t>
            </w:r>
            <w:r w:rsidR="009D7502" w:rsidRPr="00DD0763">
              <w:rPr>
                <w:rFonts w:ascii="Times New Roman" w:hAnsi="Times New Roman"/>
                <w:lang w:val="es-ES"/>
              </w:rPr>
              <w:t xml:space="preserve"> </w:t>
            </w:r>
            <w:r w:rsidRPr="00DD0763">
              <w:rPr>
                <w:rFonts w:ascii="Times New Roman" w:hAnsi="Times New Roman"/>
                <w:lang w:val="es-ES"/>
              </w:rPr>
              <w:t>lograr metas compartidas, es una condición esencial para superar las desigualdades en lo que</w:t>
            </w:r>
            <w:r w:rsidR="009D7502" w:rsidRPr="00DD0763">
              <w:rPr>
                <w:rFonts w:ascii="Times New Roman" w:hAnsi="Times New Roman"/>
                <w:lang w:val="es-ES"/>
              </w:rPr>
              <w:t xml:space="preserve"> </w:t>
            </w:r>
            <w:r w:rsidRPr="00DD0763">
              <w:rPr>
                <w:rFonts w:ascii="Times New Roman" w:hAnsi="Times New Roman"/>
                <w:lang w:val="es-ES"/>
              </w:rPr>
              <w:t>respecta a la salud y mejorar la seguridad sanitaria panamericana durante las situaciones de</w:t>
            </w:r>
            <w:r w:rsidR="009D7502" w:rsidRPr="00DD0763">
              <w:rPr>
                <w:rFonts w:ascii="Times New Roman" w:hAnsi="Times New Roman"/>
                <w:lang w:val="es-ES"/>
              </w:rPr>
              <w:t xml:space="preserve"> </w:t>
            </w:r>
            <w:r w:rsidRPr="00DD0763">
              <w:rPr>
                <w:rFonts w:ascii="Times New Roman" w:hAnsi="Times New Roman"/>
                <w:lang w:val="es-ES"/>
              </w:rPr>
              <w:t>crisis, emergencias y desastres.</w:t>
            </w:r>
          </w:p>
          <w:p w:rsidR="004E0A77" w:rsidRPr="00DD0763" w:rsidRDefault="004E0A77" w:rsidP="00DD0763">
            <w:pPr>
              <w:pStyle w:val="ListParagraph"/>
              <w:numPr>
                <w:ilvl w:val="0"/>
                <w:numId w:val="18"/>
              </w:numPr>
              <w:autoSpaceDE w:val="0"/>
              <w:autoSpaceDN w:val="0"/>
              <w:adjustRightInd w:val="0"/>
              <w:spacing w:after="120" w:line="240" w:lineRule="auto"/>
              <w:ind w:left="720"/>
              <w:contextualSpacing w:val="0"/>
              <w:jc w:val="both"/>
              <w:rPr>
                <w:rFonts w:ascii="Times New Roman" w:hAnsi="Times New Roman"/>
                <w:lang w:val="es-ES"/>
              </w:rPr>
            </w:pPr>
            <w:r w:rsidRPr="00DD0763">
              <w:rPr>
                <w:rFonts w:ascii="Times New Roman" w:hAnsi="Times New Roman"/>
                <w:i/>
                <w:iCs/>
                <w:lang w:val="es-ES"/>
              </w:rPr>
              <w:t>Equidad en la salud</w:t>
            </w:r>
            <w:r w:rsidRPr="00DD0763">
              <w:rPr>
                <w:rFonts w:ascii="Times New Roman" w:hAnsi="Times New Roman"/>
                <w:lang w:val="es-ES"/>
              </w:rPr>
              <w:t>. La búsqueda de la igualdad en la salud se manifiesta en el esfuerzo para</w:t>
            </w:r>
            <w:r w:rsidR="009D7502" w:rsidRPr="00DD0763">
              <w:rPr>
                <w:rFonts w:ascii="Times New Roman" w:hAnsi="Times New Roman"/>
                <w:lang w:val="es-ES"/>
              </w:rPr>
              <w:t xml:space="preserve"> </w:t>
            </w:r>
            <w:r w:rsidRPr="00DD0763">
              <w:rPr>
                <w:rFonts w:ascii="Times New Roman" w:hAnsi="Times New Roman"/>
                <w:lang w:val="es-ES"/>
              </w:rPr>
              <w:t>eliminar todas las desigualdades en materia de salud que son evitables, injustas y remediables</w:t>
            </w:r>
            <w:r w:rsidR="009D7502" w:rsidRPr="00DD0763">
              <w:rPr>
                <w:rFonts w:ascii="Times New Roman" w:hAnsi="Times New Roman"/>
                <w:lang w:val="es-ES"/>
              </w:rPr>
              <w:t xml:space="preserve"> </w:t>
            </w:r>
            <w:r w:rsidRPr="00DD0763">
              <w:rPr>
                <w:rFonts w:ascii="Times New Roman" w:hAnsi="Times New Roman"/>
                <w:lang w:val="es-ES"/>
              </w:rPr>
              <w:t>en las poblaciones o grupos. Esta búsqueda debe recalcar la necesidad esencial de promover</w:t>
            </w:r>
            <w:r w:rsidR="009D7502" w:rsidRPr="00DD0763">
              <w:rPr>
                <w:rFonts w:ascii="Times New Roman" w:hAnsi="Times New Roman"/>
                <w:lang w:val="es-ES"/>
              </w:rPr>
              <w:t xml:space="preserve"> </w:t>
            </w:r>
            <w:r w:rsidRPr="00DD0763">
              <w:rPr>
                <w:rFonts w:ascii="Times New Roman" w:hAnsi="Times New Roman"/>
                <w:lang w:val="es-ES"/>
              </w:rPr>
              <w:t>la igualdad entre los sexos en materia de salud.</w:t>
            </w:r>
          </w:p>
          <w:p w:rsidR="004E0A77" w:rsidRPr="00DD0763" w:rsidRDefault="004E0A77" w:rsidP="00DD0763">
            <w:pPr>
              <w:pStyle w:val="ListParagraph"/>
              <w:numPr>
                <w:ilvl w:val="0"/>
                <w:numId w:val="18"/>
              </w:numPr>
              <w:autoSpaceDE w:val="0"/>
              <w:autoSpaceDN w:val="0"/>
              <w:adjustRightInd w:val="0"/>
              <w:spacing w:after="120" w:line="240" w:lineRule="auto"/>
              <w:ind w:left="720"/>
              <w:contextualSpacing w:val="0"/>
              <w:jc w:val="both"/>
              <w:rPr>
                <w:rFonts w:ascii="Times New Roman" w:hAnsi="Times New Roman"/>
                <w:lang w:val="es-ES"/>
              </w:rPr>
            </w:pPr>
            <w:r w:rsidRPr="00DD0763">
              <w:rPr>
                <w:rFonts w:ascii="Times New Roman" w:hAnsi="Times New Roman"/>
                <w:i/>
                <w:iCs/>
                <w:lang w:val="es-ES"/>
              </w:rPr>
              <w:t>Participación social</w:t>
            </w:r>
            <w:r w:rsidRPr="00DD0763">
              <w:rPr>
                <w:rFonts w:ascii="Times New Roman" w:hAnsi="Times New Roman"/>
                <w:lang w:val="es-ES"/>
              </w:rPr>
              <w:t>. La oportunidad de que toda la sociedad participe en la definición y la</w:t>
            </w:r>
            <w:r w:rsidR="009D7502" w:rsidRPr="00DD0763">
              <w:rPr>
                <w:rFonts w:ascii="Times New Roman" w:hAnsi="Times New Roman"/>
                <w:lang w:val="es-ES"/>
              </w:rPr>
              <w:t xml:space="preserve"> </w:t>
            </w:r>
            <w:r w:rsidRPr="00DD0763">
              <w:rPr>
                <w:rFonts w:ascii="Times New Roman" w:hAnsi="Times New Roman"/>
                <w:lang w:val="es-ES"/>
              </w:rPr>
              <w:t>puesta en práctica de las políticas de salud pública, y en la evaluación de sus resultados, es un</w:t>
            </w:r>
            <w:r w:rsidR="009D7502" w:rsidRPr="00DD0763">
              <w:rPr>
                <w:rFonts w:ascii="Times New Roman" w:hAnsi="Times New Roman"/>
                <w:lang w:val="es-ES"/>
              </w:rPr>
              <w:t xml:space="preserve"> </w:t>
            </w:r>
            <w:r w:rsidRPr="00DD0763">
              <w:rPr>
                <w:rFonts w:ascii="Times New Roman" w:hAnsi="Times New Roman"/>
                <w:lang w:val="es-ES"/>
              </w:rPr>
              <w:t>factor esencial en la marcha y el éxito del programa de acción sanitaria.</w:t>
            </w:r>
          </w:p>
          <w:p w:rsidR="004E0A77" w:rsidRPr="00DD0763" w:rsidRDefault="004E0A77" w:rsidP="00DD0763">
            <w:pPr>
              <w:autoSpaceDE w:val="0"/>
              <w:autoSpaceDN w:val="0"/>
              <w:adjustRightInd w:val="0"/>
              <w:spacing w:after="120"/>
              <w:ind w:left="360"/>
              <w:jc w:val="both"/>
              <w:rPr>
                <w:b/>
                <w:i/>
                <w:sz w:val="22"/>
                <w:szCs w:val="22"/>
                <w:lang w:val="es-ES"/>
              </w:rPr>
            </w:pPr>
            <w:r w:rsidRPr="00DD0763">
              <w:rPr>
                <w:b/>
                <w:i/>
                <w:sz w:val="22"/>
                <w:szCs w:val="22"/>
                <w:lang w:val="es-ES"/>
              </w:rPr>
              <w:t>Áreas de acción:</w:t>
            </w:r>
          </w:p>
          <w:p w:rsidR="004E0A77" w:rsidRPr="00D624A5" w:rsidRDefault="004E0A77" w:rsidP="00442B31">
            <w:pPr>
              <w:autoSpaceDE w:val="0"/>
              <w:autoSpaceDN w:val="0"/>
              <w:adjustRightInd w:val="0"/>
              <w:ind w:left="353"/>
              <w:jc w:val="both"/>
              <w:rPr>
                <w:rFonts w:ascii="TimesNewRomanPSMT" w:hAnsi="TimesNewRomanPSMT" w:cs="TimesNewRomanPSMT"/>
                <w:sz w:val="22"/>
                <w:szCs w:val="22"/>
                <w:lang w:val="es-ES"/>
              </w:rPr>
            </w:pPr>
            <w:r w:rsidRPr="00D624A5">
              <w:rPr>
                <w:rFonts w:ascii="SymbolMT" w:hAnsi="SymbolMT" w:cs="SymbolMT"/>
                <w:sz w:val="22"/>
                <w:szCs w:val="22"/>
                <w:lang w:val="es-ES"/>
              </w:rPr>
              <w:t xml:space="preserve">• </w:t>
            </w:r>
            <w:r w:rsidR="00442B31">
              <w:rPr>
                <w:rFonts w:ascii="SymbolMT" w:hAnsi="SymbolMT" w:cs="SymbolMT"/>
                <w:sz w:val="22"/>
                <w:szCs w:val="22"/>
                <w:lang w:val="es-ES"/>
              </w:rPr>
              <w:tab/>
            </w:r>
            <w:r w:rsidRPr="00D624A5">
              <w:rPr>
                <w:rFonts w:ascii="TimesNewRomanPSMT" w:hAnsi="TimesNewRomanPSMT" w:cs="TimesNewRomanPSMT"/>
                <w:sz w:val="22"/>
                <w:szCs w:val="22"/>
                <w:lang w:val="es-ES"/>
              </w:rPr>
              <w:t>Fortalecer la Autoridad Sanitaria Nacional</w:t>
            </w:r>
          </w:p>
          <w:p w:rsidR="004E0A77" w:rsidRPr="00D624A5" w:rsidRDefault="004E0A77" w:rsidP="00442B31">
            <w:pPr>
              <w:autoSpaceDE w:val="0"/>
              <w:autoSpaceDN w:val="0"/>
              <w:adjustRightInd w:val="0"/>
              <w:ind w:left="353"/>
              <w:jc w:val="both"/>
              <w:rPr>
                <w:rFonts w:ascii="TimesNewRomanPSMT" w:hAnsi="TimesNewRomanPSMT" w:cs="TimesNewRomanPSMT"/>
                <w:sz w:val="22"/>
                <w:szCs w:val="22"/>
                <w:lang w:val="es-ES"/>
              </w:rPr>
            </w:pPr>
            <w:r w:rsidRPr="00D624A5">
              <w:rPr>
                <w:rFonts w:ascii="SymbolMT" w:hAnsi="SymbolMT" w:cs="SymbolMT"/>
                <w:sz w:val="22"/>
                <w:szCs w:val="22"/>
                <w:lang w:val="es-ES"/>
              </w:rPr>
              <w:t xml:space="preserve">• </w:t>
            </w:r>
            <w:r w:rsidR="00442B31">
              <w:rPr>
                <w:rFonts w:ascii="SymbolMT" w:hAnsi="SymbolMT" w:cs="SymbolMT"/>
                <w:sz w:val="22"/>
                <w:szCs w:val="22"/>
                <w:lang w:val="es-ES"/>
              </w:rPr>
              <w:tab/>
            </w:r>
            <w:r w:rsidRPr="00D624A5">
              <w:rPr>
                <w:rFonts w:ascii="TimesNewRomanPSMT" w:hAnsi="TimesNewRomanPSMT" w:cs="TimesNewRomanPSMT"/>
                <w:sz w:val="22"/>
                <w:szCs w:val="22"/>
                <w:lang w:val="es-ES"/>
              </w:rPr>
              <w:t>Abordar los Determinantes de Salud</w:t>
            </w:r>
          </w:p>
          <w:p w:rsidR="00380790" w:rsidRPr="00D624A5" w:rsidRDefault="004E0A77" w:rsidP="00442B31">
            <w:pPr>
              <w:spacing w:after="100"/>
              <w:ind w:left="353"/>
              <w:jc w:val="both"/>
              <w:rPr>
                <w:sz w:val="22"/>
                <w:szCs w:val="22"/>
                <w:lang w:val="es-ES_tradnl" w:eastAsia="es-ES"/>
              </w:rPr>
            </w:pPr>
            <w:r w:rsidRPr="00D624A5">
              <w:rPr>
                <w:rFonts w:ascii="SymbolMT" w:hAnsi="SymbolMT" w:cs="SymbolMT"/>
                <w:sz w:val="22"/>
                <w:szCs w:val="22"/>
                <w:lang w:val="es-ES"/>
              </w:rPr>
              <w:t xml:space="preserve">• </w:t>
            </w:r>
            <w:r w:rsidR="00442B31">
              <w:rPr>
                <w:rFonts w:ascii="SymbolMT" w:hAnsi="SymbolMT" w:cs="SymbolMT"/>
                <w:sz w:val="22"/>
                <w:szCs w:val="22"/>
                <w:lang w:val="es-ES"/>
              </w:rPr>
              <w:tab/>
            </w:r>
            <w:r w:rsidRPr="00D624A5">
              <w:rPr>
                <w:rFonts w:ascii="TimesNewRomanPSMT" w:hAnsi="TimesNewRomanPSMT" w:cs="TimesNewRomanPSMT"/>
                <w:sz w:val="22"/>
                <w:szCs w:val="22"/>
                <w:lang w:val="es-ES"/>
              </w:rPr>
              <w:t>Aumentar la Protección Social y el Acceso a los Servicios de Salud de Calidad</w:t>
            </w:r>
          </w:p>
        </w:tc>
      </w:tr>
      <w:tr w:rsidR="00380790" w:rsidRPr="00750675" w:rsidTr="00DD0763">
        <w:trPr>
          <w:jc w:val="center"/>
        </w:trPr>
        <w:tc>
          <w:tcPr>
            <w:tcW w:w="8784" w:type="dxa"/>
            <w:tcMar>
              <w:top w:w="86" w:type="dxa"/>
              <w:left w:w="115" w:type="dxa"/>
              <w:bottom w:w="58" w:type="dxa"/>
              <w:right w:w="115" w:type="dxa"/>
            </w:tcMar>
          </w:tcPr>
          <w:p w:rsidR="00380790" w:rsidRPr="00D624A5" w:rsidRDefault="00380790">
            <w:pPr>
              <w:spacing w:after="120"/>
              <w:ind w:left="360" w:hanging="360"/>
              <w:jc w:val="both"/>
              <w:rPr>
                <w:b/>
                <w:sz w:val="22"/>
                <w:szCs w:val="22"/>
                <w:lang w:val="es-ES_tradnl"/>
              </w:rPr>
            </w:pPr>
            <w:r w:rsidRPr="00D624A5">
              <w:rPr>
                <w:b/>
                <w:sz w:val="22"/>
                <w:szCs w:val="22"/>
                <w:lang w:val="es-ES_tradnl"/>
              </w:rPr>
              <w:lastRenderedPageBreak/>
              <w:t>6.</w:t>
            </w:r>
            <w:r w:rsidRPr="00D624A5">
              <w:rPr>
                <w:b/>
                <w:sz w:val="22"/>
                <w:szCs w:val="22"/>
                <w:lang w:val="es-ES_tradnl"/>
              </w:rPr>
              <w:tab/>
              <w:t>Vínculo entre este punto del orden del día y el Plan Estratégico 2008-2012:</w:t>
            </w:r>
          </w:p>
          <w:p w:rsidR="00380790" w:rsidRPr="00D624A5" w:rsidRDefault="00380790">
            <w:pPr>
              <w:spacing w:after="200"/>
              <w:ind w:left="353"/>
              <w:jc w:val="both"/>
              <w:rPr>
                <w:sz w:val="22"/>
                <w:szCs w:val="22"/>
                <w:lang w:val="es-ES_tradnl" w:eastAsia="es-ES"/>
              </w:rPr>
            </w:pPr>
            <w:r w:rsidRPr="00D624A5">
              <w:rPr>
                <w:sz w:val="22"/>
                <w:szCs w:val="22"/>
                <w:lang w:val="es-ES_tradnl" w:eastAsia="es-ES"/>
              </w:rPr>
              <w:t xml:space="preserve">La Estrategia y </w:t>
            </w:r>
            <w:r w:rsidR="00DC4B24" w:rsidRPr="00D624A5">
              <w:rPr>
                <w:sz w:val="22"/>
                <w:szCs w:val="22"/>
                <w:lang w:val="es-ES_tradnl" w:eastAsia="es-ES"/>
              </w:rPr>
              <w:t>P</w:t>
            </w:r>
            <w:r w:rsidRPr="00D624A5">
              <w:rPr>
                <w:sz w:val="22"/>
                <w:szCs w:val="22"/>
                <w:lang w:val="es-ES_tradnl" w:eastAsia="es-ES"/>
              </w:rPr>
              <w:t>lan de acción está directamente vinculad</w:t>
            </w:r>
            <w:r w:rsidR="00EA4F2F" w:rsidRPr="00D624A5">
              <w:rPr>
                <w:sz w:val="22"/>
                <w:szCs w:val="22"/>
                <w:lang w:val="es-ES_tradnl" w:eastAsia="es-ES"/>
              </w:rPr>
              <w:t>a</w:t>
            </w:r>
            <w:r w:rsidRPr="00D624A5">
              <w:rPr>
                <w:sz w:val="22"/>
                <w:szCs w:val="22"/>
                <w:lang w:val="es-ES_tradnl" w:eastAsia="es-ES"/>
              </w:rPr>
              <w:t xml:space="preserve"> con los siguientes objetivos específicos:</w:t>
            </w:r>
          </w:p>
          <w:p w:rsidR="00380790" w:rsidRPr="00D624A5" w:rsidRDefault="00380790" w:rsidP="00DD0763">
            <w:pPr>
              <w:spacing w:after="240"/>
              <w:ind w:left="360"/>
              <w:jc w:val="both"/>
              <w:rPr>
                <w:sz w:val="22"/>
                <w:szCs w:val="22"/>
                <w:lang w:val="es-ES_tradnl" w:eastAsia="es-ES"/>
              </w:rPr>
            </w:pPr>
            <w:r w:rsidRPr="00442B31">
              <w:rPr>
                <w:b/>
                <w:bCs/>
                <w:i/>
                <w:sz w:val="22"/>
                <w:szCs w:val="22"/>
                <w:lang w:val="es-ES_tradnl" w:eastAsia="es-ES"/>
              </w:rPr>
              <w:t>Objetivo Estratégico 5</w:t>
            </w:r>
            <w:r w:rsidRPr="00442B31">
              <w:rPr>
                <w:b/>
                <w:i/>
                <w:sz w:val="22"/>
                <w:szCs w:val="22"/>
                <w:lang w:val="es-ES_tradnl" w:eastAsia="es-ES"/>
              </w:rPr>
              <w:t>:</w:t>
            </w:r>
            <w:r w:rsidRPr="00D624A5">
              <w:rPr>
                <w:b/>
                <w:sz w:val="22"/>
                <w:szCs w:val="22"/>
                <w:lang w:val="es-ES_tradnl" w:eastAsia="es-ES"/>
              </w:rPr>
              <w:t xml:space="preserve"> </w:t>
            </w:r>
            <w:r w:rsidRPr="00D624A5">
              <w:rPr>
                <w:sz w:val="22"/>
                <w:szCs w:val="22"/>
                <w:lang w:val="es-ES_tradnl" w:eastAsia="es-ES"/>
              </w:rPr>
              <w:t>Reducir las consecuencias para la salud de las emergencias, desastres, crisis y conflictos, y minimizar su impacto social y económico.</w:t>
            </w:r>
          </w:p>
          <w:p w:rsidR="00380790" w:rsidRPr="00D624A5" w:rsidRDefault="00380790">
            <w:pPr>
              <w:tabs>
                <w:tab w:val="left" w:pos="1613"/>
              </w:tabs>
              <w:spacing w:after="200"/>
              <w:ind w:left="1613" w:hanging="1260"/>
              <w:jc w:val="both"/>
              <w:rPr>
                <w:iCs/>
                <w:sz w:val="22"/>
                <w:szCs w:val="22"/>
                <w:lang w:val="es-ES_tradnl" w:eastAsia="es-ES"/>
              </w:rPr>
            </w:pPr>
            <w:r w:rsidRPr="009B4D2C">
              <w:rPr>
                <w:bCs/>
                <w:i/>
                <w:iCs/>
                <w:sz w:val="22"/>
                <w:szCs w:val="22"/>
                <w:lang w:val="es-ES_tradnl" w:eastAsia="es-ES"/>
              </w:rPr>
              <w:lastRenderedPageBreak/>
              <w:t>RPR 5.6:</w:t>
            </w:r>
            <w:r w:rsidRPr="00D624A5">
              <w:rPr>
                <w:b/>
                <w:bCs/>
                <w:iCs/>
                <w:sz w:val="22"/>
                <w:szCs w:val="22"/>
                <w:lang w:val="es-ES_tradnl" w:eastAsia="es-ES"/>
              </w:rPr>
              <w:tab/>
            </w:r>
            <w:r w:rsidRPr="00D624A5">
              <w:rPr>
                <w:iCs/>
                <w:sz w:val="22"/>
                <w:szCs w:val="22"/>
                <w:lang w:val="es-ES_tradnl" w:eastAsia="es-ES"/>
              </w:rPr>
              <w:t>Se habrán emitido comunicaciones eficaces, formado alianzas y estrechado los lazos de coordinación con organizaciones del sistema de las Naciones Unidas, gobiernos, organizaciones no gubernamentales locales e internacionales, instituciones académicas y asociaciones profesionales a los niveles nacional, regional y mundial.</w:t>
            </w:r>
          </w:p>
          <w:p w:rsidR="00380790" w:rsidRPr="00D624A5" w:rsidRDefault="00380790">
            <w:pPr>
              <w:spacing w:after="200"/>
              <w:ind w:left="353"/>
              <w:jc w:val="both"/>
              <w:rPr>
                <w:sz w:val="22"/>
                <w:szCs w:val="22"/>
                <w:lang w:val="es-ES_tradnl" w:eastAsia="es-ES"/>
              </w:rPr>
            </w:pPr>
            <w:r w:rsidRPr="00442B31">
              <w:rPr>
                <w:b/>
                <w:bCs/>
                <w:i/>
                <w:sz w:val="22"/>
                <w:szCs w:val="22"/>
                <w:lang w:val="es-ES_tradnl" w:eastAsia="es-ES"/>
              </w:rPr>
              <w:t>Objetivo Estratégico 11</w:t>
            </w:r>
            <w:r w:rsidRPr="00442B31">
              <w:rPr>
                <w:b/>
                <w:i/>
                <w:sz w:val="22"/>
                <w:szCs w:val="22"/>
                <w:lang w:val="es-ES_tradnl" w:eastAsia="es-ES"/>
              </w:rPr>
              <w:t>:</w:t>
            </w:r>
            <w:r w:rsidRPr="00D624A5">
              <w:rPr>
                <w:sz w:val="22"/>
                <w:szCs w:val="22"/>
                <w:lang w:val="es-ES_tradnl" w:eastAsia="es-ES"/>
              </w:rPr>
              <w:t xml:space="preserve"> Fortalecer el liderazgo, la gobernanza y la evidencia científica de los sistemas de salud.</w:t>
            </w:r>
          </w:p>
          <w:p w:rsidR="00380790" w:rsidRPr="00D624A5" w:rsidRDefault="00380790">
            <w:pPr>
              <w:tabs>
                <w:tab w:val="left" w:pos="1613"/>
              </w:tabs>
              <w:spacing w:after="200"/>
              <w:ind w:left="1613" w:hanging="1260"/>
              <w:jc w:val="both"/>
              <w:rPr>
                <w:iCs/>
                <w:sz w:val="22"/>
                <w:szCs w:val="22"/>
                <w:lang w:val="es-ES_tradnl" w:eastAsia="es-ES"/>
              </w:rPr>
            </w:pPr>
            <w:r w:rsidRPr="009B4D2C">
              <w:rPr>
                <w:bCs/>
                <w:i/>
                <w:iCs/>
                <w:sz w:val="22"/>
                <w:szCs w:val="22"/>
                <w:lang w:val="es-ES_tradnl" w:eastAsia="es-ES"/>
              </w:rPr>
              <w:t>RPR 11.3:</w:t>
            </w:r>
            <w:r w:rsidRPr="00D624A5">
              <w:rPr>
                <w:b/>
                <w:bCs/>
                <w:iCs/>
                <w:sz w:val="22"/>
                <w:szCs w:val="22"/>
                <w:lang w:val="es-ES_tradnl" w:eastAsia="es-ES"/>
              </w:rPr>
              <w:tab/>
            </w:r>
            <w:r w:rsidRPr="00D624A5">
              <w:rPr>
                <w:iCs/>
                <w:sz w:val="22"/>
                <w:szCs w:val="22"/>
                <w:lang w:val="es-ES_tradnl" w:eastAsia="es-ES"/>
              </w:rPr>
              <w:t>Estados Miembros apoyados a través de la cooperación técnica a fin de aumentar el acceso equitativo, la difusión y la utilización de información, conocimientos y evidencias sobre la salud, destinados a la toma de decisiones.</w:t>
            </w:r>
          </w:p>
          <w:p w:rsidR="00380790" w:rsidRPr="00D624A5" w:rsidRDefault="00380790">
            <w:pPr>
              <w:tabs>
                <w:tab w:val="left" w:pos="1613"/>
              </w:tabs>
              <w:spacing w:after="200"/>
              <w:ind w:left="1613" w:hanging="1260"/>
              <w:jc w:val="both"/>
              <w:rPr>
                <w:iCs/>
                <w:sz w:val="22"/>
                <w:szCs w:val="22"/>
                <w:lang w:val="es-ES_tradnl" w:eastAsia="es-ES"/>
              </w:rPr>
            </w:pPr>
            <w:r w:rsidRPr="009B4D2C">
              <w:rPr>
                <w:bCs/>
                <w:i/>
                <w:iCs/>
                <w:sz w:val="22"/>
                <w:szCs w:val="22"/>
                <w:lang w:val="es-ES_tradnl" w:eastAsia="es-ES"/>
              </w:rPr>
              <w:t>RPR 11.5:</w:t>
            </w:r>
            <w:r w:rsidRPr="009B4D2C">
              <w:rPr>
                <w:bCs/>
                <w:iCs/>
                <w:sz w:val="22"/>
                <w:szCs w:val="22"/>
                <w:lang w:val="es-ES_tradnl" w:eastAsia="es-ES"/>
              </w:rPr>
              <w:tab/>
            </w:r>
            <w:r w:rsidRPr="00D624A5">
              <w:rPr>
                <w:iCs/>
                <w:sz w:val="22"/>
                <w:szCs w:val="22"/>
                <w:lang w:val="es-ES_tradnl" w:eastAsia="es-ES"/>
              </w:rPr>
              <w:t>La OPS será la fuente autorizada y la intermediaria en materia de información de salud pública basada en evidencia y conocimientos, suministrando conocimientos esenciales de salud y material de promoción de la causa a los Estados Miembros, a los socios en la esfera de la salud y a otros interesados directos.</w:t>
            </w:r>
          </w:p>
          <w:p w:rsidR="00380790" w:rsidRPr="00D624A5" w:rsidRDefault="00380790">
            <w:pPr>
              <w:spacing w:after="200"/>
              <w:ind w:left="353"/>
              <w:jc w:val="both"/>
              <w:rPr>
                <w:sz w:val="22"/>
                <w:szCs w:val="22"/>
                <w:lang w:val="es-ES_tradnl" w:eastAsia="es-ES"/>
              </w:rPr>
            </w:pPr>
            <w:r w:rsidRPr="00442B31">
              <w:rPr>
                <w:b/>
                <w:bCs/>
                <w:i/>
                <w:sz w:val="22"/>
                <w:szCs w:val="22"/>
                <w:lang w:val="es-ES_tradnl" w:eastAsia="es-ES"/>
              </w:rPr>
              <w:t>Objetivo Estratégico 13</w:t>
            </w:r>
            <w:r w:rsidRPr="00442B31">
              <w:rPr>
                <w:b/>
                <w:i/>
                <w:sz w:val="22"/>
                <w:szCs w:val="22"/>
                <w:lang w:val="es-ES_tradnl" w:eastAsia="es-ES"/>
              </w:rPr>
              <w:t>:</w:t>
            </w:r>
            <w:r w:rsidRPr="00D624A5">
              <w:rPr>
                <w:b/>
                <w:sz w:val="22"/>
                <w:szCs w:val="22"/>
                <w:lang w:val="es-ES_tradnl" w:eastAsia="es-ES"/>
              </w:rPr>
              <w:t xml:space="preserve"> </w:t>
            </w:r>
            <w:r w:rsidRPr="00D624A5">
              <w:rPr>
                <w:sz w:val="22"/>
                <w:szCs w:val="22"/>
                <w:lang w:val="es-ES_tradnl" w:eastAsia="es-ES"/>
              </w:rPr>
              <w:t>Asegurar la existencia de un personal de salud disponible, competente, productivo y capaz de responder a las necesidades, con miras a mejorar los resultados sanitarios.</w:t>
            </w:r>
          </w:p>
          <w:p w:rsidR="00380790" w:rsidRPr="00D624A5" w:rsidRDefault="00380790">
            <w:pPr>
              <w:tabs>
                <w:tab w:val="left" w:pos="1613"/>
              </w:tabs>
              <w:spacing w:after="200"/>
              <w:ind w:left="1613" w:hanging="1260"/>
              <w:jc w:val="both"/>
              <w:rPr>
                <w:sz w:val="22"/>
                <w:szCs w:val="22"/>
                <w:lang w:val="es-ES_tradnl" w:eastAsia="es-ES"/>
              </w:rPr>
            </w:pPr>
            <w:r w:rsidRPr="009B4D2C">
              <w:rPr>
                <w:bCs/>
                <w:i/>
                <w:iCs/>
                <w:sz w:val="22"/>
                <w:szCs w:val="22"/>
                <w:lang w:val="es-ES_tradnl" w:eastAsia="es-ES"/>
              </w:rPr>
              <w:t>RPR 13.4:</w:t>
            </w:r>
            <w:r w:rsidRPr="00442B31">
              <w:rPr>
                <w:b/>
                <w:bCs/>
                <w:i/>
                <w:iCs/>
                <w:sz w:val="22"/>
                <w:szCs w:val="22"/>
                <w:lang w:val="es-ES_tradnl" w:eastAsia="es-ES"/>
              </w:rPr>
              <w:tab/>
            </w:r>
            <w:r w:rsidRPr="00D624A5">
              <w:rPr>
                <w:sz w:val="22"/>
                <w:szCs w:val="22"/>
                <w:lang w:val="es-ES_tradnl" w:eastAsia="es-ES"/>
              </w:rPr>
              <w:t>Estados Miembros apoyados a través de la cooperación técnica para fortalecer los sistemas y las estrategias de educación a nivel nacional, con miras a desarrollar y mantener las competencias de los trabajadores de la salud centradas en la atención primaria de salud.</w:t>
            </w:r>
          </w:p>
          <w:p w:rsidR="00380790" w:rsidRPr="00D624A5" w:rsidRDefault="00380790" w:rsidP="009D7502">
            <w:pPr>
              <w:spacing w:after="160"/>
              <w:ind w:left="360"/>
              <w:jc w:val="both"/>
              <w:rPr>
                <w:sz w:val="22"/>
                <w:szCs w:val="22"/>
                <w:lang w:val="es-ES_tradnl" w:eastAsia="es-ES"/>
              </w:rPr>
            </w:pPr>
            <w:r w:rsidRPr="00442B31">
              <w:rPr>
                <w:b/>
                <w:bCs/>
                <w:i/>
                <w:sz w:val="22"/>
                <w:szCs w:val="22"/>
                <w:lang w:val="es-ES_tradnl" w:eastAsia="es-ES"/>
              </w:rPr>
              <w:t>Objetivo Estratégico 16</w:t>
            </w:r>
            <w:r w:rsidRPr="00442B31">
              <w:rPr>
                <w:b/>
                <w:i/>
                <w:sz w:val="22"/>
                <w:szCs w:val="22"/>
                <w:lang w:val="es-ES_tradnl" w:eastAsia="es-ES"/>
              </w:rPr>
              <w:t>:</w:t>
            </w:r>
            <w:r w:rsidRPr="00D624A5">
              <w:rPr>
                <w:b/>
                <w:sz w:val="22"/>
                <w:szCs w:val="22"/>
                <w:lang w:val="es-ES_tradnl" w:eastAsia="es-ES"/>
              </w:rPr>
              <w:t xml:space="preserve"> </w:t>
            </w:r>
            <w:r w:rsidRPr="00D624A5">
              <w:rPr>
                <w:sz w:val="22"/>
                <w:szCs w:val="22"/>
                <w:lang w:val="es-ES_tradnl" w:eastAsia="es-ES"/>
              </w:rPr>
              <w:t>Desarrollar y mantener a la OPS/OMS como una organización flexible y discente, facilitándole los medios necesarios para cumplir su mandato de manera más eficiente y eficaz.</w:t>
            </w:r>
          </w:p>
          <w:p w:rsidR="00380790" w:rsidRPr="00D624A5" w:rsidRDefault="00380790">
            <w:pPr>
              <w:tabs>
                <w:tab w:val="left" w:pos="1613"/>
              </w:tabs>
              <w:spacing w:after="200"/>
              <w:ind w:left="1613" w:hanging="1260"/>
              <w:jc w:val="both"/>
              <w:rPr>
                <w:sz w:val="22"/>
                <w:szCs w:val="22"/>
                <w:lang w:val="es-ES_tradnl" w:eastAsia="es-ES"/>
              </w:rPr>
            </w:pPr>
            <w:r w:rsidRPr="009B4D2C">
              <w:rPr>
                <w:bCs/>
                <w:i/>
                <w:iCs/>
                <w:sz w:val="22"/>
                <w:szCs w:val="22"/>
                <w:lang w:val="es-ES_tradnl" w:eastAsia="es-ES"/>
              </w:rPr>
              <w:t>RPR 16.1:</w:t>
            </w:r>
            <w:r w:rsidRPr="00D624A5">
              <w:rPr>
                <w:b/>
                <w:bCs/>
                <w:iCs/>
                <w:sz w:val="22"/>
                <w:szCs w:val="22"/>
                <w:lang w:val="es-ES_tradnl" w:eastAsia="es-ES"/>
              </w:rPr>
              <w:tab/>
            </w:r>
            <w:r w:rsidRPr="00D624A5">
              <w:rPr>
                <w:sz w:val="22"/>
                <w:szCs w:val="22"/>
                <w:lang w:val="es-ES_tradnl" w:eastAsia="es-ES"/>
              </w:rPr>
              <w:t>OPS es una institución orientada a la consecución de resultados cuyo trabajo se rige por planes estratégicos y operativos fundamentados en las lecciones aprendidas, que reflejan las necesidades de los países y las subregiones, se formulan conjuntamente en toda la Organización y se utilizan eficazmente para dar seguimiento al desempeño y evaluar los resultados.</w:t>
            </w:r>
          </w:p>
          <w:p w:rsidR="00380790" w:rsidRPr="00D624A5" w:rsidRDefault="00380790" w:rsidP="009D7502">
            <w:pPr>
              <w:tabs>
                <w:tab w:val="left" w:pos="1613"/>
              </w:tabs>
              <w:spacing w:after="120"/>
              <w:ind w:left="1627" w:hanging="1267"/>
              <w:jc w:val="both"/>
              <w:rPr>
                <w:sz w:val="22"/>
                <w:szCs w:val="22"/>
                <w:lang w:val="es-ES_tradnl" w:eastAsia="es-ES"/>
              </w:rPr>
            </w:pPr>
            <w:r w:rsidRPr="009B4D2C">
              <w:rPr>
                <w:bCs/>
                <w:i/>
                <w:iCs/>
                <w:sz w:val="22"/>
                <w:szCs w:val="22"/>
                <w:lang w:val="es-ES_tradnl" w:eastAsia="es-ES"/>
              </w:rPr>
              <w:t>RPR 16.3:</w:t>
            </w:r>
            <w:r w:rsidRPr="00442B31">
              <w:rPr>
                <w:b/>
                <w:bCs/>
                <w:i/>
                <w:iCs/>
                <w:sz w:val="22"/>
                <w:szCs w:val="22"/>
                <w:lang w:val="es-ES_tradnl" w:eastAsia="es-ES"/>
              </w:rPr>
              <w:tab/>
            </w:r>
            <w:r w:rsidRPr="00D624A5">
              <w:rPr>
                <w:sz w:val="22"/>
                <w:szCs w:val="22"/>
                <w:lang w:val="es-ES_tradnl" w:eastAsia="es-ES"/>
              </w:rPr>
              <w:t xml:space="preserve">Las políticas y prácticas de recursos humanos promueven, </w:t>
            </w:r>
            <w:r w:rsidRPr="00D624A5">
              <w:rPr>
                <w:i/>
                <w:sz w:val="22"/>
                <w:szCs w:val="22"/>
                <w:lang w:val="es-ES_tradnl" w:eastAsia="es-ES"/>
              </w:rPr>
              <w:t>a</w:t>
            </w:r>
            <w:r w:rsidRPr="00D624A5">
              <w:rPr>
                <w:sz w:val="22"/>
                <w:szCs w:val="22"/>
                <w:lang w:val="es-ES_tradnl" w:eastAsia="es-ES"/>
              </w:rPr>
              <w:t xml:space="preserve">) la contratación y retención de personas idóneas con las competencias requeridas por la Organización; </w:t>
            </w:r>
            <w:r w:rsidRPr="00D624A5">
              <w:rPr>
                <w:i/>
                <w:sz w:val="22"/>
                <w:szCs w:val="22"/>
                <w:lang w:val="es-ES_tradnl" w:eastAsia="es-ES"/>
              </w:rPr>
              <w:t>b</w:t>
            </w:r>
            <w:r w:rsidRPr="00D624A5">
              <w:rPr>
                <w:sz w:val="22"/>
                <w:szCs w:val="22"/>
                <w:lang w:val="es-ES_tradnl" w:eastAsia="es-ES"/>
              </w:rPr>
              <w:t>) un desempeño y una gestión de los recursos humanos eficaces y equitativos;</w:t>
            </w:r>
            <w:r w:rsidR="009D7502" w:rsidRPr="00D624A5">
              <w:rPr>
                <w:sz w:val="22"/>
                <w:szCs w:val="22"/>
                <w:lang w:val="es-ES_tradnl" w:eastAsia="es-ES"/>
              </w:rPr>
              <w:t xml:space="preserve"> </w:t>
            </w:r>
            <w:r w:rsidRPr="00D624A5">
              <w:rPr>
                <w:i/>
                <w:sz w:val="22"/>
                <w:szCs w:val="22"/>
                <w:lang w:val="es-ES_tradnl" w:eastAsia="es-ES"/>
              </w:rPr>
              <w:t>c</w:t>
            </w:r>
            <w:r w:rsidRPr="00D624A5">
              <w:rPr>
                <w:sz w:val="22"/>
                <w:szCs w:val="22"/>
                <w:lang w:val="es-ES_tradnl" w:eastAsia="es-ES"/>
              </w:rPr>
              <w:t xml:space="preserve">) fomentar el desarrollo del personal; y </w:t>
            </w:r>
            <w:r w:rsidRPr="00D624A5">
              <w:rPr>
                <w:i/>
                <w:sz w:val="22"/>
                <w:szCs w:val="22"/>
                <w:lang w:val="es-ES_tradnl" w:eastAsia="es-ES"/>
              </w:rPr>
              <w:t>d</w:t>
            </w:r>
            <w:r w:rsidRPr="00D624A5">
              <w:rPr>
                <w:sz w:val="22"/>
                <w:szCs w:val="22"/>
                <w:lang w:val="es-ES_tradnl" w:eastAsia="es-ES"/>
              </w:rPr>
              <w:t>) velar por el comportamiento ético.</w:t>
            </w:r>
          </w:p>
        </w:tc>
      </w:tr>
      <w:tr w:rsidR="00380790" w:rsidRPr="00750675" w:rsidTr="00E3018B">
        <w:trPr>
          <w:cantSplit/>
          <w:jc w:val="center"/>
        </w:trPr>
        <w:tc>
          <w:tcPr>
            <w:tcW w:w="8784" w:type="dxa"/>
            <w:tcMar>
              <w:top w:w="58" w:type="dxa"/>
              <w:left w:w="115" w:type="dxa"/>
              <w:right w:w="115" w:type="dxa"/>
            </w:tcMar>
          </w:tcPr>
          <w:p w:rsidR="00380790" w:rsidRPr="00D624A5" w:rsidRDefault="00380790">
            <w:pPr>
              <w:spacing w:after="120"/>
              <w:ind w:left="360" w:hanging="360"/>
              <w:jc w:val="both"/>
              <w:rPr>
                <w:b/>
                <w:sz w:val="22"/>
                <w:szCs w:val="22"/>
                <w:lang w:val="es-ES_tradnl"/>
              </w:rPr>
            </w:pPr>
            <w:r w:rsidRPr="00D624A5">
              <w:rPr>
                <w:b/>
                <w:sz w:val="22"/>
                <w:szCs w:val="22"/>
                <w:lang w:val="es-ES_tradnl"/>
              </w:rPr>
              <w:lastRenderedPageBreak/>
              <w:t>7.</w:t>
            </w:r>
            <w:r w:rsidRPr="00D624A5">
              <w:rPr>
                <w:b/>
                <w:sz w:val="22"/>
                <w:szCs w:val="22"/>
                <w:lang w:val="es-ES_tradnl"/>
              </w:rPr>
              <w:tab/>
              <w:t xml:space="preserve">Prácticas óptimas en esta área y ejemplos de países de la Región de las Américas: </w:t>
            </w:r>
          </w:p>
          <w:p w:rsidR="00380790" w:rsidRPr="00D624A5" w:rsidRDefault="00380790" w:rsidP="009D7502">
            <w:pPr>
              <w:numPr>
                <w:ilvl w:val="0"/>
                <w:numId w:val="9"/>
              </w:numPr>
              <w:spacing w:after="100"/>
              <w:jc w:val="both"/>
              <w:rPr>
                <w:sz w:val="22"/>
                <w:szCs w:val="22"/>
                <w:lang w:val="es-ES_tradnl"/>
              </w:rPr>
            </w:pPr>
            <w:r w:rsidRPr="00D624A5">
              <w:rPr>
                <w:sz w:val="22"/>
                <w:szCs w:val="22"/>
                <w:lang w:val="es-ES_tradnl"/>
              </w:rPr>
              <w:t>El 65% de los países ofrece información sobre promoción y prevención de la salud, además de que pueden determinar dónde se encuentran los servicios de salud en un 41% de los Estados Miembros encuestados.</w:t>
            </w:r>
          </w:p>
          <w:p w:rsidR="00380790" w:rsidRPr="00D624A5" w:rsidRDefault="00380790" w:rsidP="009D7502">
            <w:pPr>
              <w:numPr>
                <w:ilvl w:val="0"/>
                <w:numId w:val="9"/>
              </w:numPr>
              <w:jc w:val="both"/>
              <w:rPr>
                <w:sz w:val="22"/>
                <w:szCs w:val="22"/>
                <w:lang w:val="es-ES_tradnl" w:eastAsia="es-ES"/>
              </w:rPr>
            </w:pPr>
            <w:r w:rsidRPr="00D624A5">
              <w:rPr>
                <w:sz w:val="22"/>
                <w:szCs w:val="22"/>
                <w:lang w:val="es-ES_tradnl"/>
              </w:rPr>
              <w:t>La mayoría de los países utiliza plataformas de colaboración virtual para el cumplimiento de sus objetivos.</w:t>
            </w:r>
            <w:r w:rsidR="009D7502" w:rsidRPr="00D624A5">
              <w:rPr>
                <w:sz w:val="22"/>
                <w:szCs w:val="22"/>
                <w:lang w:val="es-ES_tradnl" w:eastAsia="es-ES"/>
              </w:rPr>
              <w:t xml:space="preserve"> </w:t>
            </w:r>
          </w:p>
        </w:tc>
      </w:tr>
      <w:tr w:rsidR="00380790" w:rsidRPr="00750675" w:rsidTr="009D7502">
        <w:trPr>
          <w:jc w:val="center"/>
        </w:trPr>
        <w:tc>
          <w:tcPr>
            <w:tcW w:w="8784" w:type="dxa"/>
            <w:tcMar>
              <w:top w:w="72" w:type="dxa"/>
              <w:left w:w="115" w:type="dxa"/>
              <w:right w:w="115" w:type="dxa"/>
            </w:tcMar>
          </w:tcPr>
          <w:p w:rsidR="00380790" w:rsidRPr="00D624A5" w:rsidRDefault="00380790">
            <w:pPr>
              <w:spacing w:after="200"/>
              <w:ind w:left="360" w:hanging="360"/>
              <w:jc w:val="both"/>
              <w:rPr>
                <w:b/>
                <w:sz w:val="22"/>
                <w:szCs w:val="22"/>
                <w:lang w:val="es-ES_tradnl"/>
              </w:rPr>
            </w:pPr>
            <w:r w:rsidRPr="00D624A5">
              <w:rPr>
                <w:b/>
                <w:sz w:val="22"/>
                <w:szCs w:val="22"/>
                <w:lang w:val="es-ES_tradnl"/>
              </w:rPr>
              <w:t>8.</w:t>
            </w:r>
            <w:r w:rsidRPr="00D624A5">
              <w:rPr>
                <w:b/>
                <w:sz w:val="22"/>
                <w:szCs w:val="22"/>
                <w:lang w:val="es-ES_tradnl"/>
              </w:rPr>
              <w:tab/>
              <w:t xml:space="preserve">Repercusiones financieras del punto del orden del día:  </w:t>
            </w:r>
          </w:p>
          <w:p w:rsidR="00380790" w:rsidRPr="00D624A5" w:rsidRDefault="00380790">
            <w:pPr>
              <w:spacing w:after="200"/>
              <w:ind w:left="353"/>
              <w:jc w:val="both"/>
              <w:rPr>
                <w:sz w:val="22"/>
                <w:szCs w:val="22"/>
                <w:lang w:val="es-ES_tradnl" w:eastAsia="es-ES"/>
              </w:rPr>
            </w:pPr>
            <w:r w:rsidRPr="00D624A5">
              <w:rPr>
                <w:sz w:val="22"/>
                <w:szCs w:val="22"/>
                <w:lang w:val="es-ES_tradnl" w:eastAsia="es-ES"/>
              </w:rPr>
              <w:t>La Organización Panamericana de la Salud necesitará de la colaboración de otros organismos de las Naciones Unidas y de otras instituciones interesadas para poder ejecutar el Plan.</w:t>
            </w:r>
          </w:p>
          <w:p w:rsidR="00380790" w:rsidRPr="00D624A5" w:rsidRDefault="00380790">
            <w:pPr>
              <w:spacing w:after="200"/>
              <w:ind w:left="353"/>
              <w:jc w:val="both"/>
              <w:rPr>
                <w:sz w:val="22"/>
                <w:szCs w:val="22"/>
                <w:lang w:val="es-ES_tradnl" w:eastAsia="es-ES"/>
              </w:rPr>
            </w:pPr>
            <w:r w:rsidRPr="00D624A5">
              <w:rPr>
                <w:sz w:val="22"/>
                <w:szCs w:val="22"/>
                <w:lang w:val="es-ES_tradnl" w:eastAsia="es-ES"/>
              </w:rPr>
              <w:t>Durante el periodo 2013-2018, el gasto estimado de la ejecución del Plan de acción es de US$ </w:t>
            </w:r>
            <w:r w:rsidR="00470210" w:rsidRPr="00D624A5">
              <w:rPr>
                <w:sz w:val="22"/>
                <w:szCs w:val="22"/>
                <w:lang w:val="es-ES_tradnl" w:eastAsia="es-ES"/>
              </w:rPr>
              <w:t>550</w:t>
            </w:r>
            <w:r w:rsidRPr="00D624A5">
              <w:rPr>
                <w:sz w:val="22"/>
                <w:szCs w:val="22"/>
                <w:lang w:val="es-ES_tradnl" w:eastAsia="es-ES"/>
              </w:rPr>
              <w:t>.000 por año (incrementándose esta cantidad en $150.000 en el tercer y último año para realizar tareas de evaluación). Este coste incluye: contratación de personal adicional y ejecución de actividades a nivel regional, subregional y nacional (cooperación técnica, estudios, talleres, reuniones, campañas, seguimiento y evaluación, entre otros).</w:t>
            </w:r>
          </w:p>
          <w:p w:rsidR="00380790" w:rsidRPr="00D624A5" w:rsidRDefault="00380790">
            <w:pPr>
              <w:spacing w:after="200"/>
              <w:ind w:left="353"/>
              <w:jc w:val="both"/>
              <w:rPr>
                <w:color w:val="000000"/>
                <w:sz w:val="22"/>
                <w:szCs w:val="22"/>
                <w:lang w:val="es-ES_tradnl" w:eastAsia="es-ES"/>
              </w:rPr>
            </w:pPr>
            <w:r w:rsidRPr="00D624A5">
              <w:rPr>
                <w:color w:val="000000"/>
                <w:sz w:val="22"/>
                <w:szCs w:val="22"/>
                <w:lang w:val="es-ES_tradnl" w:eastAsia="es-ES"/>
              </w:rPr>
              <w:t xml:space="preserve">Debe tenerse en cuenta que la </w:t>
            </w:r>
            <w:r w:rsidR="009D7502" w:rsidRPr="00D624A5">
              <w:rPr>
                <w:color w:val="000000"/>
                <w:sz w:val="22"/>
                <w:szCs w:val="22"/>
                <w:lang w:val="es-ES_tradnl" w:eastAsia="es-ES"/>
              </w:rPr>
              <w:t>ejecución</w:t>
            </w:r>
            <w:r w:rsidRPr="00D624A5">
              <w:rPr>
                <w:color w:val="000000"/>
                <w:sz w:val="22"/>
                <w:szCs w:val="22"/>
                <w:lang w:val="es-ES_tradnl" w:eastAsia="es-ES"/>
              </w:rPr>
              <w:t xml:space="preserve"> del Plan sobre gestión del conocimiento y comunicaciones producirá un ahorro sustancial en los costes asociados a la prestación, organización y evaluación de los servicios de salud.</w:t>
            </w:r>
          </w:p>
        </w:tc>
      </w:tr>
    </w:tbl>
    <w:p w:rsidR="00380790" w:rsidRPr="00943B8E" w:rsidRDefault="00380790">
      <w:pPr>
        <w:tabs>
          <w:tab w:val="center" w:pos="4320"/>
          <w:tab w:val="right" w:pos="9360"/>
        </w:tabs>
        <w:rPr>
          <w:sz w:val="24"/>
          <w:lang w:val="es-ES_tradnl"/>
        </w:rPr>
      </w:pPr>
    </w:p>
    <w:p w:rsidR="00380790" w:rsidRPr="00943B8E" w:rsidRDefault="00380790">
      <w:pPr>
        <w:rPr>
          <w:sz w:val="24"/>
          <w:lang w:val="es-ES" w:eastAsia="es-US"/>
        </w:rPr>
      </w:pPr>
    </w:p>
    <w:p w:rsidR="00380790" w:rsidRDefault="00413694" w:rsidP="00413694">
      <w:pPr>
        <w:jc w:val="center"/>
        <w:rPr>
          <w:sz w:val="24"/>
          <w:szCs w:val="24"/>
          <w:lang w:val="es-ES"/>
        </w:rPr>
      </w:pPr>
      <w:r>
        <w:rPr>
          <w:sz w:val="24"/>
          <w:szCs w:val="24"/>
          <w:lang w:val="es-ES"/>
        </w:rPr>
        <w:t>-</w:t>
      </w:r>
      <w:r>
        <w:rPr>
          <w:color w:val="000000"/>
          <w:lang w:val="es-ES_tradnl" w:eastAsia="es-ES"/>
        </w:rPr>
        <w:t xml:space="preserve"> </w:t>
      </w:r>
      <w:r>
        <w:rPr>
          <w:sz w:val="24"/>
          <w:szCs w:val="24"/>
          <w:lang w:val="es-ES"/>
        </w:rPr>
        <w:t>-</w:t>
      </w:r>
      <w:r>
        <w:rPr>
          <w:color w:val="000000"/>
          <w:lang w:val="es-ES_tradnl" w:eastAsia="es-ES"/>
        </w:rPr>
        <w:t xml:space="preserve"> </w:t>
      </w:r>
      <w:r>
        <w:rPr>
          <w:sz w:val="24"/>
          <w:szCs w:val="24"/>
          <w:lang w:val="es-ES"/>
        </w:rPr>
        <w:t>-</w:t>
      </w:r>
    </w:p>
    <w:sectPr w:rsidR="00380790" w:rsidSect="00D85D4C">
      <w:headerReference w:type="even" r:id="rId57"/>
      <w:headerReference w:type="default" r:id="rId58"/>
      <w:type w:val="continuous"/>
      <w:pgSz w:w="12240" w:h="15840" w:code="1"/>
      <w:pgMar w:top="1440" w:right="1800" w:bottom="1296" w:left="1800" w:header="1440" w:footer="720" w:gutter="0"/>
      <w:pgNumType w:fmt="numberInDash"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A4" w:rsidRDefault="006C01A4">
      <w:r>
        <w:separator/>
      </w:r>
    </w:p>
  </w:endnote>
  <w:endnote w:type="continuationSeparator" w:id="0">
    <w:p w:rsidR="006C01A4" w:rsidRDefault="006C01A4">
      <w:r>
        <w:continuationSeparator/>
      </w:r>
    </w:p>
  </w:endnote>
  <w:endnote w:type="continuationNotice" w:id="1">
    <w:p w:rsidR="006C01A4" w:rsidRDefault="006C0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3" w:rsidRPr="00052EE7" w:rsidRDefault="00625C03" w:rsidP="00052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A4" w:rsidRDefault="006C01A4">
      <w:r>
        <w:separator/>
      </w:r>
    </w:p>
  </w:footnote>
  <w:footnote w:type="continuationSeparator" w:id="0">
    <w:p w:rsidR="006C01A4" w:rsidRDefault="006C01A4">
      <w:r>
        <w:continuationSeparator/>
      </w:r>
    </w:p>
  </w:footnote>
  <w:footnote w:type="continuationNotice" w:id="1">
    <w:p w:rsidR="006C01A4" w:rsidRDefault="006C01A4"/>
  </w:footnote>
  <w:footnote w:id="2">
    <w:p w:rsidR="00625C03" w:rsidRPr="00DF4501" w:rsidRDefault="00625C03" w:rsidP="00C15A2A">
      <w:pPr>
        <w:pStyle w:val="FootnoteText"/>
        <w:ind w:left="187" w:hanging="187"/>
        <w:rPr>
          <w:lang w:val="es-ES"/>
        </w:rPr>
      </w:pPr>
      <w:r w:rsidRPr="007A1C55">
        <w:rPr>
          <w:rStyle w:val="FootnoteReference"/>
          <w:rFonts w:ascii="Times New Roman" w:hAnsi="Times New Roman"/>
          <w:sz w:val="20"/>
        </w:rPr>
        <w:footnoteRef/>
      </w:r>
      <w:r>
        <w:rPr>
          <w:sz w:val="20"/>
          <w:lang w:val="es-ES_tradnl"/>
        </w:rPr>
        <w:tab/>
        <w:t>Oficina Sanitaria Panamericana, Oficina de Gestión del Conocimiento y Comunicaciones (OSP/KMC)</w:t>
      </w:r>
    </w:p>
  </w:footnote>
  <w:footnote w:id="3">
    <w:p w:rsidR="00625C03" w:rsidRPr="00DF4501" w:rsidRDefault="00625C03" w:rsidP="00052EE7">
      <w:pPr>
        <w:pStyle w:val="FootnoteText"/>
        <w:tabs>
          <w:tab w:val="left" w:pos="180"/>
        </w:tabs>
        <w:ind w:left="270" w:hanging="270"/>
        <w:rPr>
          <w:lang w:val="es-ES"/>
        </w:rPr>
      </w:pPr>
      <w:r>
        <w:rPr>
          <w:rStyle w:val="FootnoteReference"/>
          <w:rFonts w:ascii="Times New Roman" w:hAnsi="Times New Roman"/>
          <w:sz w:val="20"/>
        </w:rPr>
        <w:footnoteRef/>
      </w:r>
      <w:r>
        <w:rPr>
          <w:rFonts w:ascii="Times New Roman" w:hAnsi="Times New Roman"/>
          <w:sz w:val="20"/>
          <w:lang w:val="es-ES"/>
        </w:rPr>
        <w:tab/>
      </w:r>
      <w:r w:rsidRPr="00052EE7">
        <w:rPr>
          <w:rFonts w:ascii="Times New Roman" w:hAnsi="Times New Roman"/>
          <w:bCs/>
          <w:sz w:val="20"/>
          <w:lang w:val="es-ES_tradnl" w:eastAsia="es-ES"/>
        </w:rPr>
        <w:t>La línea de base se definirá durante el primer año de ejecución del Plan de acción.</w:t>
      </w:r>
    </w:p>
  </w:footnote>
  <w:footnote w:id="4">
    <w:p w:rsidR="00625C03" w:rsidRPr="00DF4501" w:rsidRDefault="00625C03" w:rsidP="00052EE7">
      <w:pPr>
        <w:pStyle w:val="FootnoteText"/>
        <w:tabs>
          <w:tab w:val="left" w:pos="270"/>
        </w:tabs>
        <w:ind w:left="187" w:hanging="187"/>
        <w:jc w:val="both"/>
        <w:rPr>
          <w:lang w:val="es-ES"/>
        </w:rPr>
      </w:pPr>
      <w:r>
        <w:rPr>
          <w:rStyle w:val="FootnoteReference"/>
          <w:rFonts w:ascii="Times New Roman" w:hAnsi="Times New Roman"/>
          <w:sz w:val="20"/>
        </w:rPr>
        <w:footnoteRef/>
      </w:r>
      <w:r>
        <w:rPr>
          <w:rFonts w:ascii="Times New Roman" w:hAnsi="Times New Roman"/>
          <w:sz w:val="20"/>
          <w:lang w:val="es-ES"/>
        </w:rPr>
        <w:tab/>
      </w:r>
      <w:r>
        <w:rPr>
          <w:rFonts w:ascii="Times New Roman" w:hAnsi="Times New Roman"/>
          <w:sz w:val="20"/>
          <w:lang w:val="es-ES_tradnl"/>
        </w:rPr>
        <w:t xml:space="preserve">La </w:t>
      </w:r>
      <w:r w:rsidRPr="00052EE7">
        <w:rPr>
          <w:rFonts w:ascii="Times New Roman" w:hAnsi="Times New Roman"/>
          <w:bCs/>
          <w:sz w:val="20"/>
          <w:lang w:val="es-ES_tradnl" w:eastAsia="es-ES"/>
        </w:rPr>
        <w:t>meta</w:t>
      </w:r>
      <w:r>
        <w:rPr>
          <w:rFonts w:ascii="Times New Roman" w:hAnsi="Times New Roman"/>
          <w:sz w:val="20"/>
          <w:lang w:val="es-ES_tradnl"/>
        </w:rPr>
        <w:t xml:space="preserve"> se ajustará, de ser necesario, después de definir la línea de base.</w:t>
      </w:r>
    </w:p>
  </w:footnote>
  <w:footnote w:id="5">
    <w:p w:rsidR="00625C03" w:rsidRPr="00DF4501" w:rsidRDefault="00625C03" w:rsidP="00052EE7">
      <w:pPr>
        <w:pStyle w:val="FootnoteText"/>
        <w:tabs>
          <w:tab w:val="left" w:pos="270"/>
        </w:tabs>
        <w:ind w:left="187" w:hanging="187"/>
        <w:jc w:val="both"/>
        <w:rPr>
          <w:lang w:val="es-ES"/>
        </w:rPr>
      </w:pPr>
      <w:r>
        <w:rPr>
          <w:rStyle w:val="FootnoteReference"/>
          <w:rFonts w:ascii="Times New Roman" w:hAnsi="Times New Roman"/>
          <w:sz w:val="20"/>
        </w:rPr>
        <w:footnoteRef/>
      </w:r>
      <w:r>
        <w:rPr>
          <w:rFonts w:ascii="Times New Roman" w:hAnsi="Times New Roman"/>
          <w:bCs/>
          <w:sz w:val="20"/>
          <w:lang w:val="es-ES_tradnl" w:eastAsia="es-ES"/>
        </w:rPr>
        <w:tab/>
      </w:r>
      <w:r w:rsidRPr="00052EE7">
        <w:rPr>
          <w:rFonts w:ascii="Times New Roman" w:hAnsi="Times New Roman"/>
          <w:bCs/>
          <w:sz w:val="20"/>
          <w:lang w:val="es-ES_tradnl" w:eastAsia="es-ES"/>
        </w:rPr>
        <w:t>Objetivo Estratégico 5: Reducir las consecuencias para la salud de las emergencias, desastres, crisis y conflictos, y minimizar su impacto social y económico.</w:t>
      </w:r>
    </w:p>
  </w:footnote>
  <w:footnote w:id="6">
    <w:p w:rsidR="00625C03" w:rsidRPr="00DF4501" w:rsidRDefault="00625C03" w:rsidP="00052EE7">
      <w:pPr>
        <w:pStyle w:val="FootnoteText"/>
        <w:tabs>
          <w:tab w:val="left" w:pos="270"/>
        </w:tabs>
        <w:ind w:left="187" w:hanging="187"/>
        <w:jc w:val="both"/>
        <w:rPr>
          <w:lang w:val="es-ES"/>
        </w:rPr>
      </w:pPr>
      <w:r>
        <w:rPr>
          <w:rStyle w:val="FootnoteReference"/>
          <w:rFonts w:ascii="Times New Roman" w:hAnsi="Times New Roman"/>
          <w:sz w:val="20"/>
        </w:rPr>
        <w:footnoteRef/>
      </w:r>
      <w:r>
        <w:rPr>
          <w:rFonts w:ascii="Times New Roman" w:hAnsi="Times New Roman"/>
          <w:bCs/>
          <w:sz w:val="20"/>
          <w:lang w:val="es-ES_tradnl" w:eastAsia="es-ES"/>
        </w:rPr>
        <w:tab/>
      </w:r>
      <w:r w:rsidRPr="00052EE7">
        <w:rPr>
          <w:rFonts w:ascii="Times New Roman" w:hAnsi="Times New Roman"/>
          <w:bCs/>
          <w:sz w:val="20"/>
          <w:lang w:val="es-ES_tradnl" w:eastAsia="es-ES"/>
        </w:rPr>
        <w:t>Objetivo</w:t>
      </w:r>
      <w:r w:rsidRPr="00C15A2A">
        <w:rPr>
          <w:rFonts w:ascii="Times New Roman" w:hAnsi="Times New Roman"/>
          <w:sz w:val="20"/>
          <w:lang w:val="es-ES_tradnl"/>
        </w:rPr>
        <w:t xml:space="preserve"> Estratégico 11: Fortalecer el liderazgo, la gobernanza y la evidencia científica de los sistemas de salud.</w:t>
      </w:r>
    </w:p>
  </w:footnote>
  <w:footnote w:id="7">
    <w:p w:rsidR="00625C03" w:rsidRPr="00DF4501" w:rsidRDefault="00625C03" w:rsidP="00C15A2A">
      <w:pPr>
        <w:pStyle w:val="FootnoteText"/>
        <w:tabs>
          <w:tab w:val="left" w:pos="270"/>
        </w:tabs>
        <w:ind w:left="187" w:hanging="187"/>
        <w:jc w:val="both"/>
        <w:rPr>
          <w:lang w:val="es-ES"/>
        </w:rPr>
      </w:pPr>
      <w:r>
        <w:rPr>
          <w:rStyle w:val="FootnoteReference"/>
          <w:rFonts w:ascii="Times New Roman" w:hAnsi="Times New Roman"/>
          <w:sz w:val="20"/>
        </w:rPr>
        <w:footnoteRef/>
      </w:r>
      <w:r>
        <w:rPr>
          <w:rFonts w:ascii="Times New Roman" w:hAnsi="Times New Roman"/>
          <w:bCs/>
          <w:sz w:val="20"/>
          <w:lang w:val="es-ES_tradnl" w:eastAsia="es-ES"/>
        </w:rPr>
        <w:tab/>
        <w:t xml:space="preserve">Objetivo Estratégico 13: </w:t>
      </w:r>
      <w:r>
        <w:rPr>
          <w:rFonts w:ascii="Times New Roman" w:hAnsi="Times New Roman"/>
          <w:sz w:val="20"/>
          <w:lang w:val="es-ES_tradnl" w:eastAsia="es-ES"/>
        </w:rPr>
        <w:t>Asegurar la existencia de un personal de salud disponible, competente, productivo y capaz de responder a las necesidades, con miras a mejorar los resultados sanitarios.</w:t>
      </w:r>
    </w:p>
  </w:footnote>
  <w:footnote w:id="8">
    <w:p w:rsidR="00625C03" w:rsidRPr="00DF4501" w:rsidRDefault="00625C03" w:rsidP="00052EE7">
      <w:pPr>
        <w:pStyle w:val="FootnoteText"/>
        <w:tabs>
          <w:tab w:val="left" w:pos="270"/>
        </w:tabs>
        <w:ind w:left="187" w:hanging="187"/>
        <w:jc w:val="both"/>
        <w:rPr>
          <w:lang w:val="es-ES"/>
        </w:rPr>
      </w:pPr>
      <w:r>
        <w:rPr>
          <w:rStyle w:val="FootnoteReference"/>
          <w:rFonts w:ascii="Times New Roman" w:hAnsi="Times New Roman"/>
          <w:sz w:val="20"/>
        </w:rPr>
        <w:footnoteRef/>
      </w:r>
      <w:r>
        <w:rPr>
          <w:rFonts w:ascii="Times New Roman" w:hAnsi="Times New Roman"/>
          <w:bCs/>
          <w:sz w:val="20"/>
          <w:lang w:val="es-ES_tradnl" w:eastAsia="es-ES"/>
        </w:rPr>
        <w:tab/>
        <w:t xml:space="preserve">Objetivo Estratégico 16: </w:t>
      </w:r>
      <w:r>
        <w:rPr>
          <w:rFonts w:ascii="Times New Roman" w:hAnsi="Times New Roman"/>
          <w:sz w:val="20"/>
          <w:lang w:val="es-ES_tradnl" w:eastAsia="es-ES"/>
        </w:rPr>
        <w:t>Desarrollar y mantener a la OPS/OMS como una organización flexible y discente, facilitándole los medios necesarios para cumplir su mandato de manera más eficiente y eficaz.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3" w:rsidRDefault="00625C03">
    <w:pPr>
      <w:pStyle w:val="List2"/>
      <w:tabs>
        <w:tab w:val="left" w:pos="432"/>
        <w:tab w:val="left" w:pos="990"/>
        <w:tab w:val="right" w:pos="8496"/>
      </w:tabs>
      <w:ind w:left="990" w:hanging="990"/>
    </w:pPr>
    <w:r w:rsidRPr="00C0636B">
      <w:rPr>
        <w:szCs w:val="24"/>
        <w:lang w:val="es-ES" w:eastAsia="ja-JP"/>
      </w:rPr>
      <w:t>CSP28/</w:t>
    </w:r>
    <w:r w:rsidR="004B5DE3">
      <w:rPr>
        <w:szCs w:val="24"/>
        <w:lang w:val="es-ES" w:eastAsia="ja-JP"/>
      </w:rPr>
      <w:t>12</w:t>
    </w:r>
    <w:r w:rsidRPr="00C0636B">
      <w:rPr>
        <w:szCs w:val="24"/>
        <w:lang w:val="es-ES" w:eastAsia="ja-JP"/>
      </w:rPr>
      <w:t xml:space="preserve"> </w:t>
    </w:r>
    <w:r w:rsidRPr="00C0636B">
      <w:t>(</w:t>
    </w:r>
    <w:r>
      <w:t>Esp.)</w:t>
    </w:r>
  </w:p>
  <w:p w:rsidR="00625C03" w:rsidRDefault="00625C03">
    <w:pPr>
      <w:pStyle w:val="List2"/>
      <w:tabs>
        <w:tab w:val="left" w:pos="432"/>
        <w:tab w:val="left" w:pos="990"/>
        <w:tab w:val="right" w:pos="8496"/>
      </w:tabs>
      <w:ind w:left="990" w:hanging="990"/>
    </w:pPr>
    <w:r>
      <w:t xml:space="preserve">Página </w:t>
    </w:r>
    <w:r w:rsidR="00F8102B">
      <w:rPr>
        <w:rStyle w:val="PageNumber"/>
        <w:lang w:val="en-US"/>
      </w:rPr>
      <w:fldChar w:fldCharType="begin"/>
    </w:r>
    <w:r>
      <w:rPr>
        <w:rStyle w:val="PageNumber"/>
        <w:lang w:val="en-US"/>
      </w:rPr>
      <w:instrText xml:space="preserve"> PAGE </w:instrText>
    </w:r>
    <w:r w:rsidR="00F8102B">
      <w:rPr>
        <w:rStyle w:val="PageNumber"/>
        <w:lang w:val="en-US"/>
      </w:rPr>
      <w:fldChar w:fldCharType="separate"/>
    </w:r>
    <w:r w:rsidR="00750675">
      <w:rPr>
        <w:rStyle w:val="PageNumber"/>
        <w:noProof/>
        <w:lang w:val="en-US"/>
      </w:rPr>
      <w:t>2</w:t>
    </w:r>
    <w:r w:rsidR="00F8102B">
      <w:rPr>
        <w:rStyle w:val="PageNumber"/>
        <w:lang w:val="en-US"/>
      </w:rPr>
      <w:fldChar w:fldCharType="end"/>
    </w:r>
  </w:p>
  <w:p w:rsidR="00625C03" w:rsidRDefault="00625C03">
    <w:pPr>
      <w:pStyle w:val="List2"/>
      <w:tabs>
        <w:tab w:val="left" w:pos="432"/>
        <w:tab w:val="left" w:pos="990"/>
        <w:tab w:val="right" w:pos="8496"/>
      </w:tabs>
      <w:ind w:left="990" w:hanging="990"/>
    </w:pPr>
  </w:p>
  <w:p w:rsidR="00625C03" w:rsidRDefault="00625C03">
    <w:pPr>
      <w:pStyle w:val="List2"/>
      <w:tabs>
        <w:tab w:val="left" w:pos="432"/>
        <w:tab w:val="left" w:pos="990"/>
        <w:tab w:val="right" w:pos="8496"/>
      </w:tabs>
      <w:ind w:left="990" w:hanging="99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3" w:rsidRPr="00554AA4" w:rsidRDefault="00625C03">
    <w:pPr>
      <w:pStyle w:val="Header"/>
      <w:rPr>
        <w:sz w:val="16"/>
        <w:szCs w:val="18"/>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3" w:rsidRDefault="00625C03">
    <w:pPr>
      <w:pStyle w:val="Header"/>
      <w:rPr>
        <w:lang w:val="fr-FR"/>
      </w:rPr>
    </w:pPr>
    <w:r w:rsidRPr="008F3597">
      <w:rPr>
        <w:szCs w:val="24"/>
        <w:lang w:val="es-ES" w:eastAsia="ja-JP"/>
      </w:rPr>
      <w:t>CSP28/</w:t>
    </w:r>
    <w:r w:rsidR="004B5DE3">
      <w:rPr>
        <w:szCs w:val="24"/>
        <w:lang w:val="es-ES" w:eastAsia="ja-JP"/>
      </w:rPr>
      <w:t>12</w:t>
    </w:r>
    <w:r w:rsidRPr="008F3597">
      <w:rPr>
        <w:szCs w:val="24"/>
        <w:lang w:val="es-ES" w:eastAsia="ja-JP"/>
      </w:rPr>
      <w:t xml:space="preserve"> </w:t>
    </w:r>
    <w:r w:rsidRPr="008F3597">
      <w:rPr>
        <w:lang w:val="fr-FR"/>
      </w:rPr>
      <w:t xml:space="preserve"> (Esp.)</w:t>
    </w:r>
  </w:p>
  <w:p w:rsidR="00625C03" w:rsidRPr="007A1C55" w:rsidRDefault="00625C03">
    <w:pPr>
      <w:pStyle w:val="Header"/>
      <w:rPr>
        <w:lang w:val="fr-FR"/>
      </w:rPr>
    </w:pPr>
    <w:proofErr w:type="spellStart"/>
    <w:r>
      <w:rPr>
        <w:lang w:val="fr-FR"/>
      </w:rPr>
      <w:t>Anexo</w:t>
    </w:r>
    <w:proofErr w:type="spellEnd"/>
    <w:r>
      <w:rPr>
        <w:lang w:val="fr-FR"/>
      </w:rPr>
      <w:t xml:space="preserve"> C</w:t>
    </w:r>
    <w:r>
      <w:rPr>
        <w:lang w:val="fr-FR"/>
      </w:rPr>
      <w:tab/>
    </w:r>
    <w:r w:rsidR="00F8102B">
      <w:fldChar w:fldCharType="begin"/>
    </w:r>
    <w:r w:rsidRPr="007A1C55">
      <w:rPr>
        <w:lang w:val="fr-FR"/>
      </w:rPr>
      <w:instrText xml:space="preserve"> PAGE   \* MERGEFORMAT </w:instrText>
    </w:r>
    <w:r w:rsidR="00F8102B">
      <w:fldChar w:fldCharType="separate"/>
    </w:r>
    <w:r w:rsidR="00750675">
      <w:rPr>
        <w:noProof/>
        <w:lang w:val="fr-FR"/>
      </w:rPr>
      <w:t>- 2 -</w:t>
    </w:r>
    <w:r w:rsidR="00F8102B">
      <w:rPr>
        <w:noProof/>
      </w:rPr>
      <w:fldChar w:fldCharType="end"/>
    </w:r>
  </w:p>
  <w:p w:rsidR="00625C03" w:rsidRDefault="00625C03">
    <w:pPr>
      <w:pStyle w:val="Header"/>
      <w:rPr>
        <w:lang w:val="fr-FR"/>
      </w:rPr>
    </w:pPr>
  </w:p>
  <w:p w:rsidR="00625C03" w:rsidRDefault="00625C03">
    <w:pPr>
      <w:pStyle w:val="Header"/>
      <w:rPr>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3" w:rsidRDefault="00625C03">
    <w:pPr>
      <w:pStyle w:val="Header"/>
      <w:jc w:val="right"/>
      <w:rPr>
        <w:lang w:val="fr-FR"/>
      </w:rPr>
    </w:pPr>
    <w:r w:rsidRPr="008F3597">
      <w:rPr>
        <w:szCs w:val="24"/>
        <w:lang w:val="es-ES" w:eastAsia="ja-JP"/>
      </w:rPr>
      <w:t>CSP28/</w:t>
    </w:r>
    <w:r w:rsidR="004B5DE3">
      <w:rPr>
        <w:szCs w:val="24"/>
        <w:lang w:val="es-ES" w:eastAsia="ja-JP"/>
      </w:rPr>
      <w:t>12</w:t>
    </w:r>
    <w:r w:rsidRPr="008F3597">
      <w:rPr>
        <w:szCs w:val="24"/>
        <w:lang w:val="es-ES" w:eastAsia="ja-JP"/>
      </w:rPr>
      <w:t xml:space="preserve"> </w:t>
    </w:r>
    <w:r w:rsidRPr="008F3597">
      <w:rPr>
        <w:lang w:val="fr-FR"/>
      </w:rPr>
      <w:t xml:space="preserve"> (Esp.)</w:t>
    </w:r>
  </w:p>
  <w:p w:rsidR="00625C03" w:rsidRDefault="00625C03">
    <w:pPr>
      <w:pStyle w:val="Header"/>
      <w:rPr>
        <w:lang w:val="fr-FR"/>
      </w:rPr>
    </w:pPr>
    <w:r>
      <w:rPr>
        <w:lang w:val="fr-FR"/>
      </w:rPr>
      <w:tab/>
    </w:r>
    <w:r w:rsidR="00F8102B">
      <w:rPr>
        <w:lang w:val="fr-FR"/>
      </w:rPr>
      <w:fldChar w:fldCharType="begin"/>
    </w:r>
    <w:r>
      <w:rPr>
        <w:lang w:val="fr-FR"/>
      </w:rPr>
      <w:instrText xml:space="preserve"> PAGE   \* MERGEFORMAT </w:instrText>
    </w:r>
    <w:r w:rsidR="00F8102B">
      <w:rPr>
        <w:lang w:val="fr-FR"/>
      </w:rPr>
      <w:fldChar w:fldCharType="separate"/>
    </w:r>
    <w:r w:rsidR="00750675">
      <w:rPr>
        <w:noProof/>
        <w:lang w:val="fr-FR"/>
      </w:rPr>
      <w:t>- 3 -</w:t>
    </w:r>
    <w:r w:rsidR="00F8102B">
      <w:rPr>
        <w:lang w:val="fr-FR"/>
      </w:rPr>
      <w:fldChar w:fldCharType="end"/>
    </w:r>
    <w:r>
      <w:rPr>
        <w:lang w:val="fr-FR"/>
      </w:rPr>
      <w:tab/>
    </w:r>
    <w:proofErr w:type="spellStart"/>
    <w:r>
      <w:rPr>
        <w:lang w:val="fr-FR"/>
      </w:rPr>
      <w:t>Anexo</w:t>
    </w:r>
    <w:proofErr w:type="spellEnd"/>
    <w:r>
      <w:rPr>
        <w:lang w:val="fr-FR"/>
      </w:rPr>
      <w:t xml:space="preserve"> C</w:t>
    </w:r>
  </w:p>
  <w:p w:rsidR="00625C03" w:rsidRDefault="00625C03">
    <w:pPr>
      <w:pStyle w:val="Header"/>
      <w:rPr>
        <w:lang w:val="fr-FR"/>
      </w:rPr>
    </w:pPr>
  </w:p>
  <w:p w:rsidR="00625C03" w:rsidRDefault="00625C03">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3" w:rsidRDefault="00625C03">
    <w:pPr>
      <w:pStyle w:val="List2"/>
      <w:tabs>
        <w:tab w:val="left" w:pos="432"/>
        <w:tab w:val="left" w:pos="990"/>
        <w:tab w:val="right" w:pos="8496"/>
      </w:tabs>
      <w:ind w:left="990" w:hanging="990"/>
      <w:jc w:val="right"/>
    </w:pPr>
    <w:r w:rsidRPr="00C0636B">
      <w:rPr>
        <w:szCs w:val="24"/>
        <w:lang w:val="es-ES" w:eastAsia="ja-JP"/>
      </w:rPr>
      <w:t>CSP28/</w:t>
    </w:r>
    <w:r w:rsidR="004B5DE3">
      <w:rPr>
        <w:szCs w:val="24"/>
        <w:lang w:val="es-ES" w:eastAsia="ja-JP"/>
      </w:rPr>
      <w:t>12</w:t>
    </w:r>
    <w:r w:rsidRPr="00C0636B">
      <w:rPr>
        <w:szCs w:val="24"/>
        <w:lang w:val="es-ES" w:eastAsia="ja-JP"/>
      </w:rPr>
      <w:t xml:space="preserve"> </w:t>
    </w:r>
    <w:r w:rsidRPr="00C0636B">
      <w:t>(Esp.)</w:t>
    </w:r>
  </w:p>
  <w:p w:rsidR="00625C03" w:rsidRDefault="00625C03">
    <w:pPr>
      <w:pStyle w:val="List2"/>
      <w:tabs>
        <w:tab w:val="left" w:pos="432"/>
        <w:tab w:val="left" w:pos="990"/>
        <w:tab w:val="right" w:pos="8496"/>
      </w:tabs>
      <w:ind w:left="990" w:hanging="990"/>
      <w:jc w:val="right"/>
    </w:pPr>
    <w:r>
      <w:t xml:space="preserve">Página </w:t>
    </w:r>
    <w:r w:rsidR="00F8102B">
      <w:rPr>
        <w:rStyle w:val="PageNumber"/>
        <w:lang w:val="en-US"/>
      </w:rPr>
      <w:fldChar w:fldCharType="begin"/>
    </w:r>
    <w:r>
      <w:rPr>
        <w:rStyle w:val="PageNumber"/>
        <w:lang w:val="en-US"/>
      </w:rPr>
      <w:instrText xml:space="preserve"> PAGE </w:instrText>
    </w:r>
    <w:r w:rsidR="00F8102B">
      <w:rPr>
        <w:rStyle w:val="PageNumber"/>
        <w:lang w:val="en-US"/>
      </w:rPr>
      <w:fldChar w:fldCharType="separate"/>
    </w:r>
    <w:r w:rsidR="00750675">
      <w:rPr>
        <w:rStyle w:val="PageNumber"/>
        <w:noProof/>
        <w:lang w:val="en-US"/>
      </w:rPr>
      <w:t>13</w:t>
    </w:r>
    <w:r w:rsidR="00F8102B">
      <w:rPr>
        <w:rStyle w:val="PageNumber"/>
        <w:lang w:val="en-US"/>
      </w:rPr>
      <w:fldChar w:fldCharType="end"/>
    </w:r>
  </w:p>
  <w:p w:rsidR="00625C03" w:rsidRDefault="00625C03">
    <w:pPr>
      <w:pStyle w:val="List2"/>
      <w:tabs>
        <w:tab w:val="left" w:pos="432"/>
        <w:tab w:val="left" w:pos="990"/>
        <w:tab w:val="right" w:pos="8496"/>
      </w:tabs>
      <w:ind w:left="990" w:hanging="990"/>
      <w:jc w:val="right"/>
    </w:pPr>
  </w:p>
  <w:p w:rsidR="00625C03" w:rsidRDefault="00625C03">
    <w:pPr>
      <w:pStyle w:val="List2"/>
      <w:tabs>
        <w:tab w:val="left" w:pos="432"/>
        <w:tab w:val="left" w:pos="990"/>
        <w:tab w:val="right" w:pos="8496"/>
      </w:tabs>
      <w:ind w:left="990" w:hanging="99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3" w:rsidRDefault="00625C03">
    <w:pPr>
      <w:pStyle w:val="List2"/>
      <w:tabs>
        <w:tab w:val="left" w:pos="432"/>
        <w:tab w:val="left" w:pos="990"/>
        <w:tab w:val="right" w:pos="8496"/>
      </w:tabs>
      <w:ind w:left="990" w:hanging="990"/>
    </w:pPr>
    <w:r>
      <w:t>CSP28/  (Esp.)</w:t>
    </w:r>
  </w:p>
  <w:p w:rsidR="00625C03" w:rsidRDefault="00625C03">
    <w:pPr>
      <w:pStyle w:val="List2"/>
      <w:tabs>
        <w:tab w:val="left" w:pos="432"/>
        <w:tab w:val="left" w:pos="990"/>
        <w:tab w:val="right" w:pos="8496"/>
      </w:tabs>
      <w:ind w:left="990" w:hanging="990"/>
    </w:pPr>
    <w:r>
      <w:t xml:space="preserve">Página </w:t>
    </w:r>
    <w:r w:rsidR="00F8102B">
      <w:rPr>
        <w:rStyle w:val="PageNumber"/>
        <w:lang w:val="en-US"/>
      </w:rPr>
      <w:fldChar w:fldCharType="begin"/>
    </w:r>
    <w:r>
      <w:rPr>
        <w:rStyle w:val="PageNumber"/>
        <w:lang w:val="en-US"/>
      </w:rPr>
      <w:instrText xml:space="preserve"> PAGE </w:instrText>
    </w:r>
    <w:r w:rsidR="00F8102B">
      <w:rPr>
        <w:rStyle w:val="PageNumber"/>
        <w:lang w:val="en-US"/>
      </w:rPr>
      <w:fldChar w:fldCharType="separate"/>
    </w:r>
    <w:r>
      <w:rPr>
        <w:rStyle w:val="PageNumber"/>
        <w:noProof/>
        <w:lang w:val="en-US"/>
      </w:rPr>
      <w:t>16</w:t>
    </w:r>
    <w:r w:rsidR="00F8102B">
      <w:rPr>
        <w:rStyle w:val="PageNumber"/>
        <w:lang w:val="en-US"/>
      </w:rPr>
      <w:fldChar w:fldCharType="end"/>
    </w:r>
  </w:p>
  <w:p w:rsidR="00625C03" w:rsidRDefault="00625C03">
    <w:pPr>
      <w:pStyle w:val="List2"/>
      <w:tabs>
        <w:tab w:val="left" w:pos="432"/>
        <w:tab w:val="left" w:pos="990"/>
        <w:tab w:val="right" w:pos="8496"/>
      </w:tabs>
      <w:ind w:left="990" w:hanging="990"/>
    </w:pPr>
  </w:p>
  <w:p w:rsidR="00625C03" w:rsidRDefault="00625C03">
    <w:pPr>
      <w:pStyle w:val="List2"/>
      <w:tabs>
        <w:tab w:val="left" w:pos="432"/>
        <w:tab w:val="left" w:pos="990"/>
        <w:tab w:val="right" w:pos="8496"/>
      </w:tabs>
      <w:ind w:left="990" w:hanging="99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3" w:rsidRDefault="00625C03">
    <w:pPr>
      <w:pStyle w:val="List2"/>
      <w:tabs>
        <w:tab w:val="left" w:pos="432"/>
        <w:tab w:val="left" w:pos="990"/>
        <w:tab w:val="right" w:pos="8496"/>
      </w:tabs>
      <w:ind w:left="990" w:hanging="99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3" w:rsidRDefault="00625C03">
    <w:pPr>
      <w:pStyle w:val="Header"/>
      <w:rPr>
        <w:lang w:val="fr-FR"/>
      </w:rPr>
    </w:pPr>
    <w:r>
      <w:rPr>
        <w:lang w:val="fr-FR"/>
      </w:rPr>
      <w:t>CSP28/</w:t>
    </w:r>
    <w:r w:rsidR="004B5DE3">
      <w:rPr>
        <w:lang w:val="fr-FR"/>
      </w:rPr>
      <w:t>12</w:t>
    </w:r>
    <w:r>
      <w:rPr>
        <w:lang w:val="fr-FR"/>
      </w:rPr>
      <w:t xml:space="preserve"> (Esp.)</w:t>
    </w:r>
  </w:p>
  <w:p w:rsidR="00625C03" w:rsidRDefault="00625C03">
    <w:pPr>
      <w:pStyle w:val="Header"/>
      <w:rPr>
        <w:lang w:val="fr-FR"/>
      </w:rPr>
    </w:pPr>
    <w:proofErr w:type="spellStart"/>
    <w:r>
      <w:rPr>
        <w:lang w:val="fr-FR"/>
      </w:rPr>
      <w:t>Anexo</w:t>
    </w:r>
    <w:proofErr w:type="spellEnd"/>
    <w:r>
      <w:rPr>
        <w:lang w:val="fr-FR"/>
      </w:rPr>
      <w:t xml:space="preserve"> A</w:t>
    </w:r>
    <w:r>
      <w:rPr>
        <w:lang w:val="fr-FR"/>
      </w:rPr>
      <w:tab/>
    </w:r>
    <w:r w:rsidR="00F8102B">
      <w:rPr>
        <w:lang w:val="fr-FR"/>
      </w:rPr>
      <w:fldChar w:fldCharType="begin"/>
    </w:r>
    <w:r>
      <w:rPr>
        <w:lang w:val="fr-FR"/>
      </w:rPr>
      <w:instrText xml:space="preserve"> PAGE   \* MERGEFORMAT </w:instrText>
    </w:r>
    <w:r w:rsidR="00F8102B">
      <w:rPr>
        <w:lang w:val="fr-FR"/>
      </w:rPr>
      <w:fldChar w:fldCharType="separate"/>
    </w:r>
    <w:r w:rsidR="00750675">
      <w:rPr>
        <w:noProof/>
        <w:lang w:val="fr-FR"/>
      </w:rPr>
      <w:t>- 2 -</w:t>
    </w:r>
    <w:r w:rsidR="00F8102B">
      <w:rPr>
        <w:lang w:val="fr-FR"/>
      </w:rPr>
      <w:fldChar w:fldCharType="end"/>
    </w:r>
  </w:p>
  <w:p w:rsidR="00625C03" w:rsidRDefault="00625C03">
    <w:pPr>
      <w:pStyle w:val="Header"/>
      <w:rPr>
        <w:lang w:val="fr-FR"/>
      </w:rPr>
    </w:pPr>
  </w:p>
  <w:p w:rsidR="00625C03" w:rsidRDefault="00625C03">
    <w:pPr>
      <w:pStyle w:val="Head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3" w:rsidRDefault="00625C03">
    <w:pPr>
      <w:pStyle w:val="Header"/>
      <w:jc w:val="right"/>
      <w:rPr>
        <w:lang w:val="fr-FR"/>
      </w:rPr>
    </w:pPr>
    <w:r>
      <w:rPr>
        <w:lang w:val="fr-FR"/>
      </w:rPr>
      <w:t>CSP28/</w:t>
    </w:r>
    <w:r w:rsidR="004B5DE3">
      <w:rPr>
        <w:lang w:val="fr-FR"/>
      </w:rPr>
      <w:t>12</w:t>
    </w:r>
    <w:r>
      <w:rPr>
        <w:lang w:val="fr-FR"/>
      </w:rPr>
      <w:t xml:space="preserve"> (Esp.)</w:t>
    </w:r>
  </w:p>
  <w:p w:rsidR="00625C03" w:rsidRDefault="00625C03">
    <w:pPr>
      <w:pStyle w:val="Header"/>
      <w:rPr>
        <w:lang w:val="fr-FR"/>
      </w:rPr>
    </w:pPr>
    <w:r>
      <w:rPr>
        <w:lang w:val="fr-FR"/>
      </w:rPr>
      <w:tab/>
    </w:r>
    <w:r w:rsidR="00F8102B">
      <w:rPr>
        <w:lang w:val="fr-FR"/>
      </w:rPr>
      <w:fldChar w:fldCharType="begin"/>
    </w:r>
    <w:r>
      <w:rPr>
        <w:lang w:val="fr-FR"/>
      </w:rPr>
      <w:instrText xml:space="preserve"> PAGE   \* MERGEFORMAT </w:instrText>
    </w:r>
    <w:r w:rsidR="00F8102B">
      <w:rPr>
        <w:lang w:val="fr-FR"/>
      </w:rPr>
      <w:fldChar w:fldCharType="separate"/>
    </w:r>
    <w:r w:rsidR="00750675">
      <w:rPr>
        <w:noProof/>
        <w:lang w:val="fr-FR"/>
      </w:rPr>
      <w:t>- 3 -</w:t>
    </w:r>
    <w:r w:rsidR="00F8102B">
      <w:rPr>
        <w:lang w:val="fr-FR"/>
      </w:rPr>
      <w:fldChar w:fldCharType="end"/>
    </w:r>
    <w:r>
      <w:rPr>
        <w:noProof/>
        <w:lang w:val="fr-FR"/>
      </w:rPr>
      <w:tab/>
    </w:r>
    <w:proofErr w:type="spellStart"/>
    <w:r>
      <w:rPr>
        <w:lang w:val="fr-FR"/>
      </w:rPr>
      <w:t>Anexo</w:t>
    </w:r>
    <w:proofErr w:type="spellEnd"/>
    <w:r>
      <w:rPr>
        <w:lang w:val="fr-FR"/>
      </w:rPr>
      <w:t xml:space="preserve"> A</w:t>
    </w:r>
  </w:p>
  <w:p w:rsidR="00625C03" w:rsidRDefault="00625C03">
    <w:pPr>
      <w:pStyle w:val="Header"/>
      <w:rPr>
        <w:lang w:val="fr-FR"/>
      </w:rPr>
    </w:pPr>
  </w:p>
  <w:p w:rsidR="00625C03" w:rsidRDefault="00625C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3" w:rsidRPr="00554AA4" w:rsidRDefault="00625C03">
    <w:pPr>
      <w:pStyle w:val="Header"/>
      <w:rPr>
        <w:sz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3" w:rsidRDefault="00625C03">
    <w:pPr>
      <w:pStyle w:val="Header"/>
      <w:jc w:val="right"/>
      <w:rPr>
        <w:lang w:val="fr-FR"/>
      </w:rPr>
    </w:pPr>
    <w:r w:rsidRPr="008F3597">
      <w:rPr>
        <w:szCs w:val="24"/>
        <w:lang w:val="es-ES" w:eastAsia="ja-JP"/>
      </w:rPr>
      <w:t>CSP28/</w:t>
    </w:r>
    <w:r w:rsidR="005C2D75">
      <w:rPr>
        <w:szCs w:val="24"/>
        <w:lang w:val="es-ES" w:eastAsia="ja-JP"/>
      </w:rPr>
      <w:t>12</w:t>
    </w:r>
    <w:r>
      <w:rPr>
        <w:lang w:val="fr-FR"/>
      </w:rPr>
      <w:t xml:space="preserve"> (Esp.)</w:t>
    </w:r>
  </w:p>
  <w:p w:rsidR="00625C03" w:rsidRDefault="00625C03">
    <w:pPr>
      <w:pStyle w:val="Header"/>
      <w:rPr>
        <w:lang w:val="fr-FR"/>
      </w:rPr>
    </w:pPr>
    <w:r>
      <w:rPr>
        <w:lang w:val="fr-FR"/>
      </w:rPr>
      <w:tab/>
    </w:r>
    <w:r w:rsidR="00F8102B">
      <w:rPr>
        <w:lang w:val="fr-FR"/>
      </w:rPr>
      <w:fldChar w:fldCharType="begin"/>
    </w:r>
    <w:r>
      <w:rPr>
        <w:lang w:val="fr-FR"/>
      </w:rPr>
      <w:instrText xml:space="preserve"> PAGE   \* MERGEFORMAT </w:instrText>
    </w:r>
    <w:r w:rsidR="00F8102B">
      <w:rPr>
        <w:lang w:val="fr-FR"/>
      </w:rPr>
      <w:fldChar w:fldCharType="separate"/>
    </w:r>
    <w:r w:rsidR="00750675">
      <w:rPr>
        <w:noProof/>
        <w:lang w:val="fr-FR"/>
      </w:rPr>
      <w:t>- 3 -</w:t>
    </w:r>
    <w:r w:rsidR="00F8102B">
      <w:rPr>
        <w:lang w:val="fr-FR"/>
      </w:rPr>
      <w:fldChar w:fldCharType="end"/>
    </w:r>
    <w:r>
      <w:rPr>
        <w:lang w:val="fr-FR"/>
      </w:rPr>
      <w:tab/>
    </w:r>
    <w:proofErr w:type="spellStart"/>
    <w:r>
      <w:rPr>
        <w:lang w:val="fr-FR"/>
      </w:rPr>
      <w:t>Anexo</w:t>
    </w:r>
    <w:proofErr w:type="spellEnd"/>
    <w:r>
      <w:rPr>
        <w:lang w:val="fr-FR"/>
      </w:rPr>
      <w:t xml:space="preserve"> B</w:t>
    </w:r>
  </w:p>
  <w:p w:rsidR="00625C03" w:rsidRDefault="00625C03">
    <w:pPr>
      <w:pStyle w:val="Header"/>
      <w:rPr>
        <w:lang w:val="fr-FR"/>
      </w:rPr>
    </w:pPr>
  </w:p>
  <w:p w:rsidR="00625C03" w:rsidRDefault="00625C03">
    <w:pPr>
      <w:pStyle w:val="Header"/>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03" w:rsidRDefault="00625C03">
    <w:pPr>
      <w:pStyle w:val="Header"/>
      <w:rPr>
        <w:lang w:val="fr-FR"/>
      </w:rPr>
    </w:pPr>
    <w:r w:rsidRPr="008F3597">
      <w:rPr>
        <w:szCs w:val="24"/>
        <w:lang w:val="es-ES" w:eastAsia="ja-JP"/>
      </w:rPr>
      <w:t>CSP28/</w:t>
    </w:r>
    <w:r w:rsidR="004B5DE3">
      <w:rPr>
        <w:szCs w:val="24"/>
        <w:lang w:val="es-ES" w:eastAsia="ja-JP"/>
      </w:rPr>
      <w:t>12</w:t>
    </w:r>
    <w:r w:rsidRPr="00D85D4C">
      <w:rPr>
        <w:szCs w:val="24"/>
        <w:lang w:val="es-ES" w:eastAsia="ja-JP"/>
      </w:rPr>
      <w:t xml:space="preserve"> </w:t>
    </w:r>
    <w:r>
      <w:rPr>
        <w:lang w:val="fr-FR"/>
      </w:rPr>
      <w:t>(Esp.)</w:t>
    </w:r>
  </w:p>
  <w:p w:rsidR="00625C03" w:rsidRPr="007A1C55" w:rsidRDefault="00625C03">
    <w:pPr>
      <w:pStyle w:val="Header"/>
      <w:rPr>
        <w:lang w:val="fr-FR"/>
      </w:rPr>
    </w:pPr>
    <w:proofErr w:type="spellStart"/>
    <w:r>
      <w:rPr>
        <w:lang w:val="fr-FR"/>
      </w:rPr>
      <w:t>Anexo</w:t>
    </w:r>
    <w:proofErr w:type="spellEnd"/>
    <w:r>
      <w:rPr>
        <w:lang w:val="fr-FR"/>
      </w:rPr>
      <w:t xml:space="preserve"> B</w:t>
    </w:r>
    <w:r>
      <w:rPr>
        <w:lang w:val="fr-FR"/>
      </w:rPr>
      <w:tab/>
    </w:r>
    <w:r w:rsidR="00F8102B">
      <w:fldChar w:fldCharType="begin"/>
    </w:r>
    <w:r w:rsidRPr="007A1C55">
      <w:rPr>
        <w:lang w:val="fr-FR"/>
      </w:rPr>
      <w:instrText xml:space="preserve"> PAGE   \* MERGEFORMAT </w:instrText>
    </w:r>
    <w:r w:rsidR="00F8102B">
      <w:fldChar w:fldCharType="separate"/>
    </w:r>
    <w:r w:rsidR="00750675">
      <w:rPr>
        <w:noProof/>
        <w:lang w:val="fr-FR"/>
      </w:rPr>
      <w:t>- 2 -</w:t>
    </w:r>
    <w:r w:rsidR="00F8102B">
      <w:rPr>
        <w:noProof/>
      </w:rPr>
      <w:fldChar w:fldCharType="end"/>
    </w:r>
  </w:p>
  <w:p w:rsidR="00625C03" w:rsidRDefault="00625C03">
    <w:pPr>
      <w:pStyle w:val="Header"/>
      <w:rPr>
        <w:lang w:val="fr-FR"/>
      </w:rPr>
    </w:pPr>
  </w:p>
  <w:p w:rsidR="00625C03" w:rsidRDefault="00625C0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B5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F0E51F4"/>
    <w:multiLevelType w:val="hybridMultilevel"/>
    <w:tmpl w:val="76FE8B3E"/>
    <w:lvl w:ilvl="0" w:tplc="EC3A1644">
      <w:start w:val="1"/>
      <w:numFmt w:val="lowerLetter"/>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
    <w:nsid w:val="11227AFB"/>
    <w:multiLevelType w:val="hybridMultilevel"/>
    <w:tmpl w:val="E6FAC8CC"/>
    <w:lvl w:ilvl="0" w:tplc="B602EB1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262E1A"/>
    <w:multiLevelType w:val="hybridMultilevel"/>
    <w:tmpl w:val="CE24CF14"/>
    <w:lvl w:ilvl="0" w:tplc="C4521820">
      <w:start w:val="1"/>
      <w:numFmt w:val="lowerLetter"/>
      <w:lvlText w:val="%1)"/>
      <w:lvlJc w:val="left"/>
      <w:pPr>
        <w:tabs>
          <w:tab w:val="num" w:pos="720"/>
        </w:tabs>
        <w:ind w:left="720" w:hanging="720"/>
      </w:pPr>
      <w:rPr>
        <w:rFonts w:cs="Times New Roman" w:hint="default"/>
        <w:b w:val="0"/>
        <w:sz w:val="24"/>
        <w:szCs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1DB13C6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AA8280D"/>
    <w:multiLevelType w:val="hybridMultilevel"/>
    <w:tmpl w:val="7CCE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B103DE"/>
    <w:multiLevelType w:val="hybridMultilevel"/>
    <w:tmpl w:val="5630F416"/>
    <w:lvl w:ilvl="0" w:tplc="AC827E6E">
      <w:start w:val="1"/>
      <w:numFmt w:val="bullet"/>
      <w:lvlText w:val=""/>
      <w:lvlJc w:val="left"/>
      <w:pPr>
        <w:ind w:left="720" w:hanging="360"/>
      </w:pPr>
      <w:rPr>
        <w:rFonts w:ascii="Symbol" w:hAnsi="Symbol" w:hint="default"/>
        <w:sz w:val="16"/>
      </w:rPr>
    </w:lvl>
    <w:lvl w:ilvl="1" w:tplc="540A0003" w:tentative="1">
      <w:start w:val="1"/>
      <w:numFmt w:val="bullet"/>
      <w:lvlText w:val="o"/>
      <w:lvlJc w:val="left"/>
      <w:pPr>
        <w:ind w:left="1440" w:hanging="360"/>
      </w:pPr>
      <w:rPr>
        <w:rFonts w:ascii="Courier New" w:hAnsi="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nsid w:val="3AB5687A"/>
    <w:multiLevelType w:val="hybridMultilevel"/>
    <w:tmpl w:val="B61CE0FE"/>
    <w:lvl w:ilvl="0" w:tplc="38D488D0">
      <w:start w:val="1"/>
      <w:numFmt w:val="decimal"/>
      <w:lvlText w:val="%1."/>
      <w:lvlJc w:val="left"/>
      <w:pPr>
        <w:tabs>
          <w:tab w:val="num" w:pos="720"/>
        </w:tabs>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3B7400A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5854BFD"/>
    <w:multiLevelType w:val="hybridMultilevel"/>
    <w:tmpl w:val="BDC8330E"/>
    <w:lvl w:ilvl="0" w:tplc="05CA944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5CF52E4"/>
    <w:multiLevelType w:val="hybridMultilevel"/>
    <w:tmpl w:val="DD62A49C"/>
    <w:lvl w:ilvl="0" w:tplc="91389AD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B787E6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4EF12D86"/>
    <w:multiLevelType w:val="hybridMultilevel"/>
    <w:tmpl w:val="47CA5C7C"/>
    <w:lvl w:ilvl="0" w:tplc="A0EE63F8">
      <w:start w:val="1"/>
      <w:numFmt w:val="bullet"/>
      <w:lvlText w:val="•"/>
      <w:lvlJc w:val="left"/>
      <w:pPr>
        <w:tabs>
          <w:tab w:val="num" w:pos="360"/>
        </w:tabs>
        <w:ind w:left="360" w:hanging="360"/>
      </w:pPr>
      <w:rPr>
        <w:rFonts w:ascii="Arial" w:hAnsi="Arial" w:hint="default"/>
      </w:rPr>
    </w:lvl>
    <w:lvl w:ilvl="1" w:tplc="8694757C">
      <w:start w:val="1"/>
      <w:numFmt w:val="decimal"/>
      <w:lvlText w:val="%2."/>
      <w:lvlJc w:val="left"/>
      <w:pPr>
        <w:tabs>
          <w:tab w:val="num" w:pos="288"/>
        </w:tabs>
      </w:pPr>
      <w:rPr>
        <w:rFonts w:ascii="Times New Roman Bold" w:hAnsi="Times New Roman Bold" w:cs="Times New Roman" w:hint="default"/>
        <w:b/>
        <w:i w:val="0"/>
        <w:caps w:val="0"/>
        <w:strike w:val="0"/>
        <w:dstrike w:val="0"/>
        <w:vanish w:val="0"/>
        <w:color w:val="auto"/>
        <w:sz w:val="24"/>
        <w:szCs w:val="24"/>
        <w:u w:val="none"/>
        <w:vertAlign w:val="baseline"/>
      </w:rPr>
    </w:lvl>
    <w:lvl w:ilvl="2" w:tplc="5836632E">
      <w:start w:val="1"/>
      <w:numFmt w:val="bullet"/>
      <w:lvlText w:val="•"/>
      <w:lvlJc w:val="left"/>
      <w:pPr>
        <w:tabs>
          <w:tab w:val="num" w:pos="2340"/>
        </w:tabs>
        <w:ind w:left="2340" w:hanging="360"/>
      </w:pPr>
      <w:rPr>
        <w:rFonts w:ascii="Arial"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DB77A9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1B0E16"/>
    <w:multiLevelType w:val="hybridMultilevel"/>
    <w:tmpl w:val="C24214AE"/>
    <w:lvl w:ilvl="0" w:tplc="ACB4223A">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65105C4A"/>
    <w:multiLevelType w:val="hybridMultilevel"/>
    <w:tmpl w:val="A7141374"/>
    <w:lvl w:ilvl="0" w:tplc="8472744C">
      <w:start w:val="1"/>
      <w:numFmt w:val="bullet"/>
      <w:lvlText w:val="•"/>
      <w:lvlJc w:val="left"/>
      <w:pPr>
        <w:tabs>
          <w:tab w:val="num" w:pos="0"/>
        </w:tabs>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671258F4"/>
    <w:multiLevelType w:val="hybridMultilevel"/>
    <w:tmpl w:val="FD404DBA"/>
    <w:lvl w:ilvl="0" w:tplc="571AEC28">
      <w:start w:val="1"/>
      <w:numFmt w:val="lowerLetter"/>
      <w:lvlText w:val="%1)"/>
      <w:lvlJc w:val="left"/>
      <w:pPr>
        <w:tabs>
          <w:tab w:val="num" w:pos="720"/>
        </w:tabs>
        <w:ind w:left="720" w:hanging="72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690772F1"/>
    <w:multiLevelType w:val="hybridMultilevel"/>
    <w:tmpl w:val="C52E07B0"/>
    <w:lvl w:ilvl="0" w:tplc="5D5862F4">
      <w:start w:val="1"/>
      <w:numFmt w:val="decimal"/>
      <w:lvlText w:val="%1."/>
      <w:lvlJc w:val="left"/>
      <w:pPr>
        <w:ind w:left="360" w:hanging="360"/>
      </w:pPr>
      <w:rPr>
        <w:rFonts w:cs="Times New Roman" w:hint="default"/>
        <w:sz w:val="24"/>
        <w:szCs w:val="24"/>
      </w:rPr>
    </w:lvl>
    <w:lvl w:ilvl="1" w:tplc="540A0019" w:tentative="1">
      <w:start w:val="1"/>
      <w:numFmt w:val="lowerLetter"/>
      <w:lvlText w:val="%2."/>
      <w:lvlJc w:val="left"/>
      <w:pPr>
        <w:ind w:left="1080" w:hanging="360"/>
      </w:pPr>
      <w:rPr>
        <w:rFonts w:cs="Times New Roman"/>
      </w:rPr>
    </w:lvl>
    <w:lvl w:ilvl="2" w:tplc="540A001B" w:tentative="1">
      <w:start w:val="1"/>
      <w:numFmt w:val="lowerRoman"/>
      <w:lvlText w:val="%3."/>
      <w:lvlJc w:val="right"/>
      <w:pPr>
        <w:ind w:left="1800" w:hanging="180"/>
      </w:pPr>
      <w:rPr>
        <w:rFonts w:cs="Times New Roman"/>
      </w:rPr>
    </w:lvl>
    <w:lvl w:ilvl="3" w:tplc="540A000F" w:tentative="1">
      <w:start w:val="1"/>
      <w:numFmt w:val="decimal"/>
      <w:lvlText w:val="%4."/>
      <w:lvlJc w:val="left"/>
      <w:pPr>
        <w:ind w:left="2520" w:hanging="360"/>
      </w:pPr>
      <w:rPr>
        <w:rFonts w:cs="Times New Roman"/>
      </w:rPr>
    </w:lvl>
    <w:lvl w:ilvl="4" w:tplc="540A0019" w:tentative="1">
      <w:start w:val="1"/>
      <w:numFmt w:val="lowerLetter"/>
      <w:lvlText w:val="%5."/>
      <w:lvlJc w:val="left"/>
      <w:pPr>
        <w:ind w:left="3240" w:hanging="360"/>
      </w:pPr>
      <w:rPr>
        <w:rFonts w:cs="Times New Roman"/>
      </w:rPr>
    </w:lvl>
    <w:lvl w:ilvl="5" w:tplc="540A001B" w:tentative="1">
      <w:start w:val="1"/>
      <w:numFmt w:val="lowerRoman"/>
      <w:lvlText w:val="%6."/>
      <w:lvlJc w:val="right"/>
      <w:pPr>
        <w:ind w:left="3960" w:hanging="180"/>
      </w:pPr>
      <w:rPr>
        <w:rFonts w:cs="Times New Roman"/>
      </w:rPr>
    </w:lvl>
    <w:lvl w:ilvl="6" w:tplc="540A000F" w:tentative="1">
      <w:start w:val="1"/>
      <w:numFmt w:val="decimal"/>
      <w:lvlText w:val="%7."/>
      <w:lvlJc w:val="left"/>
      <w:pPr>
        <w:ind w:left="4680" w:hanging="360"/>
      </w:pPr>
      <w:rPr>
        <w:rFonts w:cs="Times New Roman"/>
      </w:rPr>
    </w:lvl>
    <w:lvl w:ilvl="7" w:tplc="540A0019" w:tentative="1">
      <w:start w:val="1"/>
      <w:numFmt w:val="lowerLetter"/>
      <w:lvlText w:val="%8."/>
      <w:lvlJc w:val="left"/>
      <w:pPr>
        <w:ind w:left="5400" w:hanging="360"/>
      </w:pPr>
      <w:rPr>
        <w:rFonts w:cs="Times New Roman"/>
      </w:rPr>
    </w:lvl>
    <w:lvl w:ilvl="8" w:tplc="540A001B" w:tentative="1">
      <w:start w:val="1"/>
      <w:numFmt w:val="lowerRoman"/>
      <w:lvlText w:val="%9."/>
      <w:lvlJc w:val="right"/>
      <w:pPr>
        <w:ind w:left="6120" w:hanging="180"/>
      </w:pPr>
      <w:rPr>
        <w:rFonts w:cs="Times New Roman"/>
      </w:rPr>
    </w:lvl>
  </w:abstractNum>
  <w:abstractNum w:abstractNumId="18">
    <w:nsid w:val="6B060400"/>
    <w:multiLevelType w:val="hybridMultilevel"/>
    <w:tmpl w:val="351A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6"/>
  </w:num>
  <w:num w:numId="5">
    <w:abstractNumId w:val="3"/>
  </w:num>
  <w:num w:numId="6">
    <w:abstractNumId w:val="12"/>
  </w:num>
  <w:num w:numId="7">
    <w:abstractNumId w:val="15"/>
  </w:num>
  <w:num w:numId="8">
    <w:abstractNumId w:val="5"/>
  </w:num>
  <w:num w:numId="9">
    <w:abstractNumId w:val="6"/>
  </w:num>
  <w:num w:numId="10">
    <w:abstractNumId w:val="17"/>
  </w:num>
  <w:num w:numId="11">
    <w:abstractNumId w:val="2"/>
  </w:num>
  <w:num w:numId="12">
    <w:abstractNumId w:val="10"/>
  </w:num>
  <w:num w:numId="13">
    <w:abstractNumId w:val="14"/>
  </w:num>
  <w:num w:numId="14">
    <w:abstractNumId w:val="11"/>
  </w:num>
  <w:num w:numId="15">
    <w:abstractNumId w:val="4"/>
  </w:num>
  <w:num w:numId="16">
    <w:abstractNumId w:val="0"/>
  </w:num>
  <w:num w:numId="17">
    <w:abstractNumId w:val="13"/>
  </w:num>
  <w:num w:numId="18">
    <w:abstractNumId w:val="1"/>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380790"/>
    <w:rsid w:val="000028D4"/>
    <w:rsid w:val="00007A86"/>
    <w:rsid w:val="00043F30"/>
    <w:rsid w:val="00046426"/>
    <w:rsid w:val="000500AD"/>
    <w:rsid w:val="00052EE7"/>
    <w:rsid w:val="000C5D7B"/>
    <w:rsid w:val="00110195"/>
    <w:rsid w:val="00111F55"/>
    <w:rsid w:val="00126567"/>
    <w:rsid w:val="00131D04"/>
    <w:rsid w:val="00142161"/>
    <w:rsid w:val="00150312"/>
    <w:rsid w:val="00185F19"/>
    <w:rsid w:val="00186C8B"/>
    <w:rsid w:val="00241A23"/>
    <w:rsid w:val="00246D66"/>
    <w:rsid w:val="003358FC"/>
    <w:rsid w:val="00353421"/>
    <w:rsid w:val="003640B9"/>
    <w:rsid w:val="00380790"/>
    <w:rsid w:val="00383390"/>
    <w:rsid w:val="0039475C"/>
    <w:rsid w:val="003F08F2"/>
    <w:rsid w:val="00413694"/>
    <w:rsid w:val="004322FA"/>
    <w:rsid w:val="00442B31"/>
    <w:rsid w:val="00470210"/>
    <w:rsid w:val="004B5DE3"/>
    <w:rsid w:val="004B782F"/>
    <w:rsid w:val="004C5A42"/>
    <w:rsid w:val="004D6F72"/>
    <w:rsid w:val="004E0A77"/>
    <w:rsid w:val="004E5215"/>
    <w:rsid w:val="004F68F1"/>
    <w:rsid w:val="00514C3E"/>
    <w:rsid w:val="00517452"/>
    <w:rsid w:val="0053764D"/>
    <w:rsid w:val="00540C79"/>
    <w:rsid w:val="00554AA4"/>
    <w:rsid w:val="00564745"/>
    <w:rsid w:val="005B47DA"/>
    <w:rsid w:val="005B5EFF"/>
    <w:rsid w:val="005C2D75"/>
    <w:rsid w:val="00625C03"/>
    <w:rsid w:val="00634376"/>
    <w:rsid w:val="00694678"/>
    <w:rsid w:val="006C01A4"/>
    <w:rsid w:val="00713324"/>
    <w:rsid w:val="00737DE7"/>
    <w:rsid w:val="00750675"/>
    <w:rsid w:val="00761B0C"/>
    <w:rsid w:val="00771D46"/>
    <w:rsid w:val="00793EEB"/>
    <w:rsid w:val="007A1C55"/>
    <w:rsid w:val="007C76C1"/>
    <w:rsid w:val="007E0DB1"/>
    <w:rsid w:val="00822190"/>
    <w:rsid w:val="008317E3"/>
    <w:rsid w:val="00836FAD"/>
    <w:rsid w:val="00842279"/>
    <w:rsid w:val="0084401E"/>
    <w:rsid w:val="00853359"/>
    <w:rsid w:val="00872350"/>
    <w:rsid w:val="008759C0"/>
    <w:rsid w:val="008A5DFD"/>
    <w:rsid w:val="008C3C1E"/>
    <w:rsid w:val="008F3597"/>
    <w:rsid w:val="00943B8E"/>
    <w:rsid w:val="0095210E"/>
    <w:rsid w:val="00952869"/>
    <w:rsid w:val="00953C1B"/>
    <w:rsid w:val="009B4D2C"/>
    <w:rsid w:val="009D7502"/>
    <w:rsid w:val="00A142B2"/>
    <w:rsid w:val="00A366DD"/>
    <w:rsid w:val="00A9001F"/>
    <w:rsid w:val="00A93FEF"/>
    <w:rsid w:val="00AA6966"/>
    <w:rsid w:val="00B07950"/>
    <w:rsid w:val="00B1708C"/>
    <w:rsid w:val="00B25459"/>
    <w:rsid w:val="00B56560"/>
    <w:rsid w:val="00B729D9"/>
    <w:rsid w:val="00C0636B"/>
    <w:rsid w:val="00C15A2A"/>
    <w:rsid w:val="00C227A0"/>
    <w:rsid w:val="00C74925"/>
    <w:rsid w:val="00C8794B"/>
    <w:rsid w:val="00CA4A85"/>
    <w:rsid w:val="00CE0CAF"/>
    <w:rsid w:val="00D05DDC"/>
    <w:rsid w:val="00D13AF2"/>
    <w:rsid w:val="00D434A3"/>
    <w:rsid w:val="00D568E6"/>
    <w:rsid w:val="00D624A5"/>
    <w:rsid w:val="00D71988"/>
    <w:rsid w:val="00D82F2B"/>
    <w:rsid w:val="00D85D4C"/>
    <w:rsid w:val="00D9280A"/>
    <w:rsid w:val="00DC4B24"/>
    <w:rsid w:val="00DD0763"/>
    <w:rsid w:val="00DE7E73"/>
    <w:rsid w:val="00DF4501"/>
    <w:rsid w:val="00DF46E7"/>
    <w:rsid w:val="00DF4E1F"/>
    <w:rsid w:val="00E3018B"/>
    <w:rsid w:val="00E30F47"/>
    <w:rsid w:val="00E54F40"/>
    <w:rsid w:val="00EA4F2F"/>
    <w:rsid w:val="00EB7E55"/>
    <w:rsid w:val="00ED06AE"/>
    <w:rsid w:val="00ED5E2E"/>
    <w:rsid w:val="00EF3C1C"/>
    <w:rsid w:val="00F435D8"/>
    <w:rsid w:val="00F46B8E"/>
    <w:rsid w:val="00F6110C"/>
    <w:rsid w:val="00F8102B"/>
    <w:rsid w:val="00FC6FDF"/>
    <w:rsid w:val="00FC740E"/>
    <w:rsid w:val="00F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page number" w:uiPriority="0"/>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24"/>
    <w:rPr>
      <w:sz w:val="20"/>
      <w:szCs w:val="20"/>
    </w:rPr>
  </w:style>
  <w:style w:type="paragraph" w:styleId="Heading1">
    <w:name w:val="heading 1"/>
    <w:basedOn w:val="Normal"/>
    <w:next w:val="Normal"/>
    <w:link w:val="Heading1Char"/>
    <w:uiPriority w:val="99"/>
    <w:qFormat/>
    <w:rsid w:val="00713324"/>
    <w:pPr>
      <w:keepNext/>
      <w:tabs>
        <w:tab w:val="left" w:pos="5184"/>
      </w:tabs>
      <w:jc w:val="center"/>
      <w:outlineLvl w:val="0"/>
    </w:pPr>
    <w:rPr>
      <w:b/>
      <w:sz w:val="24"/>
    </w:rPr>
  </w:style>
  <w:style w:type="paragraph" w:styleId="Heading2">
    <w:name w:val="heading 2"/>
    <w:basedOn w:val="Normal"/>
    <w:next w:val="Normal"/>
    <w:link w:val="Heading2Char"/>
    <w:uiPriority w:val="99"/>
    <w:qFormat/>
    <w:rsid w:val="00713324"/>
    <w:pPr>
      <w:keepNext/>
      <w:tabs>
        <w:tab w:val="left" w:pos="720"/>
        <w:tab w:val="left" w:pos="1152"/>
        <w:tab w:val="left" w:pos="1584"/>
      </w:tabs>
      <w:ind w:right="720"/>
      <w:jc w:val="right"/>
      <w:outlineLvl w:val="1"/>
    </w:pPr>
    <w:rPr>
      <w:b/>
      <w:i/>
    </w:rPr>
  </w:style>
  <w:style w:type="paragraph" w:styleId="Heading3">
    <w:name w:val="heading 3"/>
    <w:basedOn w:val="Normal"/>
    <w:next w:val="Normal"/>
    <w:link w:val="Heading3Char"/>
    <w:uiPriority w:val="99"/>
    <w:qFormat/>
    <w:rsid w:val="00713324"/>
    <w:pPr>
      <w:keepNext/>
      <w:tabs>
        <w:tab w:val="left" w:pos="720"/>
        <w:tab w:val="left" w:pos="1152"/>
        <w:tab w:val="left" w:pos="1584"/>
      </w:tabs>
      <w:ind w:right="720"/>
      <w:jc w:val="center"/>
      <w:outlineLvl w:val="2"/>
    </w:pPr>
    <w:rPr>
      <w:b/>
      <w:sz w:val="24"/>
    </w:rPr>
  </w:style>
  <w:style w:type="paragraph" w:styleId="Heading4">
    <w:name w:val="heading 4"/>
    <w:basedOn w:val="Normal"/>
    <w:next w:val="Normal"/>
    <w:link w:val="Heading4Char"/>
    <w:uiPriority w:val="99"/>
    <w:qFormat/>
    <w:rsid w:val="00713324"/>
    <w:pPr>
      <w:keepNext/>
      <w:tabs>
        <w:tab w:val="left" w:pos="720"/>
        <w:tab w:val="left" w:pos="1152"/>
        <w:tab w:val="left" w:pos="1584"/>
      </w:tabs>
      <w:ind w:left="720" w:hanging="720"/>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32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1332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1332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13324"/>
    <w:rPr>
      <w:rFonts w:ascii="Calibri" w:hAnsi="Calibri" w:cs="Times New Roman"/>
      <w:b/>
      <w:bCs/>
      <w:sz w:val="28"/>
      <w:szCs w:val="28"/>
    </w:rPr>
  </w:style>
  <w:style w:type="paragraph" w:styleId="Caption">
    <w:name w:val="caption"/>
    <w:basedOn w:val="Normal"/>
    <w:next w:val="Normal"/>
    <w:uiPriority w:val="99"/>
    <w:qFormat/>
    <w:rsid w:val="00713324"/>
    <w:pPr>
      <w:tabs>
        <w:tab w:val="left" w:pos="720"/>
        <w:tab w:val="left" w:pos="1152"/>
        <w:tab w:val="left" w:pos="1584"/>
      </w:tabs>
    </w:pPr>
    <w:rPr>
      <w:b/>
      <w:sz w:val="22"/>
    </w:rPr>
  </w:style>
  <w:style w:type="paragraph" w:styleId="BodyTextIndent">
    <w:name w:val="Body Text Indent"/>
    <w:basedOn w:val="Normal"/>
    <w:link w:val="BodyTextIndentChar"/>
    <w:uiPriority w:val="99"/>
    <w:rsid w:val="00713324"/>
    <w:pPr>
      <w:tabs>
        <w:tab w:val="left" w:pos="720"/>
        <w:tab w:val="left" w:pos="1152"/>
        <w:tab w:val="left" w:pos="1584"/>
      </w:tabs>
      <w:jc w:val="both"/>
    </w:pPr>
    <w:rPr>
      <w:sz w:val="24"/>
    </w:rPr>
  </w:style>
  <w:style w:type="character" w:customStyle="1" w:styleId="BodyTextIndentChar">
    <w:name w:val="Body Text Indent Char"/>
    <w:basedOn w:val="DefaultParagraphFont"/>
    <w:link w:val="BodyTextIndent"/>
    <w:uiPriority w:val="99"/>
    <w:semiHidden/>
    <w:locked/>
    <w:rsid w:val="00713324"/>
    <w:rPr>
      <w:rFonts w:cs="Times New Roman"/>
    </w:rPr>
  </w:style>
  <w:style w:type="paragraph" w:styleId="BodyText">
    <w:name w:val="Body Text"/>
    <w:basedOn w:val="Normal"/>
    <w:link w:val="BodyTextChar"/>
    <w:uiPriority w:val="99"/>
    <w:rsid w:val="00713324"/>
    <w:pPr>
      <w:tabs>
        <w:tab w:val="left" w:pos="720"/>
        <w:tab w:val="left" w:pos="1152"/>
        <w:tab w:val="left" w:pos="1584"/>
      </w:tabs>
      <w:jc w:val="both"/>
    </w:pPr>
    <w:rPr>
      <w:sz w:val="22"/>
    </w:rPr>
  </w:style>
  <w:style w:type="character" w:customStyle="1" w:styleId="BodyTextChar">
    <w:name w:val="Body Text Char"/>
    <w:basedOn w:val="DefaultParagraphFont"/>
    <w:link w:val="BodyText"/>
    <w:uiPriority w:val="99"/>
    <w:semiHidden/>
    <w:locked/>
    <w:rsid w:val="00713324"/>
    <w:rPr>
      <w:rFonts w:cs="Times New Roman"/>
    </w:rPr>
  </w:style>
  <w:style w:type="paragraph" w:styleId="Header">
    <w:name w:val="header"/>
    <w:basedOn w:val="Normal"/>
    <w:link w:val="HeaderChar"/>
    <w:rsid w:val="00713324"/>
    <w:pPr>
      <w:tabs>
        <w:tab w:val="center" w:pos="4320"/>
        <w:tab w:val="right" w:pos="8640"/>
      </w:tabs>
    </w:pPr>
    <w:rPr>
      <w:sz w:val="24"/>
      <w:lang w:val="es-ES_tradnl"/>
    </w:rPr>
  </w:style>
  <w:style w:type="character" w:customStyle="1" w:styleId="HeaderChar">
    <w:name w:val="Header Char"/>
    <w:basedOn w:val="DefaultParagraphFont"/>
    <w:link w:val="Header"/>
    <w:locked/>
    <w:rsid w:val="00713324"/>
    <w:rPr>
      <w:rFonts w:cs="Times New Roman"/>
    </w:rPr>
  </w:style>
  <w:style w:type="character" w:styleId="PageNumber">
    <w:name w:val="page number"/>
    <w:basedOn w:val="DefaultParagraphFont"/>
    <w:rsid w:val="00713324"/>
    <w:rPr>
      <w:rFonts w:cs="Times New Roman"/>
    </w:rPr>
  </w:style>
  <w:style w:type="paragraph" w:styleId="Footer">
    <w:name w:val="footer"/>
    <w:basedOn w:val="Normal"/>
    <w:link w:val="FooterChar"/>
    <w:rsid w:val="00713324"/>
    <w:pPr>
      <w:tabs>
        <w:tab w:val="center" w:pos="4320"/>
        <w:tab w:val="right" w:pos="8640"/>
      </w:tabs>
    </w:pPr>
  </w:style>
  <w:style w:type="character" w:customStyle="1" w:styleId="FooterChar">
    <w:name w:val="Footer Char"/>
    <w:basedOn w:val="DefaultParagraphFont"/>
    <w:link w:val="Footer"/>
    <w:uiPriority w:val="99"/>
    <w:locked/>
    <w:rsid w:val="00713324"/>
    <w:rPr>
      <w:rFonts w:cs="Times New Roman"/>
    </w:rPr>
  </w:style>
  <w:style w:type="paragraph" w:styleId="BalloonText">
    <w:name w:val="Balloon Text"/>
    <w:basedOn w:val="Normal"/>
    <w:link w:val="BalloonTextChar"/>
    <w:uiPriority w:val="99"/>
    <w:semiHidden/>
    <w:rsid w:val="007133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324"/>
    <w:rPr>
      <w:rFonts w:cs="Times New Roman"/>
      <w:sz w:val="2"/>
    </w:rPr>
  </w:style>
  <w:style w:type="paragraph" w:styleId="FootnoteText">
    <w:name w:val="footnote text"/>
    <w:basedOn w:val="Normal"/>
    <w:link w:val="FootnoteTextChar"/>
    <w:uiPriority w:val="99"/>
    <w:semiHidden/>
    <w:rsid w:val="00713324"/>
    <w:pPr>
      <w:widowControl w:val="0"/>
    </w:pPr>
    <w:rPr>
      <w:rFonts w:ascii="CG Times" w:hAnsi="CG Times"/>
      <w:sz w:val="24"/>
    </w:rPr>
  </w:style>
  <w:style w:type="character" w:customStyle="1" w:styleId="FootnoteTextChar">
    <w:name w:val="Footnote Text Char"/>
    <w:basedOn w:val="DefaultParagraphFont"/>
    <w:link w:val="FootnoteText"/>
    <w:uiPriority w:val="99"/>
    <w:semiHidden/>
    <w:locked/>
    <w:rsid w:val="00713324"/>
    <w:rPr>
      <w:rFonts w:cs="Times New Roman"/>
    </w:rPr>
  </w:style>
  <w:style w:type="character" w:styleId="FootnoteReference">
    <w:name w:val="footnote reference"/>
    <w:basedOn w:val="DefaultParagraphFont"/>
    <w:uiPriority w:val="99"/>
    <w:rsid w:val="00713324"/>
    <w:rPr>
      <w:rFonts w:ascii="Arial" w:hAnsi="Arial" w:cs="Times New Roman"/>
      <w:sz w:val="24"/>
      <w:vertAlign w:val="superscript"/>
      <w:lang w:val="en-US"/>
    </w:rPr>
  </w:style>
  <w:style w:type="paragraph" w:styleId="Title">
    <w:name w:val="Title"/>
    <w:basedOn w:val="Normal"/>
    <w:link w:val="TitleChar"/>
    <w:uiPriority w:val="99"/>
    <w:qFormat/>
    <w:rsid w:val="00713324"/>
    <w:pPr>
      <w:tabs>
        <w:tab w:val="center" w:pos="4320"/>
      </w:tabs>
      <w:jc w:val="center"/>
    </w:pPr>
    <w:rPr>
      <w:rFonts w:ascii="CG Times" w:hAnsi="CG Times"/>
      <w:b/>
      <w:spacing w:val="-3"/>
      <w:sz w:val="24"/>
    </w:rPr>
  </w:style>
  <w:style w:type="character" w:customStyle="1" w:styleId="TitleChar">
    <w:name w:val="Title Char"/>
    <w:basedOn w:val="DefaultParagraphFont"/>
    <w:link w:val="Title"/>
    <w:uiPriority w:val="99"/>
    <w:locked/>
    <w:rsid w:val="00713324"/>
    <w:rPr>
      <w:rFonts w:ascii="Cambria" w:hAnsi="Cambria" w:cs="Times New Roman"/>
      <w:b/>
      <w:bCs/>
      <w:kern w:val="28"/>
      <w:sz w:val="32"/>
      <w:szCs w:val="32"/>
    </w:rPr>
  </w:style>
  <w:style w:type="paragraph" w:styleId="List2">
    <w:name w:val="List 2"/>
    <w:basedOn w:val="Normal"/>
    <w:rsid w:val="00713324"/>
    <w:pPr>
      <w:ind w:left="720" w:hanging="360"/>
    </w:pPr>
    <w:rPr>
      <w:sz w:val="24"/>
      <w:lang w:val="es-ES_tradnl"/>
    </w:rPr>
  </w:style>
  <w:style w:type="paragraph" w:styleId="NormalWeb">
    <w:name w:val="Normal (Web)"/>
    <w:basedOn w:val="Normal"/>
    <w:uiPriority w:val="99"/>
    <w:rsid w:val="00713324"/>
    <w:pPr>
      <w:spacing w:before="100" w:beforeAutospacing="1" w:after="100" w:afterAutospacing="1"/>
    </w:pPr>
    <w:rPr>
      <w:sz w:val="24"/>
      <w:szCs w:val="24"/>
      <w:lang w:val="es-US" w:eastAsia="es-US"/>
    </w:rPr>
  </w:style>
  <w:style w:type="character" w:styleId="Hyperlink">
    <w:name w:val="Hyperlink"/>
    <w:basedOn w:val="DefaultParagraphFont"/>
    <w:uiPriority w:val="99"/>
    <w:rsid w:val="00713324"/>
    <w:rPr>
      <w:rFonts w:cs="Times New Roman"/>
      <w:color w:val="0000FF"/>
      <w:u w:val="single"/>
    </w:rPr>
  </w:style>
  <w:style w:type="character" w:customStyle="1" w:styleId="tocnumber">
    <w:name w:val="tocnumber"/>
    <w:uiPriority w:val="99"/>
    <w:rsid w:val="00713324"/>
  </w:style>
  <w:style w:type="character" w:customStyle="1" w:styleId="toctext">
    <w:name w:val="toctext"/>
    <w:uiPriority w:val="99"/>
    <w:rsid w:val="00713324"/>
  </w:style>
  <w:style w:type="character" w:customStyle="1" w:styleId="mw-headline">
    <w:name w:val="mw-headline"/>
    <w:uiPriority w:val="99"/>
    <w:rsid w:val="00713324"/>
  </w:style>
  <w:style w:type="paragraph" w:styleId="ListParagraph">
    <w:name w:val="List Paragraph"/>
    <w:basedOn w:val="Normal"/>
    <w:uiPriority w:val="34"/>
    <w:qFormat/>
    <w:rsid w:val="00713324"/>
    <w:pPr>
      <w:spacing w:after="200" w:line="276" w:lineRule="auto"/>
      <w:ind w:left="720"/>
      <w:contextualSpacing/>
    </w:pPr>
    <w:rPr>
      <w:rFonts w:ascii="Cambria" w:hAnsi="Cambria"/>
      <w:color w:val="000000"/>
      <w:sz w:val="22"/>
      <w:szCs w:val="22"/>
      <w:lang w:val="es-ES_tradnl" w:eastAsia="es-ES_tradnl"/>
    </w:rPr>
  </w:style>
  <w:style w:type="character" w:styleId="CommentReference">
    <w:name w:val="annotation reference"/>
    <w:basedOn w:val="DefaultParagraphFont"/>
    <w:uiPriority w:val="99"/>
    <w:semiHidden/>
    <w:rsid w:val="00713324"/>
    <w:rPr>
      <w:rFonts w:cs="Times New Roman"/>
      <w:sz w:val="16"/>
    </w:rPr>
  </w:style>
  <w:style w:type="paragraph" w:styleId="CommentText">
    <w:name w:val="annotation text"/>
    <w:basedOn w:val="Normal"/>
    <w:link w:val="CommentTextChar"/>
    <w:uiPriority w:val="99"/>
    <w:semiHidden/>
    <w:rsid w:val="00713324"/>
    <w:pPr>
      <w:spacing w:after="200" w:line="276" w:lineRule="auto"/>
    </w:pPr>
    <w:rPr>
      <w:rFonts w:ascii="Calibri" w:hAnsi="Calibri"/>
      <w:lang w:val="es-US"/>
    </w:rPr>
  </w:style>
  <w:style w:type="character" w:customStyle="1" w:styleId="CommentTextChar">
    <w:name w:val="Comment Text Char"/>
    <w:basedOn w:val="DefaultParagraphFont"/>
    <w:link w:val="CommentText"/>
    <w:uiPriority w:val="99"/>
    <w:semiHidden/>
    <w:locked/>
    <w:rsid w:val="00713324"/>
    <w:rPr>
      <w:rFonts w:ascii="Calibri" w:hAnsi="Calibri" w:cs="Times New Roman"/>
      <w:sz w:val="20"/>
      <w:szCs w:val="20"/>
      <w:lang w:val="es-US"/>
    </w:rPr>
  </w:style>
  <w:style w:type="paragraph" w:styleId="CommentSubject">
    <w:name w:val="annotation subject"/>
    <w:basedOn w:val="CommentText"/>
    <w:next w:val="CommentText"/>
    <w:link w:val="CommentSubjectChar"/>
    <w:uiPriority w:val="99"/>
    <w:semiHidden/>
    <w:rsid w:val="00713324"/>
    <w:rPr>
      <w:b/>
      <w:bCs/>
    </w:rPr>
  </w:style>
  <w:style w:type="character" w:customStyle="1" w:styleId="CommentSubjectChar">
    <w:name w:val="Comment Subject Char"/>
    <w:basedOn w:val="CommentTextChar"/>
    <w:link w:val="CommentSubject"/>
    <w:uiPriority w:val="99"/>
    <w:semiHidden/>
    <w:locked/>
    <w:rsid w:val="00713324"/>
    <w:rPr>
      <w:rFonts w:ascii="Calibri" w:hAnsi="Calibri" w:cs="Times New Roman"/>
      <w:b/>
      <w:bCs/>
      <w:sz w:val="20"/>
      <w:szCs w:val="20"/>
      <w:lang w:val="es-US"/>
    </w:rPr>
  </w:style>
  <w:style w:type="paragraph" w:styleId="EndnoteText">
    <w:name w:val="endnote text"/>
    <w:basedOn w:val="Normal"/>
    <w:link w:val="EndnoteTextChar1"/>
    <w:uiPriority w:val="99"/>
    <w:rsid w:val="00713324"/>
    <w:rPr>
      <w:rFonts w:ascii="Calibri" w:hAnsi="Calibri"/>
    </w:rPr>
  </w:style>
  <w:style w:type="character" w:customStyle="1" w:styleId="EndnoteTextChar">
    <w:name w:val="Endnote Text Char"/>
    <w:basedOn w:val="DefaultParagraphFont"/>
    <w:uiPriority w:val="99"/>
    <w:semiHidden/>
    <w:locked/>
    <w:rsid w:val="00713324"/>
    <w:rPr>
      <w:rFonts w:cs="Times New Roman"/>
      <w:sz w:val="20"/>
      <w:szCs w:val="20"/>
    </w:rPr>
  </w:style>
  <w:style w:type="character" w:customStyle="1" w:styleId="EndnoteTextChar1">
    <w:name w:val="Endnote Text Char1"/>
    <w:link w:val="EndnoteText"/>
    <w:uiPriority w:val="99"/>
    <w:locked/>
    <w:rsid w:val="00713324"/>
    <w:rPr>
      <w:rFonts w:ascii="Calibri" w:hAnsi="Calibri"/>
      <w:sz w:val="20"/>
    </w:rPr>
  </w:style>
  <w:style w:type="character" w:customStyle="1" w:styleId="CharChar4">
    <w:name w:val="Char Char4"/>
    <w:uiPriority w:val="99"/>
    <w:semiHidden/>
    <w:locked/>
    <w:rsid w:val="00713324"/>
    <w:rPr>
      <w:lang w:val="en-US" w:eastAsia="en-US"/>
    </w:rPr>
  </w:style>
  <w:style w:type="table" w:styleId="TableGrid">
    <w:name w:val="Table Grid"/>
    <w:basedOn w:val="TableNormal"/>
    <w:uiPriority w:val="99"/>
    <w:locked/>
    <w:rsid w:val="0071332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713324"/>
  </w:style>
  <w:style w:type="character" w:styleId="EndnoteReference">
    <w:name w:val="endnote reference"/>
    <w:basedOn w:val="DefaultParagraphFont"/>
    <w:uiPriority w:val="99"/>
    <w:semiHidden/>
    <w:rsid w:val="00713324"/>
    <w:rPr>
      <w:rFonts w:cs="Times New Roman"/>
      <w:vertAlign w:val="superscript"/>
    </w:rPr>
  </w:style>
  <w:style w:type="character" w:styleId="FollowedHyperlink">
    <w:name w:val="FollowedHyperlink"/>
    <w:basedOn w:val="DefaultParagraphFont"/>
    <w:uiPriority w:val="99"/>
    <w:semiHidden/>
    <w:rsid w:val="00713324"/>
    <w:rPr>
      <w:rFonts w:cs="Times New Roman"/>
      <w:color w:val="800080"/>
      <w:u w:val="single"/>
    </w:rPr>
  </w:style>
  <w:style w:type="paragraph" w:styleId="Revision">
    <w:name w:val="Revision"/>
    <w:hidden/>
    <w:uiPriority w:val="99"/>
    <w:semiHidden/>
    <w:rsid w:val="00713324"/>
    <w:rPr>
      <w:rFonts w:ascii="Calibri" w:hAnsi="Calibri"/>
      <w:lang w:val="es-US"/>
    </w:rPr>
  </w:style>
  <w:style w:type="numbering" w:styleId="111111">
    <w:name w:val="Outline List 2"/>
    <w:basedOn w:val="NoList"/>
    <w:uiPriority w:val="99"/>
    <w:semiHidden/>
    <w:unhideWhenUsed/>
    <w:rsid w:val="0038079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page number" w:uiPriority="0"/>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24"/>
    <w:rPr>
      <w:sz w:val="20"/>
      <w:szCs w:val="20"/>
    </w:rPr>
  </w:style>
  <w:style w:type="paragraph" w:styleId="Heading1">
    <w:name w:val="heading 1"/>
    <w:basedOn w:val="Normal"/>
    <w:next w:val="Normal"/>
    <w:link w:val="Heading1Char"/>
    <w:uiPriority w:val="99"/>
    <w:qFormat/>
    <w:rsid w:val="00713324"/>
    <w:pPr>
      <w:keepNext/>
      <w:tabs>
        <w:tab w:val="left" w:pos="5184"/>
      </w:tabs>
      <w:jc w:val="center"/>
      <w:outlineLvl w:val="0"/>
    </w:pPr>
    <w:rPr>
      <w:b/>
      <w:sz w:val="24"/>
    </w:rPr>
  </w:style>
  <w:style w:type="paragraph" w:styleId="Heading2">
    <w:name w:val="heading 2"/>
    <w:basedOn w:val="Normal"/>
    <w:next w:val="Normal"/>
    <w:link w:val="Heading2Char"/>
    <w:uiPriority w:val="99"/>
    <w:qFormat/>
    <w:rsid w:val="00713324"/>
    <w:pPr>
      <w:keepNext/>
      <w:tabs>
        <w:tab w:val="left" w:pos="720"/>
        <w:tab w:val="left" w:pos="1152"/>
        <w:tab w:val="left" w:pos="1584"/>
      </w:tabs>
      <w:ind w:right="720"/>
      <w:jc w:val="right"/>
      <w:outlineLvl w:val="1"/>
    </w:pPr>
    <w:rPr>
      <w:b/>
      <w:i/>
    </w:rPr>
  </w:style>
  <w:style w:type="paragraph" w:styleId="Heading3">
    <w:name w:val="heading 3"/>
    <w:basedOn w:val="Normal"/>
    <w:next w:val="Normal"/>
    <w:link w:val="Heading3Char"/>
    <w:uiPriority w:val="99"/>
    <w:qFormat/>
    <w:rsid w:val="00713324"/>
    <w:pPr>
      <w:keepNext/>
      <w:tabs>
        <w:tab w:val="left" w:pos="720"/>
        <w:tab w:val="left" w:pos="1152"/>
        <w:tab w:val="left" w:pos="1584"/>
      </w:tabs>
      <w:ind w:right="720"/>
      <w:jc w:val="center"/>
      <w:outlineLvl w:val="2"/>
    </w:pPr>
    <w:rPr>
      <w:b/>
      <w:sz w:val="24"/>
    </w:rPr>
  </w:style>
  <w:style w:type="paragraph" w:styleId="Heading4">
    <w:name w:val="heading 4"/>
    <w:basedOn w:val="Normal"/>
    <w:next w:val="Normal"/>
    <w:link w:val="Heading4Char"/>
    <w:uiPriority w:val="99"/>
    <w:qFormat/>
    <w:rsid w:val="00713324"/>
    <w:pPr>
      <w:keepNext/>
      <w:tabs>
        <w:tab w:val="left" w:pos="720"/>
        <w:tab w:val="left" w:pos="1152"/>
        <w:tab w:val="left" w:pos="1584"/>
      </w:tabs>
      <w:ind w:left="720" w:hanging="720"/>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32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1332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1332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13324"/>
    <w:rPr>
      <w:rFonts w:ascii="Calibri" w:hAnsi="Calibri" w:cs="Times New Roman"/>
      <w:b/>
      <w:bCs/>
      <w:sz w:val="28"/>
      <w:szCs w:val="28"/>
    </w:rPr>
  </w:style>
  <w:style w:type="paragraph" w:styleId="Caption">
    <w:name w:val="caption"/>
    <w:basedOn w:val="Normal"/>
    <w:next w:val="Normal"/>
    <w:uiPriority w:val="99"/>
    <w:qFormat/>
    <w:rsid w:val="00713324"/>
    <w:pPr>
      <w:tabs>
        <w:tab w:val="left" w:pos="720"/>
        <w:tab w:val="left" w:pos="1152"/>
        <w:tab w:val="left" w:pos="1584"/>
      </w:tabs>
    </w:pPr>
    <w:rPr>
      <w:b/>
      <w:sz w:val="22"/>
    </w:rPr>
  </w:style>
  <w:style w:type="paragraph" w:styleId="BodyTextIndent">
    <w:name w:val="Body Text Indent"/>
    <w:basedOn w:val="Normal"/>
    <w:link w:val="BodyTextIndentChar"/>
    <w:uiPriority w:val="99"/>
    <w:rsid w:val="00713324"/>
    <w:pPr>
      <w:tabs>
        <w:tab w:val="left" w:pos="720"/>
        <w:tab w:val="left" w:pos="1152"/>
        <w:tab w:val="left" w:pos="1584"/>
      </w:tabs>
      <w:jc w:val="both"/>
    </w:pPr>
    <w:rPr>
      <w:sz w:val="24"/>
    </w:rPr>
  </w:style>
  <w:style w:type="character" w:customStyle="1" w:styleId="BodyTextIndentChar">
    <w:name w:val="Body Text Indent Char"/>
    <w:basedOn w:val="DefaultParagraphFont"/>
    <w:link w:val="BodyTextIndent"/>
    <w:uiPriority w:val="99"/>
    <w:semiHidden/>
    <w:locked/>
    <w:rsid w:val="00713324"/>
    <w:rPr>
      <w:rFonts w:cs="Times New Roman"/>
    </w:rPr>
  </w:style>
  <w:style w:type="paragraph" w:styleId="BodyText">
    <w:name w:val="Body Text"/>
    <w:basedOn w:val="Normal"/>
    <w:link w:val="BodyTextChar"/>
    <w:uiPriority w:val="99"/>
    <w:rsid w:val="00713324"/>
    <w:pPr>
      <w:tabs>
        <w:tab w:val="left" w:pos="720"/>
        <w:tab w:val="left" w:pos="1152"/>
        <w:tab w:val="left" w:pos="1584"/>
      </w:tabs>
      <w:jc w:val="both"/>
    </w:pPr>
    <w:rPr>
      <w:sz w:val="22"/>
    </w:rPr>
  </w:style>
  <w:style w:type="character" w:customStyle="1" w:styleId="BodyTextChar">
    <w:name w:val="Body Text Char"/>
    <w:basedOn w:val="DefaultParagraphFont"/>
    <w:link w:val="BodyText"/>
    <w:uiPriority w:val="99"/>
    <w:semiHidden/>
    <w:locked/>
    <w:rsid w:val="00713324"/>
    <w:rPr>
      <w:rFonts w:cs="Times New Roman"/>
    </w:rPr>
  </w:style>
  <w:style w:type="paragraph" w:styleId="Header">
    <w:name w:val="header"/>
    <w:basedOn w:val="Normal"/>
    <w:link w:val="HeaderChar"/>
    <w:rsid w:val="00713324"/>
    <w:pPr>
      <w:tabs>
        <w:tab w:val="center" w:pos="4320"/>
        <w:tab w:val="right" w:pos="8640"/>
      </w:tabs>
    </w:pPr>
    <w:rPr>
      <w:sz w:val="24"/>
      <w:lang w:val="es-ES_tradnl"/>
    </w:rPr>
  </w:style>
  <w:style w:type="character" w:customStyle="1" w:styleId="HeaderChar">
    <w:name w:val="Header Char"/>
    <w:basedOn w:val="DefaultParagraphFont"/>
    <w:link w:val="Header"/>
    <w:locked/>
    <w:rsid w:val="00713324"/>
    <w:rPr>
      <w:rFonts w:cs="Times New Roman"/>
    </w:rPr>
  </w:style>
  <w:style w:type="character" w:styleId="PageNumber">
    <w:name w:val="page number"/>
    <w:basedOn w:val="DefaultParagraphFont"/>
    <w:rsid w:val="00713324"/>
    <w:rPr>
      <w:rFonts w:cs="Times New Roman"/>
    </w:rPr>
  </w:style>
  <w:style w:type="paragraph" w:styleId="Footer">
    <w:name w:val="footer"/>
    <w:basedOn w:val="Normal"/>
    <w:link w:val="FooterChar"/>
    <w:rsid w:val="00713324"/>
    <w:pPr>
      <w:tabs>
        <w:tab w:val="center" w:pos="4320"/>
        <w:tab w:val="right" w:pos="8640"/>
      </w:tabs>
    </w:pPr>
  </w:style>
  <w:style w:type="character" w:customStyle="1" w:styleId="FooterChar">
    <w:name w:val="Footer Char"/>
    <w:basedOn w:val="DefaultParagraphFont"/>
    <w:link w:val="Footer"/>
    <w:uiPriority w:val="99"/>
    <w:locked/>
    <w:rsid w:val="00713324"/>
    <w:rPr>
      <w:rFonts w:cs="Times New Roman"/>
    </w:rPr>
  </w:style>
  <w:style w:type="paragraph" w:styleId="BalloonText">
    <w:name w:val="Balloon Text"/>
    <w:basedOn w:val="Normal"/>
    <w:link w:val="BalloonTextChar"/>
    <w:uiPriority w:val="99"/>
    <w:semiHidden/>
    <w:rsid w:val="007133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324"/>
    <w:rPr>
      <w:rFonts w:cs="Times New Roman"/>
      <w:sz w:val="2"/>
    </w:rPr>
  </w:style>
  <w:style w:type="paragraph" w:styleId="FootnoteText">
    <w:name w:val="footnote text"/>
    <w:basedOn w:val="Normal"/>
    <w:link w:val="FootnoteTextChar"/>
    <w:uiPriority w:val="99"/>
    <w:semiHidden/>
    <w:rsid w:val="00713324"/>
    <w:pPr>
      <w:widowControl w:val="0"/>
    </w:pPr>
    <w:rPr>
      <w:rFonts w:ascii="CG Times" w:hAnsi="CG Times"/>
      <w:sz w:val="24"/>
    </w:rPr>
  </w:style>
  <w:style w:type="character" w:customStyle="1" w:styleId="FootnoteTextChar">
    <w:name w:val="Footnote Text Char"/>
    <w:basedOn w:val="DefaultParagraphFont"/>
    <w:link w:val="FootnoteText"/>
    <w:uiPriority w:val="99"/>
    <w:semiHidden/>
    <w:locked/>
    <w:rsid w:val="00713324"/>
    <w:rPr>
      <w:rFonts w:cs="Times New Roman"/>
    </w:rPr>
  </w:style>
  <w:style w:type="character" w:styleId="FootnoteReference">
    <w:name w:val="footnote reference"/>
    <w:basedOn w:val="DefaultParagraphFont"/>
    <w:uiPriority w:val="99"/>
    <w:rsid w:val="00713324"/>
    <w:rPr>
      <w:rFonts w:ascii="Arial" w:hAnsi="Arial" w:cs="Times New Roman"/>
      <w:sz w:val="24"/>
      <w:vertAlign w:val="superscript"/>
      <w:lang w:val="en-US"/>
    </w:rPr>
  </w:style>
  <w:style w:type="paragraph" w:styleId="Title">
    <w:name w:val="Title"/>
    <w:basedOn w:val="Normal"/>
    <w:link w:val="TitleChar"/>
    <w:uiPriority w:val="99"/>
    <w:qFormat/>
    <w:rsid w:val="00713324"/>
    <w:pPr>
      <w:tabs>
        <w:tab w:val="center" w:pos="4320"/>
      </w:tabs>
      <w:jc w:val="center"/>
    </w:pPr>
    <w:rPr>
      <w:rFonts w:ascii="CG Times" w:hAnsi="CG Times"/>
      <w:b/>
      <w:spacing w:val="-3"/>
      <w:sz w:val="24"/>
    </w:rPr>
  </w:style>
  <w:style w:type="character" w:customStyle="1" w:styleId="TitleChar">
    <w:name w:val="Title Char"/>
    <w:basedOn w:val="DefaultParagraphFont"/>
    <w:link w:val="Title"/>
    <w:uiPriority w:val="99"/>
    <w:locked/>
    <w:rsid w:val="00713324"/>
    <w:rPr>
      <w:rFonts w:ascii="Cambria" w:hAnsi="Cambria" w:cs="Times New Roman"/>
      <w:b/>
      <w:bCs/>
      <w:kern w:val="28"/>
      <w:sz w:val="32"/>
      <w:szCs w:val="32"/>
    </w:rPr>
  </w:style>
  <w:style w:type="paragraph" w:styleId="List2">
    <w:name w:val="List 2"/>
    <w:basedOn w:val="Normal"/>
    <w:rsid w:val="00713324"/>
    <w:pPr>
      <w:ind w:left="720" w:hanging="360"/>
    </w:pPr>
    <w:rPr>
      <w:sz w:val="24"/>
      <w:lang w:val="es-ES_tradnl"/>
    </w:rPr>
  </w:style>
  <w:style w:type="paragraph" w:styleId="NormalWeb">
    <w:name w:val="Normal (Web)"/>
    <w:basedOn w:val="Normal"/>
    <w:uiPriority w:val="99"/>
    <w:rsid w:val="00713324"/>
    <w:pPr>
      <w:spacing w:before="100" w:beforeAutospacing="1" w:after="100" w:afterAutospacing="1"/>
    </w:pPr>
    <w:rPr>
      <w:sz w:val="24"/>
      <w:szCs w:val="24"/>
      <w:lang w:val="es-US" w:eastAsia="es-US"/>
    </w:rPr>
  </w:style>
  <w:style w:type="character" w:styleId="Hyperlink">
    <w:name w:val="Hyperlink"/>
    <w:basedOn w:val="DefaultParagraphFont"/>
    <w:uiPriority w:val="99"/>
    <w:rsid w:val="00713324"/>
    <w:rPr>
      <w:rFonts w:cs="Times New Roman"/>
      <w:color w:val="0000FF"/>
      <w:u w:val="single"/>
    </w:rPr>
  </w:style>
  <w:style w:type="character" w:customStyle="1" w:styleId="tocnumber">
    <w:name w:val="tocnumber"/>
    <w:uiPriority w:val="99"/>
    <w:rsid w:val="00713324"/>
  </w:style>
  <w:style w:type="character" w:customStyle="1" w:styleId="toctext">
    <w:name w:val="toctext"/>
    <w:uiPriority w:val="99"/>
    <w:rsid w:val="00713324"/>
  </w:style>
  <w:style w:type="character" w:customStyle="1" w:styleId="mw-headline">
    <w:name w:val="mw-headline"/>
    <w:uiPriority w:val="99"/>
    <w:rsid w:val="00713324"/>
  </w:style>
  <w:style w:type="paragraph" w:styleId="ListParagraph">
    <w:name w:val="List Paragraph"/>
    <w:basedOn w:val="Normal"/>
    <w:uiPriority w:val="34"/>
    <w:qFormat/>
    <w:rsid w:val="00713324"/>
    <w:pPr>
      <w:spacing w:after="200" w:line="276" w:lineRule="auto"/>
      <w:ind w:left="720"/>
      <w:contextualSpacing/>
    </w:pPr>
    <w:rPr>
      <w:rFonts w:ascii="Cambria" w:hAnsi="Cambria"/>
      <w:color w:val="000000"/>
      <w:sz w:val="22"/>
      <w:szCs w:val="22"/>
      <w:lang w:val="es-ES_tradnl" w:eastAsia="es-ES_tradnl"/>
    </w:rPr>
  </w:style>
  <w:style w:type="character" w:styleId="CommentReference">
    <w:name w:val="annotation reference"/>
    <w:basedOn w:val="DefaultParagraphFont"/>
    <w:uiPriority w:val="99"/>
    <w:semiHidden/>
    <w:rsid w:val="00713324"/>
    <w:rPr>
      <w:rFonts w:cs="Times New Roman"/>
      <w:sz w:val="16"/>
    </w:rPr>
  </w:style>
  <w:style w:type="paragraph" w:styleId="CommentText">
    <w:name w:val="annotation text"/>
    <w:basedOn w:val="Normal"/>
    <w:link w:val="CommentTextChar"/>
    <w:uiPriority w:val="99"/>
    <w:semiHidden/>
    <w:rsid w:val="00713324"/>
    <w:pPr>
      <w:spacing w:after="200" w:line="276" w:lineRule="auto"/>
    </w:pPr>
    <w:rPr>
      <w:rFonts w:ascii="Calibri" w:hAnsi="Calibri"/>
      <w:lang w:val="es-US"/>
    </w:rPr>
  </w:style>
  <w:style w:type="character" w:customStyle="1" w:styleId="CommentTextChar">
    <w:name w:val="Comment Text Char"/>
    <w:basedOn w:val="DefaultParagraphFont"/>
    <w:link w:val="CommentText"/>
    <w:uiPriority w:val="99"/>
    <w:semiHidden/>
    <w:locked/>
    <w:rsid w:val="00713324"/>
    <w:rPr>
      <w:rFonts w:ascii="Calibri" w:hAnsi="Calibri" w:cs="Times New Roman"/>
      <w:sz w:val="20"/>
      <w:szCs w:val="20"/>
      <w:lang w:val="es-US"/>
    </w:rPr>
  </w:style>
  <w:style w:type="paragraph" w:styleId="CommentSubject">
    <w:name w:val="annotation subject"/>
    <w:basedOn w:val="CommentText"/>
    <w:next w:val="CommentText"/>
    <w:link w:val="CommentSubjectChar"/>
    <w:uiPriority w:val="99"/>
    <w:semiHidden/>
    <w:rsid w:val="00713324"/>
    <w:rPr>
      <w:b/>
      <w:bCs/>
    </w:rPr>
  </w:style>
  <w:style w:type="character" w:customStyle="1" w:styleId="CommentSubjectChar">
    <w:name w:val="Comment Subject Char"/>
    <w:basedOn w:val="CommentTextChar"/>
    <w:link w:val="CommentSubject"/>
    <w:uiPriority w:val="99"/>
    <w:semiHidden/>
    <w:locked/>
    <w:rsid w:val="00713324"/>
    <w:rPr>
      <w:rFonts w:ascii="Calibri" w:hAnsi="Calibri" w:cs="Times New Roman"/>
      <w:b/>
      <w:bCs/>
      <w:sz w:val="20"/>
      <w:szCs w:val="20"/>
      <w:lang w:val="es-US"/>
    </w:rPr>
  </w:style>
  <w:style w:type="paragraph" w:styleId="EndnoteText">
    <w:name w:val="endnote text"/>
    <w:basedOn w:val="Normal"/>
    <w:link w:val="EndnoteTextChar1"/>
    <w:uiPriority w:val="99"/>
    <w:rsid w:val="00713324"/>
    <w:rPr>
      <w:rFonts w:ascii="Calibri" w:hAnsi="Calibri"/>
    </w:rPr>
  </w:style>
  <w:style w:type="character" w:customStyle="1" w:styleId="EndnoteTextChar">
    <w:name w:val="Endnote Text Char"/>
    <w:basedOn w:val="DefaultParagraphFont"/>
    <w:uiPriority w:val="99"/>
    <w:semiHidden/>
    <w:locked/>
    <w:rsid w:val="00713324"/>
    <w:rPr>
      <w:rFonts w:cs="Times New Roman"/>
      <w:sz w:val="20"/>
      <w:szCs w:val="20"/>
    </w:rPr>
  </w:style>
  <w:style w:type="character" w:customStyle="1" w:styleId="EndnoteTextChar1">
    <w:name w:val="Endnote Text Char1"/>
    <w:link w:val="EndnoteText"/>
    <w:uiPriority w:val="99"/>
    <w:locked/>
    <w:rsid w:val="00713324"/>
    <w:rPr>
      <w:rFonts w:ascii="Calibri" w:hAnsi="Calibri"/>
      <w:sz w:val="20"/>
    </w:rPr>
  </w:style>
  <w:style w:type="character" w:customStyle="1" w:styleId="CharChar4">
    <w:name w:val="Char Char4"/>
    <w:uiPriority w:val="99"/>
    <w:semiHidden/>
    <w:locked/>
    <w:rsid w:val="00713324"/>
    <w:rPr>
      <w:lang w:val="en-US" w:eastAsia="en-US"/>
    </w:rPr>
  </w:style>
  <w:style w:type="table" w:styleId="TableGrid">
    <w:name w:val="Table Grid"/>
    <w:basedOn w:val="TableNormal"/>
    <w:uiPriority w:val="99"/>
    <w:locked/>
    <w:rsid w:val="0071332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713324"/>
  </w:style>
  <w:style w:type="character" w:styleId="EndnoteReference">
    <w:name w:val="endnote reference"/>
    <w:basedOn w:val="DefaultParagraphFont"/>
    <w:uiPriority w:val="99"/>
    <w:semiHidden/>
    <w:rsid w:val="00713324"/>
    <w:rPr>
      <w:rFonts w:cs="Times New Roman"/>
      <w:vertAlign w:val="superscript"/>
    </w:rPr>
  </w:style>
  <w:style w:type="character" w:styleId="FollowedHyperlink">
    <w:name w:val="FollowedHyperlink"/>
    <w:basedOn w:val="DefaultParagraphFont"/>
    <w:uiPriority w:val="99"/>
    <w:semiHidden/>
    <w:rsid w:val="00713324"/>
    <w:rPr>
      <w:rFonts w:cs="Times New Roman"/>
      <w:color w:val="800080"/>
      <w:u w:val="single"/>
    </w:rPr>
  </w:style>
  <w:style w:type="paragraph" w:styleId="Revision">
    <w:name w:val="Revision"/>
    <w:hidden/>
    <w:uiPriority w:val="99"/>
    <w:semiHidden/>
    <w:rsid w:val="00713324"/>
    <w:rPr>
      <w:rFonts w:ascii="Calibri" w:hAnsi="Calibri"/>
      <w:lang w:val="es-US"/>
    </w:rPr>
  </w:style>
  <w:style w:type="numbering" w:styleId="111111">
    <w:name w:val="Outline List 2"/>
    <w:basedOn w:val="NoList"/>
    <w:uiPriority w:val="99"/>
    <w:semiHidden/>
    <w:unhideWhenUsed/>
    <w:rsid w:val="0038079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8368">
      <w:bodyDiv w:val="1"/>
      <w:marLeft w:val="0"/>
      <w:marRight w:val="0"/>
      <w:marTop w:val="0"/>
      <w:marBottom w:val="0"/>
      <w:divBdr>
        <w:top w:val="none" w:sz="0" w:space="0" w:color="auto"/>
        <w:left w:val="none" w:sz="0" w:space="0" w:color="auto"/>
        <w:bottom w:val="none" w:sz="0" w:space="0" w:color="auto"/>
        <w:right w:val="none" w:sz="0" w:space="0" w:color="auto"/>
      </w:divBdr>
    </w:div>
    <w:div w:id="1143111412">
      <w:marLeft w:val="0"/>
      <w:marRight w:val="0"/>
      <w:marTop w:val="0"/>
      <w:marBottom w:val="0"/>
      <w:divBdr>
        <w:top w:val="none" w:sz="0" w:space="0" w:color="auto"/>
        <w:left w:val="none" w:sz="0" w:space="0" w:color="auto"/>
        <w:bottom w:val="none" w:sz="0" w:space="0" w:color="auto"/>
        <w:right w:val="none" w:sz="0" w:space="0" w:color="auto"/>
      </w:divBdr>
    </w:div>
    <w:div w:id="1143111413">
      <w:marLeft w:val="0"/>
      <w:marRight w:val="0"/>
      <w:marTop w:val="0"/>
      <w:marBottom w:val="0"/>
      <w:divBdr>
        <w:top w:val="none" w:sz="0" w:space="0" w:color="auto"/>
        <w:left w:val="none" w:sz="0" w:space="0" w:color="auto"/>
        <w:bottom w:val="none" w:sz="0" w:space="0" w:color="auto"/>
        <w:right w:val="none" w:sz="0" w:space="0" w:color="auto"/>
      </w:divBdr>
    </w:div>
    <w:div w:id="15864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org/spanish/milenio/ares552.pdf" TargetMode="External"/><Relationship Id="rId18" Type="http://schemas.openxmlformats.org/officeDocument/2006/relationships/hyperlink" Target="http://www.emro.who.int/dsaf/dsa999.pdf" TargetMode="External"/><Relationship Id="rId26" Type="http://schemas.openxmlformats.org/officeDocument/2006/relationships/hyperlink" Target="https://intranet.paho.org/kmc/intranet/Documents/KMC%20Strategy/Estrategia%20KMC%20%28spanish%29.pdf" TargetMode="External"/><Relationship Id="rId39" Type="http://schemas.openxmlformats.org/officeDocument/2006/relationships/hyperlink" Target="http://www.cepal.org/publicaciones/xml/5/41825/di-salud-electrinica-LAC.pdf" TargetMode="External"/><Relationship Id="rId21" Type="http://schemas.openxmlformats.org/officeDocument/2006/relationships/hyperlink" Target="http://new.paho.org/hq/index.php?option=com_docman&amp;task=doc_download&amp;gid=14573&amp;Itemid" TargetMode="External"/><Relationship Id="rId34" Type="http://schemas.openxmlformats.org/officeDocument/2006/relationships/hyperlink" Target="http://www.who.int/kms/about/strategy/kms_strategy.pdf" TargetMode="External"/><Relationship Id="rId42" Type="http://schemas.openxmlformats.org/officeDocument/2006/relationships/hyperlink" Target="http://new.paho.org/hq/dmdocuments/2009/DO-328-completo-s.pdf" TargetMode="External"/><Relationship Id="rId47" Type="http://schemas.openxmlformats.org/officeDocument/2006/relationships/hyperlink" Target="http://daccess-dds-ny.un.org/doc/UNDOC/GEN/N97/765/70/PDF/N9776570.pdf?OpenElement" TargetMode="External"/><Relationship Id="rId50" Type="http://schemas.openxmlformats.org/officeDocument/2006/relationships/header" Target="header6.xml"/><Relationship Id="rId55"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paho.org/spanish/dd/pin/alma-ata_declaracion.htm" TargetMode="External"/><Relationship Id="rId17" Type="http://schemas.openxmlformats.org/officeDocument/2006/relationships/hyperlink" Target="http://www.unjiu.org/data/reports/2007/en2007_06.pdf" TargetMode="External"/><Relationship Id="rId25" Type="http://schemas.openxmlformats.org/officeDocument/2006/relationships/hyperlink" Target="http://www.cepal.org/cgi-bin/getProd.asp?xml=/socinfo/noticias/documentosdetrabajo/0/41770/P41770.xml&amp;xsl=/socinfo/tpl/p38f.xsl&amp;base=/elac2015/tpl/top-bottom.xsl" TargetMode="External"/><Relationship Id="rId33" Type="http://schemas.openxmlformats.org/officeDocument/2006/relationships/hyperlink" Target="http://www.un.org/spanish/documents/ga/res/51/list51.htm" TargetMode="External"/><Relationship Id="rId38" Type="http://schemas.openxmlformats.org/officeDocument/2006/relationships/hyperlink" Target="http://new.paho.org/hq/index.php?option=com_docman&amp;task=doc_download&amp;gid=14573&amp;Itemid" TargetMode="External"/><Relationship Id="rId46" Type="http://schemas.openxmlformats.org/officeDocument/2006/relationships/hyperlink" Target="http://www.unjiu.org/data/reports/2007/sp2007_06.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rldlii.org/int/other/UNGARsn/1996/231.pdf" TargetMode="External"/><Relationship Id="rId20" Type="http://schemas.openxmlformats.org/officeDocument/2006/relationships/hyperlink" Target="https://intranet.paho.org/kmc/intranet/Documents/KMC%20Strategy/Estrategia%20KMC%20%28spanish%29.pdf" TargetMode="External"/><Relationship Id="rId29" Type="http://schemas.openxmlformats.org/officeDocument/2006/relationships/hyperlink" Target="http://www.paho.org/spanish/dd/pin/alma-ata_declaracion.htm" TargetMode="External"/><Relationship Id="rId41" Type="http://schemas.openxmlformats.org/officeDocument/2006/relationships/hyperlink" Target="http://new.paho.org/col/index.php?option=com_content&amp;task=view&amp;id=203&amp;Itemid=259" TargetMode="External"/><Relationship Id="rId54"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unjiu.org/data/reports/2007/en2007_06.pdf" TargetMode="External"/><Relationship Id="rId32" Type="http://schemas.openxmlformats.org/officeDocument/2006/relationships/hyperlink" Target="http://whqlibdoc.who.int/publications/2006/GPW_spa.pdf" TargetMode="External"/><Relationship Id="rId37" Type="http://schemas.openxmlformats.org/officeDocument/2006/relationships/hyperlink" Target="https://intranet.paho.org/kmc/intranet/Documents/KMC%20Strategy/Estrategia%20KMC%20%28spanish%29.pdf" TargetMode="External"/><Relationship Id="rId40" Type="http://schemas.openxmlformats.org/officeDocument/2006/relationships/hyperlink" Target="http://new.paho.org/blogs/kmc/wp-content/uploads/2011/03/tabla1.doc" TargetMode="External"/><Relationship Id="rId45" Type="http://schemas.openxmlformats.org/officeDocument/2006/relationships/header" Target="header4.xml"/><Relationship Id="rId53" Type="http://schemas.openxmlformats.org/officeDocument/2006/relationships/header" Target="header7.xml"/><Relationship Id="rId58"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apps.who.int/gb/ebwha/pdf_files/WHA59/A59_25-sp.pdf" TargetMode="External"/><Relationship Id="rId23" Type="http://schemas.openxmlformats.org/officeDocument/2006/relationships/hyperlink" Target="http://www.who.int/entity/kms/about/strategy/kms_strategy.pdf" TargetMode="External"/><Relationship Id="rId28" Type="http://schemas.openxmlformats.org/officeDocument/2006/relationships/hyperlink" Target="http://new.paho.org/blogs/kmc/wp-content/uploads/2011/03/tabla1.doc" TargetMode="External"/><Relationship Id="rId36" Type="http://schemas.openxmlformats.org/officeDocument/2006/relationships/hyperlink" Target="http://www.emro.who.int/dsaf/dsa999.pdf" TargetMode="External"/><Relationship Id="rId49" Type="http://schemas.openxmlformats.org/officeDocument/2006/relationships/header" Target="header5.xml"/><Relationship Id="rId57"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yperlink" Target="http://www.emro.who.int/dsaf/dsa999.pdf" TargetMode="External"/><Relationship Id="rId31" Type="http://schemas.openxmlformats.org/officeDocument/2006/relationships/hyperlink" Target="http://www.who.int/governance/eb/who_constitution_sp.pdf" TargetMode="External"/><Relationship Id="rId44" Type="http://schemas.openxmlformats.org/officeDocument/2006/relationships/header" Target="header3.xml"/><Relationship Id="rId52" Type="http://schemas.openxmlformats.org/officeDocument/2006/relationships/image" Target="media/image4.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ho.int/governance/eb/who_constitution_sp.pdf" TargetMode="External"/><Relationship Id="rId22" Type="http://schemas.openxmlformats.org/officeDocument/2006/relationships/hyperlink" Target="http://www.un.org/spanish/documents/ga/res/51/list51.htm" TargetMode="External"/><Relationship Id="rId27" Type="http://schemas.openxmlformats.org/officeDocument/2006/relationships/hyperlink" Target="http://new.paho.org/hq/index.php?option=com_docman&amp;task=doc_download&amp;gid=14573&amp;Itemid=" TargetMode="External"/><Relationship Id="rId30" Type="http://schemas.openxmlformats.org/officeDocument/2006/relationships/hyperlink" Target="http://www.un.org/spanish/milenio/ares552.pdf" TargetMode="External"/><Relationship Id="rId35" Type="http://schemas.openxmlformats.org/officeDocument/2006/relationships/hyperlink" Target="http://www.unjiu.org/data/reports/2007/en2007_06.pdf" TargetMode="External"/><Relationship Id="rId43" Type="http://schemas.openxmlformats.org/officeDocument/2006/relationships/footer" Target="footer1.xml"/><Relationship Id="rId48" Type="http://schemas.openxmlformats.org/officeDocument/2006/relationships/hyperlink" Target="http://new.paho.org/hq/index.php?option=com_docman&amp;task=doc_download&amp;gid=14573&amp;Itemid=" TargetMode="External"/><Relationship Id="rId56"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image" Target="media/image3.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7750</Words>
  <Characters>46725</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_</vt:lpstr>
    </vt:vector>
  </TitlesOfParts>
  <Company>Pan American Health Organization (PAHO)</Company>
  <LinksUpToDate>false</LinksUpToDate>
  <CharactersWithSpaces>54367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PAHO LAN User</dc:creator>
  <cp:lastModifiedBy>Epstein, Lic. Yanka G. (WDC)</cp:lastModifiedBy>
  <cp:revision>3</cp:revision>
  <cp:lastPrinted>2012-07-17T15:46:00Z</cp:lastPrinted>
  <dcterms:created xsi:type="dcterms:W3CDTF">2012-08-06T14:05:00Z</dcterms:created>
  <dcterms:modified xsi:type="dcterms:W3CDTF">2012-08-06T14:10:00Z</dcterms:modified>
</cp:coreProperties>
</file>