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1FA" w:rsidRDefault="00BD4C31">
      <w:r>
        <w:rPr>
          <w:noProof/>
          <w:lang w:val="en-US" w:eastAsia="zh-CN"/>
        </w:rPr>
        <w:pict>
          <v:group id="_x0000_s1026" style="position:absolute;margin-left:-37.05pt;margin-top:-5.4pt;width:611.95pt;height:9in;z-index:21;mso-position-horizontal-relative:page;mso-position-vertical-relative:margin" coordorigin=",1440" coordsize="12239,12960" o:allowincell="f">
            <v:group id="_x0000_s1027" style="position:absolute;top:9661;width:12239;height:4739;mso-position-horizontal:center;mso-position-horizontal-relative:margin;mso-position-vertical:bottom;mso-position-vertical-relative:margin" coordorigin="-6,3399" coordsize="12197,4253">
              <v:group id="_x0000_s1028" style="position:absolute;left:-6;top:3717;width:12189;height:3550" coordorigin="18,7468" coordsize="12189,3550">
                <v:shape id="_x0000_s1029" style="position:absolute;left:18;top:7837;width:7132;height:2863" coordsize="7132,2863" path="m,l17,2863,7132,2578r,-2378l,xe" fillcolor="#a7bfde" stroked="f">
                  <v:fill opacity=".5"/>
                  <v:path arrowok="t"/>
                </v:shape>
                <v:shape id="_x0000_s1030" style="position:absolute;left:7150;top:7468;width:3466;height:3550" coordsize="3466,3550" path="m,569l,2930r3466,620l3466,,,569xe" fillcolor="#d3dfee" stroked="f">
                  <v:fill opacity=".5"/>
                  <v:path arrowok="t"/>
                </v:shape>
                <v:shape id="_x0000_s1031" style="position:absolute;left:10616;top:7468;width:1591;height:3550" coordsize="1591,3550" path="m,l,3550,1591,2746r,-2009l,xe" fillcolor="#a7bfde" stroked="f">
                  <v:fill opacity=".5"/>
                  <v:path arrowok="t"/>
                </v:shape>
              </v:group>
              <v:shape id="_x0000_s1032" style="position:absolute;left:8071;top:4069;width:4120;height:2913" coordsize="4120,2913" path="m1,251l,2662r4120,251l4120,,1,251xe" fillcolor="#d8d8d8" stroked="f">
                <v:path arrowok="t"/>
              </v:shape>
              <v:shape id="_x0000_s1033" style="position:absolute;left:4104;top:3399;width:3985;height:4236" coordsize="3985,4236" path="m,l,4236,3985,3349r,-2428l,xe" fillcolor="#bfbfbf" stroked="f">
                <v:path arrowok="t"/>
              </v:shape>
              <v:shape id="_x0000_s1034" style="position:absolute;left:18;top:3399;width:4086;height:4253" coordsize="4086,4253" path="m4086,r-2,4253l,3198,,1072,4086,xe" fillcolor="#d8d8d8" stroked="f">
                <v:path arrowok="t"/>
              </v:shape>
              <v:shape id="_x0000_s1035" style="position:absolute;left:17;top:3617;width:2076;height:3851" coordsize="2076,3851" path="m,921l2060,r16,3851l,2981,,921xe" fillcolor="#d3dfee" stroked="f">
                <v:fill opacity="45875f"/>
                <v:path arrowok="t"/>
              </v:shape>
              <v:shape id="_x0000_s1036" style="position:absolute;left:2077;top:3617;width:6011;height:3835" coordsize="6011,3835" path="m,l17,3835,6011,2629r,-1390l,xe" fillcolor="#a7bfde" stroked="f">
                <v:fill opacity="45875f"/>
                <v:path arrowok="t"/>
              </v:shape>
              <v:shape id="_x0000_s1037" style="position:absolute;left:8088;top:3835;width:4102;height:3432" coordsize="4102,3432" path="m,1038l,2411,4102,3432,4102,,,1038xe" fillcolor="#d3dfee" stroked="f">
                <v:fill opacity="45875f"/>
                <v:path arrowok="t"/>
              </v:shape>
            </v:group>
            <v:rect id="_x0000_s1038" style="position:absolute;left:1800;top:1440;width:8638;height:512;mso-position-horizontal:center;mso-position-horizontal-relative:margin;mso-position-vertical:top;mso-position-vertical-relative:margin" filled="f" stroked="f">
              <v:textbox style="mso-next-textbox:#_x0000_s1038;mso-fit-shape-to-text:t">
                <w:txbxContent>
                  <w:p w:rsidR="00D345DF" w:rsidRPr="001D3C7B" w:rsidRDefault="00D345DF">
                    <w:pPr>
                      <w:rPr>
                        <w:b/>
                        <w:bCs/>
                        <w:color w:val="808080"/>
                        <w:sz w:val="32"/>
                        <w:szCs w:val="32"/>
                      </w:rPr>
                    </w:pPr>
                  </w:p>
                </w:txbxContent>
              </v:textbox>
            </v:rect>
            <v:rect id="_x0000_s1039" style="position:absolute;left:6494;top:11160;width:4998;height:1041;mso-position-horizontal-relative:margin;mso-position-vertical-relative:margin" filled="f" stroked="f">
              <v:textbox style="mso-next-textbox:#_x0000_s1039;mso-fit-shape-to-text:t">
                <w:txbxContent>
                  <w:p w:rsidR="00D345DF" w:rsidRPr="001D3C7B" w:rsidRDefault="00D345DF" w:rsidP="001D3C7B">
                    <w:pPr>
                      <w:jc w:val="center"/>
                      <w:rPr>
                        <w:sz w:val="28"/>
                        <w:szCs w:val="96"/>
                      </w:rPr>
                    </w:pPr>
                    <w:r>
                      <w:rPr>
                        <w:sz w:val="32"/>
                        <w:szCs w:val="96"/>
                      </w:rPr>
                      <w:t xml:space="preserve">      </w:t>
                    </w:r>
                    <w:smartTag w:uri="urn:schemas-microsoft-com:office:smarttags" w:element="City">
                      <w:smartTag w:uri="urn:schemas-microsoft-com:office:smarttags" w:element="place">
                        <w:r w:rsidRPr="001D3C7B">
                          <w:rPr>
                            <w:sz w:val="28"/>
                            <w:szCs w:val="96"/>
                          </w:rPr>
                          <w:t>Washington</w:t>
                        </w:r>
                      </w:smartTag>
                      <w:r w:rsidRPr="001D3C7B">
                        <w:rPr>
                          <w:sz w:val="28"/>
                          <w:szCs w:val="96"/>
                        </w:rPr>
                        <w:t xml:space="preserve"> </w:t>
                      </w:r>
                      <w:smartTag w:uri="urn:schemas-microsoft-com:office:smarttags" w:element="place">
                        <w:r w:rsidRPr="001D3C7B">
                          <w:rPr>
                            <w:sz w:val="28"/>
                            <w:szCs w:val="96"/>
                          </w:rPr>
                          <w:t>D.C.</w:t>
                        </w:r>
                      </w:smartTag>
                    </w:smartTag>
                    <w:r w:rsidRPr="001D3C7B">
                      <w:rPr>
                        <w:sz w:val="28"/>
                        <w:szCs w:val="96"/>
                      </w:rPr>
                      <w:t xml:space="preserve">,   </w:t>
                    </w:r>
                  </w:p>
                  <w:p w:rsidR="00D345DF" w:rsidRPr="001D3C7B" w:rsidRDefault="00D345DF" w:rsidP="001D3C7B">
                    <w:pPr>
                      <w:jc w:val="center"/>
                      <w:rPr>
                        <w:sz w:val="28"/>
                        <w:szCs w:val="96"/>
                      </w:rPr>
                    </w:pPr>
                    <w:r>
                      <w:rPr>
                        <w:sz w:val="28"/>
                        <w:szCs w:val="96"/>
                      </w:rPr>
                      <w:t xml:space="preserve">     February, 2009</w:t>
                    </w:r>
                  </w:p>
                  <w:p w:rsidR="00D345DF" w:rsidRPr="001D3C7B" w:rsidRDefault="00D345DF" w:rsidP="001D3C7B">
                    <w:pPr>
                      <w:rPr>
                        <w:sz w:val="22"/>
                        <w:szCs w:val="96"/>
                      </w:rPr>
                    </w:pPr>
                  </w:p>
                </w:txbxContent>
              </v:textbox>
            </v:rect>
            <v:rect id="_x0000_s1040" style="position:absolute;left:1800;top:2294;width:8638;height:7268;mso-position-horizontal:center;mso-position-horizontal-relative:margin;mso-position-vertical-relative:margin;v-text-anchor:bottom" filled="f" stroked="f">
              <v:textbox style="mso-next-textbox:#_x0000_s1040">
                <w:txbxContent>
                  <w:p w:rsidR="00D345DF" w:rsidRDefault="00D345DF" w:rsidP="001D3C7B">
                    <w:pPr>
                      <w:rPr>
                        <w:b/>
                        <w:bCs/>
                        <w:sz w:val="40"/>
                        <w:szCs w:val="72"/>
                      </w:rPr>
                    </w:pPr>
                    <w:r w:rsidRPr="00C173AA">
                      <w:rPr>
                        <w:b/>
                        <w:bCs/>
                        <w:sz w:val="36"/>
                        <w:szCs w:val="72"/>
                      </w:rPr>
                      <w:t>STRATEGY ON INTEGRATING GENDER ANALYSIS AND ACTIONS INTO THE WORK OF THE PAN AMERICAN HEALTH ORGANIZATION/ WORLD HEALTH ORGANIZATION</w:t>
                    </w:r>
                  </w:p>
                  <w:p w:rsidR="00D345DF" w:rsidRDefault="00D345DF" w:rsidP="001D3C7B">
                    <w:pPr>
                      <w:rPr>
                        <w:b/>
                        <w:bCs/>
                        <w:sz w:val="40"/>
                        <w:szCs w:val="72"/>
                      </w:rPr>
                    </w:pPr>
                  </w:p>
                  <w:p w:rsidR="00D345DF" w:rsidRDefault="00D345DF" w:rsidP="001D3C7B">
                    <w:pPr>
                      <w:rPr>
                        <w:b/>
                        <w:bCs/>
                        <w:sz w:val="40"/>
                        <w:szCs w:val="72"/>
                      </w:rPr>
                    </w:pPr>
                  </w:p>
                  <w:p w:rsidR="00D345DF" w:rsidRDefault="00D345DF" w:rsidP="001D3C7B">
                    <w:pPr>
                      <w:rPr>
                        <w:b/>
                        <w:bCs/>
                        <w:sz w:val="40"/>
                        <w:szCs w:val="72"/>
                      </w:rPr>
                    </w:pPr>
                  </w:p>
                  <w:p w:rsidR="00D345DF" w:rsidRDefault="00D345DF" w:rsidP="001D3C7B">
                    <w:pPr>
                      <w:rPr>
                        <w:b/>
                        <w:bCs/>
                        <w:sz w:val="32"/>
                      </w:rPr>
                    </w:pPr>
                    <w:r>
                      <w:rPr>
                        <w:b/>
                        <w:bCs/>
                        <w:sz w:val="32"/>
                      </w:rPr>
                      <w:t xml:space="preserve">Monitoring and Evaluation Baseline Assessment </w:t>
                    </w:r>
                  </w:p>
                  <w:p w:rsidR="00D345DF" w:rsidRDefault="00D345DF" w:rsidP="001D3C7B">
                    <w:pPr>
                      <w:rPr>
                        <w:b/>
                        <w:bCs/>
                        <w:sz w:val="32"/>
                      </w:rPr>
                    </w:pPr>
                    <w:r>
                      <w:rPr>
                        <w:b/>
                        <w:bCs/>
                        <w:sz w:val="32"/>
                      </w:rPr>
                      <w:t>Prepared for the Pan American Health Organization,</w:t>
                    </w:r>
                  </w:p>
                  <w:p w:rsidR="00D345DF" w:rsidRDefault="00D345DF" w:rsidP="001D3C7B">
                    <w:pPr>
                      <w:rPr>
                        <w:b/>
                        <w:bCs/>
                        <w:sz w:val="32"/>
                      </w:rPr>
                    </w:pPr>
                    <w:r>
                      <w:rPr>
                        <w:b/>
                        <w:bCs/>
                        <w:sz w:val="32"/>
                      </w:rPr>
                      <w:t xml:space="preserve">Regional Office of the World Health Organization </w:t>
                    </w:r>
                  </w:p>
                  <w:p w:rsidR="00D345DF" w:rsidRDefault="00D345DF" w:rsidP="001D3C7B">
                    <w:pPr>
                      <w:rPr>
                        <w:b/>
                        <w:bCs/>
                        <w:sz w:val="40"/>
                        <w:szCs w:val="72"/>
                      </w:rPr>
                    </w:pPr>
                  </w:p>
                  <w:p w:rsidR="00D345DF" w:rsidRDefault="00D345DF" w:rsidP="001D3C7B">
                    <w:pPr>
                      <w:rPr>
                        <w:b/>
                        <w:bCs/>
                        <w:sz w:val="40"/>
                        <w:szCs w:val="72"/>
                      </w:rPr>
                    </w:pPr>
                  </w:p>
                  <w:p w:rsidR="00D345DF" w:rsidRDefault="00D345DF" w:rsidP="001D3C7B">
                    <w:pPr>
                      <w:rPr>
                        <w:b/>
                        <w:bCs/>
                        <w:sz w:val="40"/>
                        <w:szCs w:val="72"/>
                      </w:rPr>
                    </w:pPr>
                  </w:p>
                  <w:p w:rsidR="00D345DF" w:rsidRDefault="00D345DF" w:rsidP="001D3C7B">
                    <w:pPr>
                      <w:rPr>
                        <w:rFonts w:cs="Arial"/>
                        <w:b/>
                        <w:bCs/>
                        <w:i/>
                        <w:sz w:val="28"/>
                        <w:lang w:val="es-ES"/>
                      </w:rPr>
                    </w:pPr>
                    <w:r>
                      <w:rPr>
                        <w:rFonts w:cs="Arial"/>
                        <w:b/>
                        <w:bCs/>
                        <w:i/>
                        <w:sz w:val="28"/>
                        <w:lang w:val="es-ES"/>
                      </w:rPr>
                      <w:t>Regional</w:t>
                    </w:r>
                    <w:r w:rsidRPr="00FA631B">
                      <w:rPr>
                        <w:rFonts w:cs="Arial"/>
                        <w:b/>
                        <w:bCs/>
                        <w:i/>
                        <w:sz w:val="28"/>
                        <w:lang w:val="es-ES"/>
                      </w:rPr>
                      <w:t xml:space="preserve"> Consultant</w:t>
                    </w:r>
                    <w:r>
                      <w:rPr>
                        <w:rFonts w:cs="Arial"/>
                        <w:b/>
                        <w:bCs/>
                        <w:i/>
                        <w:sz w:val="28"/>
                        <w:lang w:val="es-ES"/>
                      </w:rPr>
                      <w:t xml:space="preserve">:  </w:t>
                    </w:r>
                    <w:r w:rsidRPr="005D3C68">
                      <w:rPr>
                        <w:rFonts w:cs="Arial"/>
                        <w:bCs/>
                        <w:i/>
                        <w:sz w:val="28"/>
                        <w:lang w:val="es-ES"/>
                      </w:rPr>
                      <w:t>Elsa Gómez Gómez</w:t>
                    </w:r>
                    <w:r>
                      <w:rPr>
                        <w:rFonts w:cs="Arial"/>
                        <w:b/>
                        <w:bCs/>
                        <w:i/>
                        <w:sz w:val="28"/>
                        <w:lang w:val="es-ES"/>
                      </w:rPr>
                      <w:t xml:space="preserve">  </w:t>
                    </w:r>
                  </w:p>
                  <w:p w:rsidR="00D345DF" w:rsidRPr="00FA631B" w:rsidRDefault="00D345DF" w:rsidP="001D3C7B">
                    <w:pPr>
                      <w:rPr>
                        <w:szCs w:val="32"/>
                        <w:lang w:val="es-ES"/>
                      </w:rPr>
                    </w:pPr>
                  </w:p>
                </w:txbxContent>
              </v:textbox>
            </v:rect>
            <w10:wrap anchorx="page" anchory="margin"/>
          </v:group>
        </w:pict>
      </w:r>
    </w:p>
    <w:p w:rsidR="009571FA" w:rsidRDefault="009571FA" w:rsidP="00842E16">
      <w:pPr>
        <w:rPr>
          <w:rFonts w:cs="Arial"/>
          <w:b/>
          <w:bCs/>
          <w:sz w:val="22"/>
          <w:szCs w:val="22"/>
        </w:rPr>
      </w:pPr>
      <w:r>
        <w:rPr>
          <w:rStyle w:val="Hyperlink"/>
          <w:rFonts w:cs="Arial"/>
          <w:color w:val="auto"/>
          <w:sz w:val="22"/>
          <w:szCs w:val="22"/>
        </w:rPr>
        <w:br w:type="page"/>
      </w:r>
      <w:r w:rsidRPr="00B777E5">
        <w:rPr>
          <w:rFonts w:cs="Arial"/>
          <w:b/>
          <w:bCs/>
          <w:sz w:val="24"/>
          <w:szCs w:val="22"/>
        </w:rPr>
        <w:lastRenderedPageBreak/>
        <w:t>CONTENTS</w:t>
      </w:r>
    </w:p>
    <w:p w:rsidR="009571FA" w:rsidRDefault="009571FA" w:rsidP="00305594">
      <w:pPr>
        <w:rPr>
          <w:rFonts w:cs="Arial"/>
          <w:b/>
          <w:bCs/>
          <w:sz w:val="22"/>
          <w:szCs w:val="22"/>
        </w:rPr>
      </w:pPr>
    </w:p>
    <w:tbl>
      <w:tblPr>
        <w:tblW w:w="9378" w:type="dxa"/>
        <w:tblLook w:val="00A0"/>
      </w:tblPr>
      <w:tblGrid>
        <w:gridCol w:w="8268"/>
        <w:gridCol w:w="1110"/>
      </w:tblGrid>
      <w:tr w:rsidR="009571FA" w:rsidTr="00305594">
        <w:tc>
          <w:tcPr>
            <w:tcW w:w="8268" w:type="dxa"/>
          </w:tcPr>
          <w:p w:rsidR="009571FA" w:rsidRDefault="009571FA" w:rsidP="00305594">
            <w:pPr>
              <w:rPr>
                <w:rFonts w:cs="Arial"/>
                <w:b/>
                <w:bCs/>
                <w:sz w:val="22"/>
                <w:lang w:eastAsia="ar-SA"/>
              </w:rPr>
            </w:pPr>
          </w:p>
          <w:p w:rsidR="009571FA" w:rsidRDefault="009571FA" w:rsidP="00305594">
            <w:pPr>
              <w:rPr>
                <w:rFonts w:cs="Arial"/>
                <w:b/>
                <w:bCs/>
                <w:sz w:val="22"/>
              </w:rPr>
            </w:pPr>
          </w:p>
          <w:p w:rsidR="009571FA" w:rsidRDefault="009571FA" w:rsidP="00305594">
            <w:pPr>
              <w:rPr>
                <w:rFonts w:cs="Arial"/>
                <w:b/>
                <w:bCs/>
                <w:sz w:val="22"/>
              </w:rPr>
            </w:pPr>
          </w:p>
          <w:p w:rsidR="009571FA" w:rsidRDefault="009571FA" w:rsidP="00305594">
            <w:pPr>
              <w:rPr>
                <w:rFonts w:cs="Arial"/>
                <w:b/>
                <w:bCs/>
                <w:sz w:val="22"/>
              </w:rPr>
            </w:pPr>
            <w:r>
              <w:rPr>
                <w:rFonts w:cs="Arial"/>
                <w:b/>
                <w:bCs/>
                <w:sz w:val="22"/>
                <w:szCs w:val="22"/>
              </w:rPr>
              <w:t>Executive Summary</w:t>
            </w:r>
            <w:r w:rsidR="00C61E82" w:rsidRPr="00C61E82">
              <w:rPr>
                <w:rFonts w:cs="Arial"/>
                <w:bCs/>
                <w:sz w:val="22"/>
                <w:szCs w:val="22"/>
              </w:rPr>
              <w:t>..</w:t>
            </w:r>
            <w:r w:rsidR="00C61E82">
              <w:rPr>
                <w:rFonts w:cs="Arial"/>
                <w:bCs/>
                <w:sz w:val="22"/>
                <w:szCs w:val="22"/>
              </w:rPr>
              <w:t>..</w:t>
            </w:r>
            <w:r w:rsidR="00C61E82" w:rsidRPr="00C61E82">
              <w:rPr>
                <w:rFonts w:cs="Arial"/>
                <w:bCs/>
                <w:sz w:val="22"/>
                <w:szCs w:val="22"/>
              </w:rPr>
              <w:t>..........................................................................................</w:t>
            </w:r>
          </w:p>
          <w:p w:rsidR="009571FA" w:rsidRDefault="009571FA" w:rsidP="00305594">
            <w:pPr>
              <w:suppressAutoHyphens/>
              <w:rPr>
                <w:rFonts w:cs="Arial"/>
                <w:b/>
                <w:bCs/>
                <w:sz w:val="22"/>
                <w:lang w:eastAsia="ar-SA"/>
              </w:rPr>
            </w:pPr>
          </w:p>
        </w:tc>
        <w:tc>
          <w:tcPr>
            <w:tcW w:w="1110" w:type="dxa"/>
          </w:tcPr>
          <w:p w:rsidR="009571FA" w:rsidRDefault="009571FA" w:rsidP="00305594">
            <w:pPr>
              <w:suppressAutoHyphens/>
              <w:jc w:val="center"/>
              <w:rPr>
                <w:rFonts w:cs="Arial"/>
                <w:i/>
                <w:sz w:val="22"/>
              </w:rPr>
            </w:pPr>
          </w:p>
          <w:p w:rsidR="009571FA" w:rsidRDefault="009571FA" w:rsidP="00305594">
            <w:pPr>
              <w:suppressAutoHyphens/>
              <w:jc w:val="center"/>
              <w:rPr>
                <w:rFonts w:cs="Arial"/>
                <w:i/>
                <w:sz w:val="22"/>
              </w:rPr>
            </w:pPr>
            <w:r>
              <w:rPr>
                <w:rFonts w:cs="Arial"/>
                <w:i/>
                <w:sz w:val="22"/>
                <w:szCs w:val="22"/>
              </w:rPr>
              <w:t>Pa</w:t>
            </w:r>
            <w:smartTag w:uri="urn:schemas-microsoft-com:office:smarttags" w:element="PersonName">
              <w:r>
                <w:rPr>
                  <w:rFonts w:cs="Arial"/>
                  <w:i/>
                  <w:sz w:val="22"/>
                  <w:szCs w:val="22"/>
                </w:rPr>
                <w:t>ge</w:t>
              </w:r>
            </w:smartTag>
            <w:r>
              <w:rPr>
                <w:rFonts w:cs="Arial"/>
                <w:i/>
                <w:sz w:val="22"/>
                <w:szCs w:val="22"/>
              </w:rPr>
              <w:t xml:space="preserve">s        </w:t>
            </w:r>
          </w:p>
          <w:p w:rsidR="009571FA" w:rsidRDefault="009571FA" w:rsidP="00305594">
            <w:pPr>
              <w:suppressAutoHyphens/>
              <w:jc w:val="center"/>
              <w:rPr>
                <w:rFonts w:cs="Arial"/>
                <w:i/>
                <w:sz w:val="22"/>
              </w:rPr>
            </w:pPr>
          </w:p>
          <w:p w:rsidR="009571FA" w:rsidRDefault="009571FA" w:rsidP="00900386">
            <w:pPr>
              <w:suppressAutoHyphens/>
              <w:jc w:val="center"/>
              <w:rPr>
                <w:rFonts w:cs="Arial"/>
                <w:i/>
                <w:sz w:val="22"/>
                <w:lang w:eastAsia="ar-SA"/>
              </w:rPr>
            </w:pPr>
            <w:r>
              <w:rPr>
                <w:rFonts w:cs="Arial"/>
                <w:i/>
                <w:sz w:val="22"/>
                <w:szCs w:val="22"/>
              </w:rPr>
              <w:t xml:space="preserve">3        </w:t>
            </w:r>
          </w:p>
        </w:tc>
      </w:tr>
      <w:tr w:rsidR="009571FA" w:rsidTr="00305594">
        <w:tc>
          <w:tcPr>
            <w:tcW w:w="8268" w:type="dxa"/>
          </w:tcPr>
          <w:p w:rsidR="009571FA" w:rsidRPr="00C61E82" w:rsidRDefault="009571FA" w:rsidP="00305594">
            <w:pPr>
              <w:rPr>
                <w:rFonts w:cs="Arial"/>
                <w:bCs/>
                <w:sz w:val="22"/>
                <w:lang w:eastAsia="ar-SA"/>
              </w:rPr>
            </w:pPr>
            <w:r>
              <w:rPr>
                <w:rFonts w:cs="Arial"/>
                <w:b/>
                <w:bCs/>
                <w:sz w:val="22"/>
                <w:szCs w:val="22"/>
              </w:rPr>
              <w:t>I.    INTRODUCTION</w:t>
            </w:r>
            <w:r w:rsidR="00C61E82" w:rsidRPr="00C61E82">
              <w:rPr>
                <w:rFonts w:cs="Arial"/>
                <w:bCs/>
                <w:sz w:val="22"/>
                <w:szCs w:val="22"/>
              </w:rPr>
              <w:t>...</w:t>
            </w:r>
            <w:r w:rsidR="00C61E82">
              <w:rPr>
                <w:rFonts w:cs="Arial"/>
                <w:bCs/>
                <w:sz w:val="22"/>
                <w:szCs w:val="22"/>
              </w:rPr>
              <w:t>...........................................................................................</w:t>
            </w:r>
          </w:p>
          <w:p w:rsidR="009571FA" w:rsidRDefault="009571FA" w:rsidP="00581596">
            <w:pPr>
              <w:numPr>
                <w:ilvl w:val="0"/>
                <w:numId w:val="25"/>
              </w:numPr>
              <w:suppressAutoHyphens/>
              <w:rPr>
                <w:rFonts w:cs="Arial"/>
                <w:sz w:val="22"/>
              </w:rPr>
            </w:pPr>
            <w:r>
              <w:rPr>
                <w:rFonts w:cs="Arial"/>
                <w:sz w:val="22"/>
                <w:szCs w:val="22"/>
              </w:rPr>
              <w:t>Purpose</w:t>
            </w:r>
          </w:p>
          <w:p w:rsidR="009571FA" w:rsidRDefault="009571FA" w:rsidP="00581596">
            <w:pPr>
              <w:numPr>
                <w:ilvl w:val="0"/>
                <w:numId w:val="25"/>
              </w:numPr>
              <w:suppressAutoHyphens/>
              <w:rPr>
                <w:rFonts w:cs="Arial"/>
                <w:sz w:val="22"/>
              </w:rPr>
            </w:pPr>
            <w:r>
              <w:rPr>
                <w:rFonts w:cs="Arial"/>
                <w:sz w:val="22"/>
                <w:szCs w:val="22"/>
              </w:rPr>
              <w:t>Objective</w:t>
            </w:r>
          </w:p>
          <w:p w:rsidR="009571FA" w:rsidRDefault="009571FA" w:rsidP="00581596">
            <w:pPr>
              <w:numPr>
                <w:ilvl w:val="0"/>
                <w:numId w:val="25"/>
              </w:numPr>
              <w:suppressAutoHyphens/>
              <w:rPr>
                <w:rFonts w:cs="Arial"/>
                <w:sz w:val="22"/>
              </w:rPr>
            </w:pPr>
            <w:r>
              <w:rPr>
                <w:rFonts w:cs="Arial"/>
                <w:sz w:val="22"/>
                <w:szCs w:val="22"/>
              </w:rPr>
              <w:t>Intended Audience</w:t>
            </w:r>
          </w:p>
          <w:p w:rsidR="009571FA" w:rsidRDefault="009571FA" w:rsidP="00581596">
            <w:pPr>
              <w:numPr>
                <w:ilvl w:val="0"/>
                <w:numId w:val="25"/>
              </w:numPr>
              <w:suppressAutoHyphens/>
              <w:rPr>
                <w:rFonts w:cs="Arial"/>
                <w:b/>
                <w:bCs/>
                <w:sz w:val="22"/>
                <w:lang w:eastAsia="ar-SA"/>
              </w:rPr>
            </w:pPr>
            <w:r>
              <w:rPr>
                <w:rFonts w:cs="Arial"/>
                <w:sz w:val="22"/>
                <w:szCs w:val="22"/>
              </w:rPr>
              <w:t>Scope</w:t>
            </w:r>
          </w:p>
        </w:tc>
        <w:tc>
          <w:tcPr>
            <w:tcW w:w="1110" w:type="dxa"/>
          </w:tcPr>
          <w:p w:rsidR="009571FA" w:rsidRDefault="008C6D6D" w:rsidP="00305594">
            <w:pPr>
              <w:suppressAutoHyphens/>
              <w:jc w:val="center"/>
              <w:rPr>
                <w:rFonts w:cs="Arial"/>
                <w:sz w:val="22"/>
                <w:lang w:eastAsia="ar-SA"/>
              </w:rPr>
            </w:pPr>
            <w:r>
              <w:rPr>
                <w:rFonts w:cs="Arial"/>
                <w:sz w:val="22"/>
                <w:lang w:eastAsia="ar-SA"/>
              </w:rPr>
              <w:t>7</w:t>
            </w:r>
          </w:p>
        </w:tc>
      </w:tr>
      <w:tr w:rsidR="009571FA" w:rsidTr="00305594">
        <w:tc>
          <w:tcPr>
            <w:tcW w:w="8268" w:type="dxa"/>
          </w:tcPr>
          <w:p w:rsidR="009571FA" w:rsidRDefault="009571FA" w:rsidP="007D5FF1">
            <w:pPr>
              <w:contextualSpacing/>
              <w:rPr>
                <w:rFonts w:cs="Arial"/>
                <w:b/>
                <w:bCs/>
                <w:sz w:val="22"/>
                <w:lang w:eastAsia="ar-SA"/>
              </w:rPr>
            </w:pPr>
          </w:p>
          <w:p w:rsidR="009571FA" w:rsidRDefault="009571FA" w:rsidP="007D5FF1">
            <w:pPr>
              <w:suppressAutoHyphens/>
              <w:contextualSpacing/>
              <w:rPr>
                <w:rFonts w:cs="Arial"/>
                <w:b/>
                <w:bCs/>
                <w:sz w:val="22"/>
                <w:lang w:eastAsia="ar-SA"/>
              </w:rPr>
            </w:pPr>
            <w:r>
              <w:rPr>
                <w:rFonts w:cs="Arial"/>
                <w:b/>
                <w:bCs/>
                <w:sz w:val="22"/>
                <w:szCs w:val="22"/>
              </w:rPr>
              <w:t>II.  METHODOLOGY</w:t>
            </w:r>
          </w:p>
        </w:tc>
        <w:tc>
          <w:tcPr>
            <w:tcW w:w="1110" w:type="dxa"/>
          </w:tcPr>
          <w:p w:rsidR="00900386" w:rsidRDefault="00900386" w:rsidP="00305594">
            <w:pPr>
              <w:suppressAutoHyphens/>
              <w:jc w:val="center"/>
              <w:rPr>
                <w:rFonts w:cs="Arial"/>
                <w:sz w:val="22"/>
                <w:lang w:eastAsia="ar-SA"/>
              </w:rPr>
            </w:pPr>
          </w:p>
          <w:p w:rsidR="00900386" w:rsidRDefault="00900386" w:rsidP="00900386">
            <w:pPr>
              <w:suppressAutoHyphens/>
              <w:jc w:val="center"/>
              <w:rPr>
                <w:rFonts w:cs="Arial"/>
                <w:sz w:val="22"/>
                <w:lang w:eastAsia="ar-SA"/>
              </w:rPr>
            </w:pPr>
          </w:p>
        </w:tc>
      </w:tr>
      <w:tr w:rsidR="009571FA" w:rsidTr="00305594">
        <w:tc>
          <w:tcPr>
            <w:tcW w:w="8268" w:type="dxa"/>
          </w:tcPr>
          <w:p w:rsidR="009571FA" w:rsidRDefault="009571FA" w:rsidP="00581596">
            <w:pPr>
              <w:numPr>
                <w:ilvl w:val="0"/>
                <w:numId w:val="26"/>
              </w:numPr>
              <w:suppressAutoHyphens/>
              <w:contextualSpacing/>
              <w:rPr>
                <w:rFonts w:cs="Arial"/>
                <w:sz w:val="22"/>
                <w:lang w:eastAsia="ar-SA"/>
              </w:rPr>
            </w:pPr>
            <w:r>
              <w:rPr>
                <w:rFonts w:cs="Arial"/>
                <w:sz w:val="22"/>
                <w:szCs w:val="22"/>
              </w:rPr>
              <w:t>Assessment design</w:t>
            </w:r>
            <w:r w:rsidR="007D5FF1">
              <w:rPr>
                <w:rFonts w:cs="Arial"/>
                <w:sz w:val="22"/>
                <w:szCs w:val="22"/>
              </w:rPr>
              <w:t xml:space="preserve"> and indicators............................................................</w:t>
            </w:r>
          </w:p>
        </w:tc>
        <w:tc>
          <w:tcPr>
            <w:tcW w:w="1110" w:type="dxa"/>
          </w:tcPr>
          <w:p w:rsidR="009571FA" w:rsidRDefault="007D5FF1" w:rsidP="00305594">
            <w:pPr>
              <w:suppressAutoHyphens/>
              <w:jc w:val="center"/>
              <w:rPr>
                <w:rFonts w:cs="Arial"/>
                <w:sz w:val="22"/>
                <w:lang w:eastAsia="ar-SA"/>
              </w:rPr>
            </w:pPr>
            <w:r>
              <w:rPr>
                <w:rFonts w:cs="Arial"/>
                <w:sz w:val="22"/>
                <w:lang w:eastAsia="ar-SA"/>
              </w:rPr>
              <w:t>8</w:t>
            </w:r>
          </w:p>
        </w:tc>
      </w:tr>
      <w:tr w:rsidR="009571FA" w:rsidTr="00305594">
        <w:tc>
          <w:tcPr>
            <w:tcW w:w="8268" w:type="dxa"/>
          </w:tcPr>
          <w:p w:rsidR="009571FA" w:rsidRDefault="009571FA" w:rsidP="00581596">
            <w:pPr>
              <w:numPr>
                <w:ilvl w:val="0"/>
                <w:numId w:val="26"/>
              </w:numPr>
              <w:suppressAutoHyphens/>
              <w:rPr>
                <w:rFonts w:cs="Arial"/>
                <w:sz w:val="22"/>
                <w:lang w:eastAsia="ar-SA"/>
              </w:rPr>
            </w:pPr>
            <w:r>
              <w:rPr>
                <w:rFonts w:cs="Arial"/>
                <w:sz w:val="22"/>
                <w:szCs w:val="22"/>
              </w:rPr>
              <w:t>Sampling and data collection tools</w:t>
            </w:r>
            <w:r w:rsidR="007D5FF1">
              <w:rPr>
                <w:rFonts w:cs="Arial"/>
                <w:sz w:val="22"/>
                <w:szCs w:val="22"/>
              </w:rPr>
              <w:t>............................................................</w:t>
            </w:r>
          </w:p>
        </w:tc>
        <w:tc>
          <w:tcPr>
            <w:tcW w:w="1110" w:type="dxa"/>
          </w:tcPr>
          <w:p w:rsidR="009571FA" w:rsidRDefault="007D5FF1" w:rsidP="00305594">
            <w:pPr>
              <w:suppressAutoHyphens/>
              <w:jc w:val="center"/>
              <w:rPr>
                <w:rFonts w:cs="Arial"/>
                <w:sz w:val="22"/>
                <w:lang w:eastAsia="ar-SA"/>
              </w:rPr>
            </w:pPr>
            <w:r>
              <w:rPr>
                <w:rFonts w:cs="Arial"/>
                <w:sz w:val="22"/>
                <w:lang w:eastAsia="ar-SA"/>
              </w:rPr>
              <w:t>12</w:t>
            </w:r>
          </w:p>
        </w:tc>
      </w:tr>
      <w:tr w:rsidR="009571FA" w:rsidTr="00305594">
        <w:tc>
          <w:tcPr>
            <w:tcW w:w="8268" w:type="dxa"/>
          </w:tcPr>
          <w:p w:rsidR="009571FA" w:rsidRDefault="009571FA" w:rsidP="00581596">
            <w:pPr>
              <w:numPr>
                <w:ilvl w:val="0"/>
                <w:numId w:val="26"/>
              </w:numPr>
              <w:suppressAutoHyphens/>
              <w:rPr>
                <w:rFonts w:cs="Arial"/>
                <w:sz w:val="22"/>
                <w:lang w:eastAsia="ar-SA"/>
              </w:rPr>
            </w:pPr>
            <w:r>
              <w:rPr>
                <w:rFonts w:cs="Arial"/>
                <w:sz w:val="22"/>
                <w:szCs w:val="22"/>
              </w:rPr>
              <w:t>Ethical considerations</w:t>
            </w:r>
            <w:r w:rsidR="007D5FF1">
              <w:rPr>
                <w:rFonts w:cs="Arial"/>
                <w:sz w:val="22"/>
                <w:szCs w:val="22"/>
              </w:rPr>
              <w:t>................................................................................</w:t>
            </w:r>
          </w:p>
        </w:tc>
        <w:tc>
          <w:tcPr>
            <w:tcW w:w="1110" w:type="dxa"/>
          </w:tcPr>
          <w:p w:rsidR="009571FA" w:rsidRDefault="007D5FF1" w:rsidP="00305594">
            <w:pPr>
              <w:suppressAutoHyphens/>
              <w:jc w:val="center"/>
              <w:rPr>
                <w:rFonts w:cs="Arial"/>
                <w:sz w:val="22"/>
                <w:lang w:eastAsia="ar-SA"/>
              </w:rPr>
            </w:pPr>
            <w:r>
              <w:rPr>
                <w:rFonts w:cs="Arial"/>
                <w:sz w:val="22"/>
                <w:lang w:eastAsia="ar-SA"/>
              </w:rPr>
              <w:t>15</w:t>
            </w:r>
          </w:p>
        </w:tc>
      </w:tr>
      <w:tr w:rsidR="009571FA" w:rsidTr="00305594">
        <w:tc>
          <w:tcPr>
            <w:tcW w:w="8268" w:type="dxa"/>
          </w:tcPr>
          <w:p w:rsidR="009571FA" w:rsidRDefault="009571FA" w:rsidP="00581596">
            <w:pPr>
              <w:numPr>
                <w:ilvl w:val="0"/>
                <w:numId w:val="26"/>
              </w:numPr>
              <w:suppressAutoHyphens/>
              <w:rPr>
                <w:rFonts w:cs="Arial"/>
                <w:sz w:val="22"/>
                <w:lang w:eastAsia="ar-SA"/>
              </w:rPr>
            </w:pPr>
            <w:r>
              <w:rPr>
                <w:rFonts w:cs="Arial"/>
                <w:sz w:val="22"/>
                <w:szCs w:val="22"/>
              </w:rPr>
              <w:t>Methodological limitations</w:t>
            </w:r>
            <w:r w:rsidR="007D5FF1">
              <w:rPr>
                <w:rFonts w:cs="Arial"/>
                <w:sz w:val="22"/>
                <w:szCs w:val="22"/>
              </w:rPr>
              <w:t>..........................................................................</w:t>
            </w:r>
          </w:p>
        </w:tc>
        <w:tc>
          <w:tcPr>
            <w:tcW w:w="1110" w:type="dxa"/>
          </w:tcPr>
          <w:p w:rsidR="009571FA" w:rsidRDefault="007D5FF1" w:rsidP="00305594">
            <w:pPr>
              <w:suppressAutoHyphens/>
              <w:jc w:val="center"/>
              <w:rPr>
                <w:rFonts w:cs="Arial"/>
                <w:sz w:val="22"/>
                <w:lang w:eastAsia="ar-SA"/>
              </w:rPr>
            </w:pPr>
            <w:r>
              <w:rPr>
                <w:rFonts w:cs="Arial"/>
                <w:sz w:val="22"/>
                <w:lang w:eastAsia="ar-SA"/>
              </w:rPr>
              <w:t>16</w:t>
            </w:r>
          </w:p>
        </w:tc>
      </w:tr>
      <w:tr w:rsidR="009571FA" w:rsidTr="00305594">
        <w:tc>
          <w:tcPr>
            <w:tcW w:w="8268" w:type="dxa"/>
          </w:tcPr>
          <w:p w:rsidR="009571FA" w:rsidRDefault="009571FA" w:rsidP="00305594">
            <w:pPr>
              <w:rPr>
                <w:rFonts w:cs="Arial"/>
                <w:b/>
                <w:bCs/>
                <w:sz w:val="22"/>
                <w:lang w:eastAsia="ar-SA"/>
              </w:rPr>
            </w:pPr>
          </w:p>
          <w:p w:rsidR="009571FA" w:rsidRDefault="009571FA" w:rsidP="00305594">
            <w:pPr>
              <w:rPr>
                <w:rFonts w:cs="Arial"/>
                <w:b/>
                <w:bCs/>
                <w:sz w:val="22"/>
              </w:rPr>
            </w:pPr>
            <w:r>
              <w:rPr>
                <w:rFonts w:cs="Arial"/>
                <w:b/>
                <w:bCs/>
                <w:sz w:val="22"/>
                <w:szCs w:val="22"/>
              </w:rPr>
              <w:t>III. FINDINGS OF THE BASELINE ASSESSMENT</w:t>
            </w:r>
          </w:p>
          <w:p w:rsidR="009571FA" w:rsidRDefault="009571FA" w:rsidP="00305594">
            <w:pPr>
              <w:suppressAutoHyphens/>
              <w:rPr>
                <w:rFonts w:cs="Arial"/>
                <w:sz w:val="22"/>
              </w:rPr>
            </w:pPr>
            <w:r>
              <w:rPr>
                <w:rFonts w:cs="Arial"/>
                <w:sz w:val="22"/>
                <w:szCs w:val="22"/>
              </w:rPr>
              <w:t xml:space="preserve">       </w:t>
            </w:r>
            <w:r w:rsidR="002F7FDD">
              <w:rPr>
                <w:rFonts w:cs="Arial"/>
                <w:sz w:val="22"/>
                <w:szCs w:val="22"/>
              </w:rPr>
              <w:t xml:space="preserve">     </w:t>
            </w:r>
            <w:r>
              <w:rPr>
                <w:rFonts w:cs="Arial"/>
                <w:sz w:val="22"/>
                <w:szCs w:val="22"/>
              </w:rPr>
              <w:t xml:space="preserve">Background/context of gender mainstreaming in </w:t>
            </w:r>
            <w:r w:rsidR="002F7FDD">
              <w:rPr>
                <w:rFonts w:cs="Arial"/>
                <w:sz w:val="22"/>
                <w:szCs w:val="22"/>
              </w:rPr>
              <w:t>PAHO............................</w:t>
            </w:r>
          </w:p>
          <w:p w:rsidR="009571FA" w:rsidRDefault="009571FA" w:rsidP="00581596">
            <w:pPr>
              <w:numPr>
                <w:ilvl w:val="0"/>
                <w:numId w:val="27"/>
              </w:numPr>
              <w:suppressAutoHyphens/>
              <w:rPr>
                <w:rFonts w:cs="Arial"/>
                <w:sz w:val="22"/>
              </w:rPr>
            </w:pPr>
            <w:r>
              <w:rPr>
                <w:rFonts w:cs="Arial"/>
                <w:sz w:val="22"/>
                <w:szCs w:val="22"/>
              </w:rPr>
              <w:t>Building the capacity for gender analysis and planning</w:t>
            </w:r>
            <w:r w:rsidR="002F7FDD">
              <w:rPr>
                <w:rFonts w:cs="Arial"/>
                <w:sz w:val="22"/>
                <w:szCs w:val="22"/>
              </w:rPr>
              <w:t>.............................</w:t>
            </w:r>
          </w:p>
          <w:p w:rsidR="009571FA" w:rsidRPr="00117582" w:rsidRDefault="009571FA" w:rsidP="00581596">
            <w:pPr>
              <w:numPr>
                <w:ilvl w:val="0"/>
                <w:numId w:val="27"/>
              </w:numPr>
              <w:suppressAutoHyphens/>
              <w:rPr>
                <w:rFonts w:cs="Arial"/>
                <w:sz w:val="22"/>
              </w:rPr>
            </w:pPr>
            <w:r w:rsidRPr="00117582">
              <w:rPr>
                <w:rFonts w:cs="Arial"/>
                <w:sz w:val="22"/>
                <w:szCs w:val="22"/>
              </w:rPr>
              <w:t xml:space="preserve">Bringing gender into the mainstream of </w:t>
            </w:r>
            <w:r w:rsidR="00C61E82">
              <w:rPr>
                <w:rFonts w:cs="Arial"/>
                <w:sz w:val="22"/>
                <w:szCs w:val="22"/>
              </w:rPr>
              <w:t>PAHO/</w:t>
            </w:r>
            <w:r w:rsidRPr="00117582">
              <w:rPr>
                <w:rFonts w:cs="Arial"/>
                <w:sz w:val="22"/>
                <w:szCs w:val="22"/>
              </w:rPr>
              <w:t xml:space="preserve">WHO’s programme </w:t>
            </w:r>
            <w:r>
              <w:rPr>
                <w:rFonts w:cs="Arial"/>
                <w:sz w:val="22"/>
                <w:szCs w:val="22"/>
              </w:rPr>
              <w:t>m</w:t>
            </w:r>
            <w:r w:rsidRPr="00117582">
              <w:rPr>
                <w:rFonts w:cs="Arial"/>
                <w:sz w:val="22"/>
                <w:szCs w:val="22"/>
              </w:rPr>
              <w:t>anagement</w:t>
            </w:r>
            <w:r w:rsidR="00C61E82">
              <w:rPr>
                <w:rFonts w:cs="Arial"/>
                <w:sz w:val="22"/>
                <w:szCs w:val="22"/>
              </w:rPr>
              <w:t>...............................................................................................</w:t>
            </w:r>
          </w:p>
          <w:p w:rsidR="009571FA" w:rsidRPr="002F7FDD" w:rsidRDefault="009571FA" w:rsidP="00581596">
            <w:pPr>
              <w:pStyle w:val="ListParagraph"/>
              <w:numPr>
                <w:ilvl w:val="0"/>
                <w:numId w:val="55"/>
              </w:numPr>
              <w:rPr>
                <w:bCs/>
                <w:sz w:val="22"/>
              </w:rPr>
            </w:pPr>
            <w:r w:rsidRPr="002F7FDD">
              <w:rPr>
                <w:bCs/>
                <w:sz w:val="22"/>
                <w:szCs w:val="22"/>
              </w:rPr>
              <w:t>Operational planning and programm</w:t>
            </w:r>
            <w:r w:rsidR="002F7FDD">
              <w:rPr>
                <w:bCs/>
                <w:sz w:val="22"/>
                <w:szCs w:val="22"/>
              </w:rPr>
              <w:t>ing</w:t>
            </w:r>
            <w:r w:rsidRPr="002F7FDD">
              <w:rPr>
                <w:bCs/>
                <w:sz w:val="22"/>
                <w:szCs w:val="22"/>
              </w:rPr>
              <w:t xml:space="preserve"> cycle processes</w:t>
            </w:r>
          </w:p>
          <w:p w:rsidR="009571FA" w:rsidRPr="002F7FDD" w:rsidRDefault="009571FA" w:rsidP="00581596">
            <w:pPr>
              <w:pStyle w:val="ListParagraph"/>
              <w:numPr>
                <w:ilvl w:val="0"/>
                <w:numId w:val="55"/>
              </w:numPr>
              <w:rPr>
                <w:bCs/>
                <w:sz w:val="22"/>
              </w:rPr>
            </w:pPr>
            <w:r w:rsidRPr="002F7FDD">
              <w:rPr>
                <w:bCs/>
                <w:sz w:val="22"/>
                <w:szCs w:val="22"/>
              </w:rPr>
              <w:t xml:space="preserve">Country Cooperation Strategies and </w:t>
            </w:r>
            <w:r w:rsidR="002F7FDD">
              <w:rPr>
                <w:bCs/>
                <w:sz w:val="22"/>
                <w:szCs w:val="22"/>
              </w:rPr>
              <w:t>Work P</w:t>
            </w:r>
            <w:r w:rsidRPr="002F7FDD">
              <w:rPr>
                <w:bCs/>
                <w:sz w:val="22"/>
                <w:szCs w:val="22"/>
              </w:rPr>
              <w:t>lans</w:t>
            </w:r>
            <w:r w:rsidR="002F7FDD">
              <w:rPr>
                <w:bCs/>
                <w:sz w:val="22"/>
                <w:szCs w:val="22"/>
              </w:rPr>
              <w:t>...............................</w:t>
            </w:r>
            <w:r w:rsidRPr="002F7FDD">
              <w:rPr>
                <w:bCs/>
                <w:sz w:val="22"/>
                <w:szCs w:val="22"/>
              </w:rPr>
              <w:t xml:space="preserve"> </w:t>
            </w:r>
          </w:p>
          <w:p w:rsidR="009571FA" w:rsidRPr="002F7FDD" w:rsidRDefault="009571FA" w:rsidP="00581596">
            <w:pPr>
              <w:pStyle w:val="ListParagraph"/>
              <w:numPr>
                <w:ilvl w:val="0"/>
                <w:numId w:val="55"/>
              </w:numPr>
              <w:rPr>
                <w:bCs/>
                <w:sz w:val="22"/>
              </w:rPr>
            </w:pPr>
            <w:r w:rsidRPr="002F7FDD">
              <w:rPr>
                <w:bCs/>
                <w:sz w:val="22"/>
                <w:szCs w:val="22"/>
              </w:rPr>
              <w:t>Level of sex parity among staff.</w:t>
            </w:r>
            <w:r w:rsidR="002F7FDD">
              <w:rPr>
                <w:bCs/>
                <w:sz w:val="22"/>
                <w:szCs w:val="22"/>
              </w:rPr>
              <w:t>..........................................................</w:t>
            </w:r>
            <w:r w:rsidRPr="002F7FDD">
              <w:rPr>
                <w:bCs/>
                <w:sz w:val="22"/>
                <w:szCs w:val="22"/>
              </w:rPr>
              <w:t xml:space="preserve"> </w:t>
            </w:r>
          </w:p>
          <w:p w:rsidR="009571FA" w:rsidRDefault="009571FA" w:rsidP="00581596">
            <w:pPr>
              <w:numPr>
                <w:ilvl w:val="0"/>
                <w:numId w:val="27"/>
              </w:numPr>
              <w:suppressAutoHyphens/>
              <w:rPr>
                <w:rFonts w:cs="Arial"/>
                <w:sz w:val="22"/>
              </w:rPr>
            </w:pPr>
            <w:r>
              <w:rPr>
                <w:rFonts w:cs="Arial"/>
                <w:sz w:val="22"/>
                <w:szCs w:val="22"/>
              </w:rPr>
              <w:t>Promoting the use of sex disaggregated data</w:t>
            </w:r>
            <w:r w:rsidR="002F7FDD">
              <w:rPr>
                <w:rFonts w:cs="Arial"/>
                <w:sz w:val="22"/>
                <w:szCs w:val="22"/>
              </w:rPr>
              <w:t>............................................</w:t>
            </w:r>
          </w:p>
          <w:p w:rsidR="009571FA" w:rsidRDefault="009571FA" w:rsidP="00581596">
            <w:pPr>
              <w:numPr>
                <w:ilvl w:val="0"/>
                <w:numId w:val="27"/>
              </w:numPr>
              <w:suppressAutoHyphens/>
              <w:rPr>
                <w:rFonts w:cs="Arial"/>
                <w:sz w:val="22"/>
                <w:lang w:eastAsia="ar-SA"/>
              </w:rPr>
            </w:pPr>
            <w:r>
              <w:rPr>
                <w:rFonts w:cs="Arial"/>
                <w:sz w:val="22"/>
                <w:szCs w:val="22"/>
              </w:rPr>
              <w:t xml:space="preserve">Establishing </w:t>
            </w:r>
            <w:r w:rsidR="002F7FDD">
              <w:rPr>
                <w:rFonts w:cs="Arial"/>
                <w:sz w:val="22"/>
                <w:szCs w:val="22"/>
              </w:rPr>
              <w:t xml:space="preserve">senior manager’s accountability............................................. </w:t>
            </w:r>
          </w:p>
        </w:tc>
        <w:tc>
          <w:tcPr>
            <w:tcW w:w="1110" w:type="dxa"/>
          </w:tcPr>
          <w:p w:rsidR="009571FA" w:rsidRDefault="009571FA" w:rsidP="00305594">
            <w:pPr>
              <w:suppressAutoHyphens/>
              <w:jc w:val="center"/>
              <w:rPr>
                <w:rFonts w:cs="Arial"/>
                <w:sz w:val="22"/>
                <w:lang w:eastAsia="ar-SA"/>
              </w:rPr>
            </w:pPr>
          </w:p>
          <w:p w:rsidR="007D5FF1" w:rsidRDefault="007D5FF1" w:rsidP="00305594">
            <w:pPr>
              <w:suppressAutoHyphens/>
              <w:jc w:val="center"/>
              <w:rPr>
                <w:rFonts w:cs="Arial"/>
                <w:sz w:val="22"/>
                <w:szCs w:val="22"/>
                <w:lang w:eastAsia="ar-SA"/>
              </w:rPr>
            </w:pPr>
          </w:p>
          <w:p w:rsidR="002F7FDD" w:rsidRDefault="002F7FDD" w:rsidP="00305594">
            <w:pPr>
              <w:suppressAutoHyphens/>
              <w:jc w:val="center"/>
              <w:rPr>
                <w:rFonts w:cs="Arial"/>
                <w:sz w:val="22"/>
                <w:szCs w:val="22"/>
                <w:lang w:eastAsia="ar-SA"/>
              </w:rPr>
            </w:pPr>
            <w:r>
              <w:rPr>
                <w:rFonts w:cs="Arial"/>
                <w:sz w:val="22"/>
                <w:szCs w:val="22"/>
                <w:lang w:eastAsia="ar-SA"/>
              </w:rPr>
              <w:t>18</w:t>
            </w:r>
          </w:p>
          <w:p w:rsidR="002F7FDD" w:rsidRDefault="002F7FDD" w:rsidP="00305594">
            <w:pPr>
              <w:suppressAutoHyphens/>
              <w:jc w:val="center"/>
              <w:rPr>
                <w:rFonts w:cs="Arial"/>
                <w:sz w:val="22"/>
                <w:szCs w:val="22"/>
                <w:lang w:eastAsia="ar-SA"/>
              </w:rPr>
            </w:pPr>
            <w:r>
              <w:rPr>
                <w:rFonts w:cs="Arial"/>
                <w:sz w:val="22"/>
                <w:szCs w:val="22"/>
                <w:lang w:eastAsia="ar-SA"/>
              </w:rPr>
              <w:t>19</w:t>
            </w:r>
          </w:p>
          <w:p w:rsidR="00C61E82" w:rsidRDefault="00C61E82" w:rsidP="00305594">
            <w:pPr>
              <w:suppressAutoHyphens/>
              <w:jc w:val="center"/>
              <w:rPr>
                <w:rFonts w:cs="Arial"/>
                <w:sz w:val="22"/>
                <w:szCs w:val="22"/>
                <w:lang w:eastAsia="ar-SA"/>
              </w:rPr>
            </w:pPr>
          </w:p>
          <w:p w:rsidR="002F7FDD" w:rsidRDefault="002F7FDD" w:rsidP="00305594">
            <w:pPr>
              <w:suppressAutoHyphens/>
              <w:jc w:val="center"/>
              <w:rPr>
                <w:rFonts w:cs="Arial"/>
                <w:sz w:val="22"/>
                <w:szCs w:val="22"/>
                <w:lang w:eastAsia="ar-SA"/>
              </w:rPr>
            </w:pPr>
            <w:r>
              <w:rPr>
                <w:rFonts w:cs="Arial"/>
                <w:sz w:val="22"/>
                <w:szCs w:val="22"/>
                <w:lang w:eastAsia="ar-SA"/>
              </w:rPr>
              <w:t>31</w:t>
            </w:r>
          </w:p>
          <w:p w:rsidR="002F7FDD" w:rsidRDefault="002F7FDD" w:rsidP="00305594">
            <w:pPr>
              <w:suppressAutoHyphens/>
              <w:jc w:val="center"/>
              <w:rPr>
                <w:rFonts w:cs="Arial"/>
                <w:sz w:val="22"/>
                <w:szCs w:val="22"/>
                <w:lang w:eastAsia="ar-SA"/>
              </w:rPr>
            </w:pPr>
            <w:r>
              <w:rPr>
                <w:rFonts w:cs="Arial"/>
                <w:sz w:val="22"/>
                <w:szCs w:val="22"/>
                <w:lang w:eastAsia="ar-SA"/>
              </w:rPr>
              <w:t>31</w:t>
            </w:r>
          </w:p>
          <w:p w:rsidR="002F7FDD" w:rsidRDefault="002F7FDD" w:rsidP="00305594">
            <w:pPr>
              <w:suppressAutoHyphens/>
              <w:jc w:val="center"/>
              <w:rPr>
                <w:rFonts w:cs="Arial"/>
                <w:sz w:val="22"/>
                <w:szCs w:val="22"/>
                <w:lang w:eastAsia="ar-SA"/>
              </w:rPr>
            </w:pPr>
            <w:r>
              <w:rPr>
                <w:rFonts w:cs="Arial"/>
                <w:sz w:val="22"/>
                <w:szCs w:val="22"/>
                <w:lang w:eastAsia="ar-SA"/>
              </w:rPr>
              <w:t>41</w:t>
            </w:r>
          </w:p>
          <w:p w:rsidR="002F7FDD" w:rsidRDefault="002F7FDD" w:rsidP="00305594">
            <w:pPr>
              <w:suppressAutoHyphens/>
              <w:jc w:val="center"/>
              <w:rPr>
                <w:rFonts w:cs="Arial"/>
                <w:sz w:val="22"/>
                <w:szCs w:val="22"/>
                <w:lang w:eastAsia="ar-SA"/>
              </w:rPr>
            </w:pPr>
            <w:r>
              <w:rPr>
                <w:rFonts w:cs="Arial"/>
                <w:sz w:val="22"/>
                <w:szCs w:val="22"/>
                <w:lang w:eastAsia="ar-SA"/>
              </w:rPr>
              <w:t>45</w:t>
            </w:r>
          </w:p>
          <w:p w:rsidR="002F7FDD" w:rsidRDefault="00185762" w:rsidP="00305594">
            <w:pPr>
              <w:suppressAutoHyphens/>
              <w:jc w:val="center"/>
              <w:rPr>
                <w:rFonts w:cs="Arial"/>
                <w:sz w:val="22"/>
                <w:szCs w:val="22"/>
                <w:lang w:eastAsia="ar-SA"/>
              </w:rPr>
            </w:pPr>
            <w:r>
              <w:rPr>
                <w:rFonts w:cs="Arial"/>
                <w:sz w:val="22"/>
                <w:szCs w:val="22"/>
                <w:lang w:eastAsia="ar-SA"/>
              </w:rPr>
              <w:t>56</w:t>
            </w:r>
          </w:p>
          <w:p w:rsidR="002F7FDD" w:rsidRDefault="002F7FDD" w:rsidP="00185762">
            <w:pPr>
              <w:suppressAutoHyphens/>
              <w:jc w:val="center"/>
              <w:rPr>
                <w:rFonts w:cs="Arial"/>
                <w:sz w:val="22"/>
                <w:lang w:eastAsia="ar-SA"/>
              </w:rPr>
            </w:pPr>
            <w:r>
              <w:rPr>
                <w:rFonts w:cs="Arial"/>
                <w:sz w:val="22"/>
                <w:szCs w:val="22"/>
                <w:lang w:eastAsia="ar-SA"/>
              </w:rPr>
              <w:t>6</w:t>
            </w:r>
            <w:r w:rsidR="00185762">
              <w:rPr>
                <w:rFonts w:cs="Arial"/>
                <w:sz w:val="22"/>
                <w:szCs w:val="22"/>
                <w:lang w:eastAsia="ar-SA"/>
              </w:rPr>
              <w:t>4</w:t>
            </w:r>
          </w:p>
        </w:tc>
      </w:tr>
      <w:tr w:rsidR="009571FA" w:rsidTr="00305594">
        <w:tc>
          <w:tcPr>
            <w:tcW w:w="8268" w:type="dxa"/>
          </w:tcPr>
          <w:p w:rsidR="009571FA" w:rsidRDefault="009571FA" w:rsidP="00305594">
            <w:pPr>
              <w:rPr>
                <w:rFonts w:cs="Arial"/>
                <w:b/>
                <w:bCs/>
                <w:sz w:val="22"/>
                <w:lang w:eastAsia="ar-SA"/>
              </w:rPr>
            </w:pPr>
          </w:p>
          <w:p w:rsidR="009571FA" w:rsidRPr="00C61E82" w:rsidRDefault="009571FA" w:rsidP="00305594">
            <w:pPr>
              <w:suppressAutoHyphens/>
              <w:rPr>
                <w:rFonts w:cs="Arial"/>
                <w:bCs/>
                <w:sz w:val="22"/>
                <w:lang w:eastAsia="ar-SA"/>
              </w:rPr>
            </w:pPr>
            <w:r>
              <w:rPr>
                <w:rFonts w:cs="Arial"/>
                <w:b/>
                <w:bCs/>
                <w:sz w:val="22"/>
                <w:szCs w:val="22"/>
              </w:rPr>
              <w:t>IV.</w:t>
            </w:r>
            <w:r w:rsidR="0078591A">
              <w:rPr>
                <w:rFonts w:cs="Arial"/>
                <w:b/>
                <w:bCs/>
                <w:sz w:val="22"/>
                <w:szCs w:val="22"/>
              </w:rPr>
              <w:t xml:space="preserve">  SUMMARY AND DISCUSSION OF </w:t>
            </w:r>
            <w:r>
              <w:rPr>
                <w:rFonts w:cs="Arial"/>
                <w:b/>
                <w:bCs/>
                <w:sz w:val="22"/>
                <w:szCs w:val="22"/>
              </w:rPr>
              <w:t>MAIN FINDINGS</w:t>
            </w:r>
            <w:r w:rsidR="00C61E82">
              <w:rPr>
                <w:rFonts w:cs="Arial"/>
                <w:b/>
                <w:bCs/>
                <w:sz w:val="22"/>
                <w:szCs w:val="22"/>
              </w:rPr>
              <w:t xml:space="preserve"> </w:t>
            </w:r>
            <w:r w:rsidR="00C61E82">
              <w:rPr>
                <w:rFonts w:cs="Arial"/>
                <w:bCs/>
                <w:sz w:val="22"/>
                <w:szCs w:val="22"/>
              </w:rPr>
              <w:t>..........................</w:t>
            </w:r>
            <w:r w:rsidR="0078591A">
              <w:rPr>
                <w:rFonts w:cs="Arial"/>
                <w:bCs/>
                <w:sz w:val="22"/>
                <w:szCs w:val="22"/>
              </w:rPr>
              <w:t>.........</w:t>
            </w:r>
          </w:p>
        </w:tc>
        <w:tc>
          <w:tcPr>
            <w:tcW w:w="1110" w:type="dxa"/>
          </w:tcPr>
          <w:p w:rsidR="00DD0211" w:rsidRDefault="00DD0211" w:rsidP="00305594">
            <w:pPr>
              <w:suppressAutoHyphens/>
              <w:jc w:val="center"/>
              <w:rPr>
                <w:rFonts w:cs="Arial"/>
                <w:sz w:val="22"/>
                <w:szCs w:val="22"/>
                <w:lang w:eastAsia="ar-SA"/>
              </w:rPr>
            </w:pPr>
          </w:p>
          <w:p w:rsidR="009571FA" w:rsidRDefault="00DD0211" w:rsidP="00F10089">
            <w:pPr>
              <w:suppressAutoHyphens/>
              <w:jc w:val="center"/>
              <w:rPr>
                <w:rFonts w:cs="Arial"/>
                <w:sz w:val="22"/>
                <w:lang w:eastAsia="ar-SA"/>
              </w:rPr>
            </w:pPr>
            <w:r>
              <w:rPr>
                <w:rFonts w:cs="Arial"/>
                <w:sz w:val="22"/>
                <w:szCs w:val="22"/>
                <w:lang w:eastAsia="ar-SA"/>
              </w:rPr>
              <w:t>6</w:t>
            </w:r>
            <w:r w:rsidR="00185762">
              <w:rPr>
                <w:rFonts w:cs="Arial"/>
                <w:sz w:val="22"/>
                <w:szCs w:val="22"/>
                <w:lang w:eastAsia="ar-SA"/>
              </w:rPr>
              <w:t>7</w:t>
            </w:r>
          </w:p>
        </w:tc>
      </w:tr>
      <w:tr w:rsidR="009571FA" w:rsidTr="00305594">
        <w:tc>
          <w:tcPr>
            <w:tcW w:w="8268" w:type="dxa"/>
          </w:tcPr>
          <w:p w:rsidR="009571FA" w:rsidRDefault="009571FA" w:rsidP="00305594">
            <w:pPr>
              <w:rPr>
                <w:rFonts w:cs="Arial"/>
                <w:b/>
                <w:bCs/>
                <w:sz w:val="22"/>
                <w:lang w:eastAsia="ar-SA"/>
              </w:rPr>
            </w:pPr>
          </w:p>
          <w:p w:rsidR="009571FA" w:rsidRPr="00C61E82" w:rsidRDefault="009571FA" w:rsidP="0078591A">
            <w:pPr>
              <w:rPr>
                <w:rFonts w:cs="Arial"/>
                <w:b/>
                <w:bCs/>
                <w:sz w:val="22"/>
                <w:lang w:eastAsia="ar-SA"/>
              </w:rPr>
            </w:pPr>
            <w:r>
              <w:rPr>
                <w:rFonts w:cs="Arial"/>
                <w:b/>
                <w:bCs/>
                <w:sz w:val="22"/>
                <w:szCs w:val="22"/>
              </w:rPr>
              <w:t>V.   CONCLUSIONS AND RECOMMENDATIONS</w:t>
            </w:r>
            <w:r>
              <w:rPr>
                <w:rFonts w:cs="Arial"/>
                <w:sz w:val="22"/>
                <w:szCs w:val="22"/>
              </w:rPr>
              <w:t xml:space="preserve"> </w:t>
            </w:r>
            <w:r w:rsidR="00C61E82" w:rsidRPr="00C61E82">
              <w:rPr>
                <w:rFonts w:cs="Arial"/>
                <w:sz w:val="22"/>
                <w:szCs w:val="22"/>
              </w:rPr>
              <w:t>..............................................</w:t>
            </w:r>
          </w:p>
        </w:tc>
        <w:tc>
          <w:tcPr>
            <w:tcW w:w="1110" w:type="dxa"/>
          </w:tcPr>
          <w:p w:rsidR="00DD0211" w:rsidRDefault="00DD0211" w:rsidP="00305594">
            <w:pPr>
              <w:suppressAutoHyphens/>
              <w:jc w:val="center"/>
              <w:rPr>
                <w:rFonts w:cs="Arial"/>
                <w:sz w:val="22"/>
                <w:szCs w:val="22"/>
                <w:lang w:eastAsia="ar-SA"/>
              </w:rPr>
            </w:pPr>
          </w:p>
          <w:p w:rsidR="009571FA" w:rsidRDefault="009571FA" w:rsidP="00305594">
            <w:pPr>
              <w:suppressAutoHyphens/>
              <w:jc w:val="center"/>
              <w:rPr>
                <w:rFonts w:cs="Arial"/>
                <w:sz w:val="22"/>
                <w:lang w:eastAsia="ar-SA"/>
              </w:rPr>
            </w:pPr>
            <w:r>
              <w:rPr>
                <w:rFonts w:cs="Arial"/>
                <w:sz w:val="22"/>
                <w:szCs w:val="22"/>
                <w:lang w:eastAsia="ar-SA"/>
              </w:rPr>
              <w:t>7</w:t>
            </w:r>
            <w:r w:rsidR="003871FF">
              <w:rPr>
                <w:rFonts w:cs="Arial"/>
                <w:sz w:val="22"/>
                <w:szCs w:val="22"/>
                <w:lang w:eastAsia="ar-SA"/>
              </w:rPr>
              <w:t>4</w:t>
            </w:r>
          </w:p>
        </w:tc>
      </w:tr>
    </w:tbl>
    <w:p w:rsidR="009571FA" w:rsidRDefault="009571FA" w:rsidP="00305594">
      <w:pPr>
        <w:rPr>
          <w:rFonts w:cs="Arial"/>
          <w:sz w:val="22"/>
          <w:szCs w:val="22"/>
          <w:lang w:eastAsia="ar-SA"/>
        </w:rPr>
      </w:pPr>
    </w:p>
    <w:tbl>
      <w:tblPr>
        <w:tblW w:w="9378" w:type="dxa"/>
        <w:tblLook w:val="00A0"/>
      </w:tblPr>
      <w:tblGrid>
        <w:gridCol w:w="8298"/>
        <w:gridCol w:w="1080"/>
      </w:tblGrid>
      <w:tr w:rsidR="009571FA" w:rsidTr="00065488">
        <w:tc>
          <w:tcPr>
            <w:tcW w:w="9378" w:type="dxa"/>
            <w:gridSpan w:val="2"/>
          </w:tcPr>
          <w:p w:rsidR="009571FA" w:rsidRPr="00BB0015" w:rsidRDefault="009571FA" w:rsidP="00305594">
            <w:pPr>
              <w:suppressAutoHyphens/>
              <w:rPr>
                <w:rFonts w:cs="Arial"/>
                <w:b/>
                <w:bCs/>
                <w:sz w:val="22"/>
                <w:lang w:eastAsia="ar-SA"/>
              </w:rPr>
            </w:pPr>
            <w:r w:rsidRPr="00BB0015">
              <w:rPr>
                <w:rFonts w:cs="Arial"/>
                <w:b/>
                <w:bCs/>
                <w:sz w:val="22"/>
                <w:szCs w:val="22"/>
              </w:rPr>
              <w:t>APPENDICES</w:t>
            </w:r>
          </w:p>
        </w:tc>
      </w:tr>
      <w:tr w:rsidR="009571FA" w:rsidTr="00065488">
        <w:tc>
          <w:tcPr>
            <w:tcW w:w="8298" w:type="dxa"/>
          </w:tcPr>
          <w:p w:rsidR="00BB0015" w:rsidRDefault="00065488" w:rsidP="00065488">
            <w:pPr>
              <w:suppressAutoHyphens/>
              <w:rPr>
                <w:rFonts w:cs="Arial"/>
                <w:sz w:val="22"/>
                <w:szCs w:val="22"/>
              </w:rPr>
            </w:pPr>
            <w:r>
              <w:rPr>
                <w:rFonts w:cs="Arial"/>
                <w:sz w:val="22"/>
                <w:szCs w:val="22"/>
              </w:rPr>
              <w:t>1: E Survey r</w:t>
            </w:r>
            <w:r w:rsidR="009571FA">
              <w:rPr>
                <w:rFonts w:cs="Arial"/>
                <w:sz w:val="22"/>
                <w:szCs w:val="22"/>
              </w:rPr>
              <w:t>esults tables</w:t>
            </w:r>
            <w:r>
              <w:rPr>
                <w:rFonts w:cs="Arial"/>
                <w:sz w:val="22"/>
                <w:szCs w:val="22"/>
              </w:rPr>
              <w:t xml:space="preserve"> for all WHO </w:t>
            </w:r>
          </w:p>
          <w:p w:rsidR="004336E6" w:rsidRDefault="004336E6" w:rsidP="00065488">
            <w:pPr>
              <w:suppressAutoHyphens/>
              <w:rPr>
                <w:rFonts w:cs="Arial"/>
                <w:sz w:val="22"/>
                <w:szCs w:val="22"/>
              </w:rPr>
            </w:pPr>
            <w:r>
              <w:rPr>
                <w:rFonts w:cs="Arial"/>
                <w:sz w:val="22"/>
                <w:szCs w:val="22"/>
              </w:rPr>
              <w:t>2. PAHO Planning Focal Points sample</w:t>
            </w:r>
          </w:p>
          <w:p w:rsidR="008A2266" w:rsidRDefault="008A2266" w:rsidP="00BB0015">
            <w:pPr>
              <w:suppressAutoHyphens/>
              <w:rPr>
                <w:rFonts w:cs="Arial"/>
                <w:sz w:val="22"/>
                <w:lang w:eastAsia="ar-SA"/>
              </w:rPr>
            </w:pPr>
            <w:r>
              <w:rPr>
                <w:rFonts w:cs="Arial"/>
                <w:sz w:val="22"/>
                <w:szCs w:val="22"/>
              </w:rPr>
              <w:t>3</w:t>
            </w:r>
            <w:r w:rsidR="00065488">
              <w:rPr>
                <w:rFonts w:cs="Arial"/>
                <w:sz w:val="22"/>
                <w:szCs w:val="22"/>
              </w:rPr>
              <w:t xml:space="preserve">: Planning Focal Points interview results </w:t>
            </w:r>
            <w:r>
              <w:rPr>
                <w:rFonts w:cs="Arial"/>
                <w:sz w:val="22"/>
                <w:szCs w:val="22"/>
              </w:rPr>
              <w:t xml:space="preserve">tables </w:t>
            </w:r>
            <w:r w:rsidR="00065488">
              <w:rPr>
                <w:rFonts w:cs="Arial"/>
                <w:sz w:val="22"/>
                <w:szCs w:val="22"/>
              </w:rPr>
              <w:t xml:space="preserve">for all WHO </w:t>
            </w:r>
          </w:p>
        </w:tc>
        <w:tc>
          <w:tcPr>
            <w:tcW w:w="1080" w:type="dxa"/>
          </w:tcPr>
          <w:p w:rsidR="009571FA" w:rsidRDefault="009571FA" w:rsidP="00305594">
            <w:pPr>
              <w:suppressAutoHyphens/>
              <w:rPr>
                <w:rFonts w:cs="Arial"/>
                <w:sz w:val="22"/>
                <w:lang w:eastAsia="ar-SA"/>
              </w:rPr>
            </w:pPr>
          </w:p>
        </w:tc>
      </w:tr>
      <w:tr w:rsidR="009571FA" w:rsidTr="00065488">
        <w:tc>
          <w:tcPr>
            <w:tcW w:w="8298" w:type="dxa"/>
          </w:tcPr>
          <w:p w:rsidR="00065488" w:rsidRDefault="00D2075C" w:rsidP="00305594">
            <w:pPr>
              <w:suppressAutoHyphens/>
              <w:rPr>
                <w:rFonts w:cs="Arial"/>
                <w:sz w:val="22"/>
                <w:szCs w:val="22"/>
              </w:rPr>
            </w:pPr>
            <w:r>
              <w:rPr>
                <w:rFonts w:cs="Arial"/>
                <w:sz w:val="22"/>
                <w:szCs w:val="22"/>
              </w:rPr>
              <w:t>4</w:t>
            </w:r>
            <w:r w:rsidR="00065488">
              <w:rPr>
                <w:rFonts w:cs="Arial"/>
                <w:sz w:val="22"/>
                <w:szCs w:val="22"/>
              </w:rPr>
              <w:t>: Content analysis working tables for PAHO CCS and Country Work Plans</w:t>
            </w:r>
          </w:p>
          <w:p w:rsidR="00065488" w:rsidRDefault="00D2075C" w:rsidP="00065488">
            <w:pPr>
              <w:suppressAutoHyphens/>
              <w:rPr>
                <w:rFonts w:cs="Arial"/>
                <w:sz w:val="22"/>
                <w:szCs w:val="22"/>
              </w:rPr>
            </w:pPr>
            <w:r>
              <w:rPr>
                <w:rFonts w:cs="Arial"/>
                <w:sz w:val="22"/>
                <w:szCs w:val="22"/>
              </w:rPr>
              <w:t>5</w:t>
            </w:r>
            <w:r w:rsidR="00065488">
              <w:rPr>
                <w:rFonts w:cs="Arial"/>
                <w:sz w:val="22"/>
                <w:szCs w:val="22"/>
              </w:rPr>
              <w:t xml:space="preserve">: Content analysis working tables for PAHO key publications </w:t>
            </w:r>
          </w:p>
          <w:p w:rsidR="004336E6" w:rsidRDefault="00D2075C" w:rsidP="00065488">
            <w:pPr>
              <w:suppressAutoHyphens/>
              <w:rPr>
                <w:rFonts w:cs="Arial"/>
                <w:sz w:val="22"/>
                <w:szCs w:val="22"/>
              </w:rPr>
            </w:pPr>
            <w:r>
              <w:rPr>
                <w:rFonts w:cs="Arial"/>
                <w:sz w:val="22"/>
                <w:szCs w:val="22"/>
              </w:rPr>
              <w:t>6</w:t>
            </w:r>
            <w:r w:rsidR="004336E6">
              <w:rPr>
                <w:rFonts w:cs="Arial"/>
                <w:sz w:val="22"/>
                <w:szCs w:val="22"/>
              </w:rPr>
              <w:t>: Content analysis working tables for the PAHO Director Speeches</w:t>
            </w:r>
          </w:p>
          <w:p w:rsidR="00BB0015" w:rsidRDefault="00BB0015" w:rsidP="00065488">
            <w:pPr>
              <w:suppressAutoHyphens/>
              <w:rPr>
                <w:rFonts w:cs="Arial"/>
                <w:sz w:val="22"/>
                <w:szCs w:val="22"/>
              </w:rPr>
            </w:pPr>
          </w:p>
          <w:p w:rsidR="00BB0015" w:rsidRPr="00BB0015" w:rsidRDefault="00BB0015" w:rsidP="00065488">
            <w:pPr>
              <w:suppressAutoHyphens/>
              <w:rPr>
                <w:rFonts w:cs="Arial"/>
                <w:b/>
                <w:sz w:val="22"/>
                <w:szCs w:val="22"/>
              </w:rPr>
            </w:pPr>
            <w:r w:rsidRPr="00BB0015">
              <w:rPr>
                <w:rFonts w:cs="Arial"/>
                <w:b/>
                <w:sz w:val="22"/>
                <w:szCs w:val="22"/>
              </w:rPr>
              <w:t>METHODOLOGICAL ANNEXES</w:t>
            </w:r>
          </w:p>
          <w:p w:rsidR="00BB0015" w:rsidRPr="00BB0015" w:rsidRDefault="00BB0015" w:rsidP="00065488">
            <w:pPr>
              <w:suppressAutoHyphens/>
              <w:rPr>
                <w:rFonts w:cs="Arial"/>
                <w:sz w:val="22"/>
                <w:szCs w:val="22"/>
              </w:rPr>
            </w:pPr>
            <w:r w:rsidRPr="00BB0015">
              <w:rPr>
                <w:rFonts w:cs="Arial"/>
                <w:sz w:val="22"/>
                <w:szCs w:val="22"/>
              </w:rPr>
              <w:t xml:space="preserve">1: E survey </w:t>
            </w:r>
          </w:p>
          <w:p w:rsidR="00BB0015" w:rsidRPr="00BB0015" w:rsidRDefault="00BB0015" w:rsidP="00065488">
            <w:pPr>
              <w:suppressAutoHyphens/>
              <w:rPr>
                <w:rFonts w:cs="Arial"/>
                <w:sz w:val="22"/>
                <w:szCs w:val="22"/>
              </w:rPr>
            </w:pPr>
            <w:r w:rsidRPr="00BB0015">
              <w:rPr>
                <w:rFonts w:cs="Arial"/>
                <w:sz w:val="22"/>
                <w:szCs w:val="22"/>
              </w:rPr>
              <w:t>2: Sex Parity</w:t>
            </w:r>
          </w:p>
          <w:p w:rsidR="00BB0015" w:rsidRDefault="00BB0015" w:rsidP="00065488">
            <w:pPr>
              <w:suppressAutoHyphens/>
              <w:rPr>
                <w:rFonts w:cs="Arial"/>
                <w:sz w:val="22"/>
                <w:szCs w:val="22"/>
              </w:rPr>
            </w:pPr>
            <w:r w:rsidRPr="00BB0015">
              <w:rPr>
                <w:rFonts w:cs="Arial"/>
                <w:sz w:val="22"/>
                <w:szCs w:val="22"/>
              </w:rPr>
              <w:t>3. Planning focal Points Interview</w:t>
            </w:r>
          </w:p>
          <w:p w:rsidR="00BB0015" w:rsidRDefault="00BB0015" w:rsidP="00065488">
            <w:pPr>
              <w:suppressAutoHyphens/>
              <w:rPr>
                <w:rFonts w:cs="Arial"/>
                <w:sz w:val="22"/>
                <w:szCs w:val="22"/>
              </w:rPr>
            </w:pPr>
            <w:r>
              <w:rPr>
                <w:rFonts w:cs="Arial"/>
                <w:sz w:val="22"/>
                <w:szCs w:val="22"/>
              </w:rPr>
              <w:t>4: Country Cooperation Strategies and Work Plans</w:t>
            </w:r>
          </w:p>
          <w:p w:rsidR="00BB0015" w:rsidRDefault="00BB0015" w:rsidP="00065488">
            <w:pPr>
              <w:suppressAutoHyphens/>
              <w:rPr>
                <w:rFonts w:cs="Arial"/>
                <w:sz w:val="22"/>
                <w:szCs w:val="22"/>
              </w:rPr>
            </w:pPr>
            <w:r>
              <w:rPr>
                <w:rFonts w:cs="Arial"/>
                <w:sz w:val="22"/>
                <w:szCs w:val="22"/>
              </w:rPr>
              <w:t>5. Key WHO Documents</w:t>
            </w:r>
          </w:p>
          <w:p w:rsidR="00BB0015" w:rsidRPr="00BB0015" w:rsidRDefault="00BB0015" w:rsidP="00065488">
            <w:pPr>
              <w:suppressAutoHyphens/>
              <w:rPr>
                <w:rFonts w:cs="Arial"/>
                <w:sz w:val="22"/>
                <w:szCs w:val="22"/>
              </w:rPr>
            </w:pPr>
            <w:r>
              <w:rPr>
                <w:rFonts w:cs="Arial"/>
                <w:sz w:val="22"/>
                <w:szCs w:val="22"/>
              </w:rPr>
              <w:t>5. Director’s Speeches</w:t>
            </w:r>
          </w:p>
          <w:p w:rsidR="009571FA" w:rsidRDefault="009571FA" w:rsidP="00065488">
            <w:pPr>
              <w:suppressAutoHyphens/>
              <w:rPr>
                <w:rFonts w:cs="Arial"/>
                <w:sz w:val="22"/>
                <w:lang w:eastAsia="ar-SA"/>
              </w:rPr>
            </w:pPr>
          </w:p>
        </w:tc>
        <w:tc>
          <w:tcPr>
            <w:tcW w:w="1080" w:type="dxa"/>
          </w:tcPr>
          <w:p w:rsidR="009571FA" w:rsidRDefault="009571FA" w:rsidP="00305594">
            <w:pPr>
              <w:suppressAutoHyphens/>
              <w:rPr>
                <w:rFonts w:cs="Arial"/>
                <w:sz w:val="22"/>
                <w:lang w:eastAsia="ar-SA"/>
              </w:rPr>
            </w:pPr>
          </w:p>
        </w:tc>
      </w:tr>
    </w:tbl>
    <w:p w:rsidR="009571FA" w:rsidRPr="004A4E9A" w:rsidRDefault="009571FA" w:rsidP="001D2729">
      <w:pPr>
        <w:rPr>
          <w:rFonts w:cs="Arial"/>
          <w:sz w:val="24"/>
          <w:szCs w:val="22"/>
        </w:rPr>
      </w:pPr>
      <w:r w:rsidRPr="004A4E9A">
        <w:rPr>
          <w:rFonts w:cs="Arial"/>
          <w:b/>
          <w:bCs/>
          <w:sz w:val="24"/>
          <w:szCs w:val="22"/>
        </w:rPr>
        <w:t>Executive summary</w:t>
      </w:r>
      <w:r w:rsidRPr="004A4E9A">
        <w:rPr>
          <w:rFonts w:cs="Arial"/>
          <w:sz w:val="24"/>
          <w:szCs w:val="22"/>
        </w:rPr>
        <w:t xml:space="preserve"> </w:t>
      </w:r>
    </w:p>
    <w:p w:rsidR="009571FA" w:rsidRDefault="009571FA" w:rsidP="00C736A1">
      <w:pPr>
        <w:ind w:left="360" w:right="-360"/>
        <w:jc w:val="both"/>
        <w:rPr>
          <w:rFonts w:cs="Arial"/>
          <w:b/>
          <w:bCs/>
          <w:sz w:val="12"/>
          <w:szCs w:val="22"/>
        </w:rPr>
      </w:pPr>
    </w:p>
    <w:p w:rsidR="009571FA" w:rsidRDefault="009571FA" w:rsidP="00F96587">
      <w:pPr>
        <w:ind w:left="14" w:right="-360" w:firstLine="14"/>
        <w:rPr>
          <w:rFonts w:cs="Arial"/>
          <w:sz w:val="22"/>
          <w:szCs w:val="22"/>
        </w:rPr>
      </w:pPr>
      <w:r>
        <w:rPr>
          <w:rFonts w:cs="Arial"/>
          <w:sz w:val="22"/>
          <w:szCs w:val="22"/>
        </w:rPr>
        <w:t xml:space="preserve">      The</w:t>
      </w:r>
      <w:r w:rsidRPr="007001F3">
        <w:rPr>
          <w:rFonts w:cs="Arial"/>
          <w:b/>
          <w:sz w:val="22"/>
          <w:szCs w:val="22"/>
        </w:rPr>
        <w:t xml:space="preserve"> purpose</w:t>
      </w:r>
      <w:r>
        <w:rPr>
          <w:rFonts w:cs="Arial"/>
          <w:sz w:val="22"/>
          <w:szCs w:val="22"/>
        </w:rPr>
        <w:t xml:space="preserve"> of this baseline assessment </w:t>
      </w:r>
      <w:r w:rsidR="00FE22C9">
        <w:rPr>
          <w:rFonts w:cs="Arial"/>
          <w:sz w:val="22"/>
          <w:szCs w:val="22"/>
        </w:rPr>
        <w:t>was</w:t>
      </w:r>
      <w:r>
        <w:rPr>
          <w:rFonts w:cs="Arial"/>
          <w:sz w:val="22"/>
          <w:szCs w:val="22"/>
        </w:rPr>
        <w:t xml:space="preserve"> to collect a minimum data set which reflect</w:t>
      </w:r>
      <w:r w:rsidR="00FE22C9">
        <w:rPr>
          <w:rFonts w:cs="Arial"/>
          <w:sz w:val="22"/>
          <w:szCs w:val="22"/>
        </w:rPr>
        <w:t>ed</w:t>
      </w:r>
      <w:r>
        <w:rPr>
          <w:rFonts w:cs="Arial"/>
          <w:sz w:val="22"/>
          <w:szCs w:val="22"/>
        </w:rPr>
        <w:t xml:space="preserve"> the current status for implementing the four strategic directions (SD) of the World Health Organization (WHO) Gender Strategy (200</w:t>
      </w:r>
      <w:r w:rsidR="004B7F31">
        <w:rPr>
          <w:rFonts w:cs="Arial"/>
          <w:sz w:val="22"/>
          <w:szCs w:val="22"/>
        </w:rPr>
        <w:t>9</w:t>
      </w:r>
      <w:r>
        <w:rPr>
          <w:rFonts w:cs="Arial"/>
          <w:sz w:val="22"/>
          <w:szCs w:val="22"/>
        </w:rPr>
        <w:t>-2013). The assessment forms part of a long term plan for evaluating the progress of mainstreaming gender within all the offices of WHO: Headquarters (HQ), as well as its four regional offices: of the Americas (AMRO/PAHO), Europe (EURO), Africa (AFRO), Asia Pacific (APRO), and Western Pacific (WIPRO). The evaluation includes three phases: the baseline to be finalized in 2009, a midterm assessment in 2010</w:t>
      </w:r>
      <w:r w:rsidR="0046443F">
        <w:rPr>
          <w:rFonts w:cs="Arial"/>
          <w:sz w:val="22"/>
          <w:szCs w:val="22"/>
        </w:rPr>
        <w:t>,</w:t>
      </w:r>
      <w:r w:rsidR="00FE22C9">
        <w:rPr>
          <w:rFonts w:cs="Arial"/>
          <w:sz w:val="22"/>
          <w:szCs w:val="22"/>
        </w:rPr>
        <w:t xml:space="preserve"> </w:t>
      </w:r>
      <w:r>
        <w:rPr>
          <w:rFonts w:cs="Arial"/>
          <w:sz w:val="22"/>
          <w:szCs w:val="22"/>
        </w:rPr>
        <w:t>and the final evaluation in 2013.</w:t>
      </w:r>
      <w:r w:rsidR="00FE22C9">
        <w:rPr>
          <w:rFonts w:cs="Arial"/>
          <w:sz w:val="22"/>
          <w:szCs w:val="22"/>
        </w:rPr>
        <w:t xml:space="preserve"> </w:t>
      </w:r>
      <w:r>
        <w:rPr>
          <w:rFonts w:cs="Arial"/>
          <w:sz w:val="22"/>
          <w:szCs w:val="22"/>
        </w:rPr>
        <w:t xml:space="preserve">This baseline will </w:t>
      </w:r>
      <w:r w:rsidR="00FE22C9">
        <w:rPr>
          <w:rFonts w:cs="Arial"/>
          <w:sz w:val="22"/>
          <w:szCs w:val="22"/>
        </w:rPr>
        <w:t xml:space="preserve">also </w:t>
      </w:r>
      <w:r>
        <w:rPr>
          <w:rFonts w:cs="Arial"/>
          <w:sz w:val="22"/>
          <w:szCs w:val="22"/>
        </w:rPr>
        <w:t xml:space="preserve">apply to </w:t>
      </w:r>
      <w:r w:rsidR="00300F91">
        <w:rPr>
          <w:rFonts w:cs="Arial"/>
          <w:sz w:val="22"/>
          <w:szCs w:val="22"/>
        </w:rPr>
        <w:t>monitoring</w:t>
      </w:r>
      <w:r>
        <w:rPr>
          <w:rFonts w:cs="Arial"/>
          <w:sz w:val="22"/>
          <w:szCs w:val="22"/>
        </w:rPr>
        <w:t xml:space="preserve"> the progress on implementing the Pan American Health Organization’s (PAHO) Gender Equality Policy (2005) and its Action Plan (</w:t>
      </w:r>
      <w:r w:rsidRPr="00481E8D">
        <w:rPr>
          <w:rFonts w:cs="Arial"/>
          <w:sz w:val="22"/>
          <w:szCs w:val="22"/>
        </w:rPr>
        <w:t>2009-2013</w:t>
      </w:r>
      <w:r>
        <w:rPr>
          <w:rFonts w:cs="Arial"/>
          <w:sz w:val="22"/>
          <w:szCs w:val="22"/>
        </w:rPr>
        <w:t xml:space="preserve">), as part of the WHO strategy, and is expected to </w:t>
      </w:r>
      <w:r w:rsidRPr="0009013A">
        <w:rPr>
          <w:rFonts w:cs="Arial"/>
          <w:sz w:val="22"/>
          <w:szCs w:val="22"/>
        </w:rPr>
        <w:t>contribute to identify</w:t>
      </w:r>
      <w:r>
        <w:rPr>
          <w:rFonts w:cs="Arial"/>
          <w:sz w:val="22"/>
          <w:szCs w:val="22"/>
        </w:rPr>
        <w:t>ing</w:t>
      </w:r>
      <w:r w:rsidRPr="0009013A">
        <w:rPr>
          <w:rFonts w:cs="Arial"/>
          <w:sz w:val="22"/>
          <w:szCs w:val="22"/>
        </w:rPr>
        <w:t xml:space="preserve"> actions needed to strengthen the implementation of the </w:t>
      </w:r>
      <w:r>
        <w:rPr>
          <w:rFonts w:cs="Arial"/>
          <w:sz w:val="22"/>
          <w:szCs w:val="22"/>
        </w:rPr>
        <w:t xml:space="preserve">WHO and PAHO gender policy and strategy.  </w:t>
      </w:r>
    </w:p>
    <w:p w:rsidR="0091174C" w:rsidRPr="0091174C" w:rsidRDefault="0091174C" w:rsidP="00F96587">
      <w:pPr>
        <w:ind w:left="14" w:right="-360" w:firstLine="14"/>
        <w:rPr>
          <w:rFonts w:cs="Arial"/>
          <w:sz w:val="16"/>
          <w:szCs w:val="22"/>
        </w:rPr>
      </w:pPr>
    </w:p>
    <w:p w:rsidR="009571FA" w:rsidRPr="0091174C" w:rsidRDefault="009571FA" w:rsidP="00F96587">
      <w:pPr>
        <w:ind w:left="14" w:right="-360" w:firstLine="14"/>
        <w:rPr>
          <w:rFonts w:cs="Arial"/>
          <w:sz w:val="2"/>
          <w:szCs w:val="22"/>
        </w:rPr>
      </w:pPr>
    </w:p>
    <w:p w:rsidR="009571FA" w:rsidRDefault="00300F91" w:rsidP="00F96587">
      <w:pPr>
        <w:ind w:right="-360"/>
        <w:rPr>
          <w:rFonts w:cs="Arial"/>
          <w:sz w:val="22"/>
          <w:szCs w:val="22"/>
        </w:rPr>
      </w:pPr>
      <w:r>
        <w:rPr>
          <w:rFonts w:cs="Arial"/>
          <w:sz w:val="22"/>
          <w:szCs w:val="22"/>
        </w:rPr>
        <w:t xml:space="preserve">     </w:t>
      </w:r>
      <w:r w:rsidR="009571FA">
        <w:rPr>
          <w:rFonts w:cs="Arial"/>
          <w:sz w:val="22"/>
          <w:szCs w:val="22"/>
        </w:rPr>
        <w:t xml:space="preserve">The </w:t>
      </w:r>
      <w:r w:rsidR="009571FA" w:rsidRPr="007001F3">
        <w:rPr>
          <w:rFonts w:cs="Arial"/>
          <w:b/>
          <w:sz w:val="22"/>
          <w:szCs w:val="22"/>
        </w:rPr>
        <w:t>specific objectives</w:t>
      </w:r>
      <w:r w:rsidR="009571FA">
        <w:rPr>
          <w:rFonts w:cs="Arial"/>
          <w:sz w:val="22"/>
          <w:szCs w:val="22"/>
        </w:rPr>
        <w:t xml:space="preserve"> of this baseline </w:t>
      </w:r>
      <w:r w:rsidR="00FE22C9">
        <w:rPr>
          <w:rFonts w:cs="Arial"/>
          <w:sz w:val="22"/>
          <w:szCs w:val="22"/>
        </w:rPr>
        <w:t>were</w:t>
      </w:r>
      <w:r w:rsidR="009571FA">
        <w:rPr>
          <w:rFonts w:cs="Arial"/>
          <w:sz w:val="22"/>
          <w:szCs w:val="22"/>
        </w:rPr>
        <w:t xml:space="preserve"> </w:t>
      </w:r>
      <w:r w:rsidR="00AC25ED">
        <w:rPr>
          <w:rFonts w:cs="Arial"/>
          <w:sz w:val="22"/>
          <w:szCs w:val="22"/>
        </w:rPr>
        <w:t>the following</w:t>
      </w:r>
      <w:r w:rsidR="009571FA">
        <w:rPr>
          <w:rFonts w:cs="Arial"/>
          <w:sz w:val="22"/>
          <w:szCs w:val="22"/>
        </w:rPr>
        <w:t xml:space="preserve">: </w:t>
      </w:r>
    </w:p>
    <w:p w:rsidR="009571FA" w:rsidRDefault="00FE22C9" w:rsidP="00581596">
      <w:pPr>
        <w:numPr>
          <w:ilvl w:val="0"/>
          <w:numId w:val="38"/>
        </w:numPr>
        <w:ind w:right="-360"/>
        <w:rPr>
          <w:rFonts w:cs="Arial"/>
          <w:sz w:val="22"/>
          <w:szCs w:val="22"/>
        </w:rPr>
      </w:pPr>
      <w:r>
        <w:rPr>
          <w:rFonts w:cs="Arial"/>
          <w:sz w:val="22"/>
          <w:szCs w:val="22"/>
        </w:rPr>
        <w:t>A</w:t>
      </w:r>
      <w:r w:rsidR="009571FA">
        <w:rPr>
          <w:rFonts w:cs="Arial"/>
          <w:sz w:val="22"/>
          <w:szCs w:val="22"/>
        </w:rPr>
        <w:t xml:space="preserve">ssess the institution wide capacity for gender analysis and actions (SD1). </w:t>
      </w:r>
    </w:p>
    <w:p w:rsidR="009571FA" w:rsidRDefault="009571FA" w:rsidP="00581596">
      <w:pPr>
        <w:numPr>
          <w:ilvl w:val="0"/>
          <w:numId w:val="38"/>
        </w:numPr>
        <w:ind w:right="-360"/>
        <w:rPr>
          <w:rFonts w:cs="Arial"/>
          <w:sz w:val="22"/>
          <w:szCs w:val="22"/>
        </w:rPr>
      </w:pPr>
      <w:r>
        <w:rPr>
          <w:rFonts w:cs="Arial"/>
          <w:sz w:val="22"/>
          <w:szCs w:val="22"/>
        </w:rPr>
        <w:t>Gauge the extent to which PAHO/WHO’s</w:t>
      </w:r>
      <w:r w:rsidR="00AC25ED">
        <w:rPr>
          <w:rFonts w:cs="Arial"/>
          <w:sz w:val="22"/>
          <w:szCs w:val="22"/>
        </w:rPr>
        <w:t xml:space="preserve"> </w:t>
      </w:r>
      <w:r>
        <w:rPr>
          <w:rFonts w:cs="Arial"/>
          <w:sz w:val="22"/>
          <w:szCs w:val="22"/>
        </w:rPr>
        <w:t xml:space="preserve">management has integrated gender (SD2) in: strategic and operational planning and programme cycle processes; </w:t>
      </w:r>
      <w:r>
        <w:rPr>
          <w:rFonts w:cs="Arial"/>
          <w:bCs/>
          <w:sz w:val="22"/>
          <w:szCs w:val="22"/>
        </w:rPr>
        <w:t xml:space="preserve">Country Cooperation Strategy (CCS) </w:t>
      </w:r>
      <w:r w:rsidR="008146F7">
        <w:rPr>
          <w:rFonts w:cs="Arial"/>
          <w:bCs/>
          <w:sz w:val="22"/>
          <w:szCs w:val="22"/>
        </w:rPr>
        <w:t>and country work plan documents</w:t>
      </w:r>
      <w:r>
        <w:rPr>
          <w:rFonts w:cs="Arial"/>
          <w:bCs/>
          <w:sz w:val="22"/>
          <w:szCs w:val="22"/>
        </w:rPr>
        <w:t xml:space="preserve">; </w:t>
      </w:r>
      <w:r>
        <w:rPr>
          <w:rFonts w:cs="Arial"/>
          <w:sz w:val="22"/>
          <w:szCs w:val="22"/>
        </w:rPr>
        <w:t>and achie</w:t>
      </w:r>
      <w:r w:rsidR="008146F7">
        <w:rPr>
          <w:rFonts w:cs="Arial"/>
          <w:sz w:val="22"/>
          <w:szCs w:val="22"/>
        </w:rPr>
        <w:t>vement of sex parity in staffing.</w:t>
      </w:r>
    </w:p>
    <w:p w:rsidR="009571FA" w:rsidRPr="00E337E5" w:rsidRDefault="009571FA" w:rsidP="00581596">
      <w:pPr>
        <w:numPr>
          <w:ilvl w:val="0"/>
          <w:numId w:val="38"/>
        </w:numPr>
        <w:ind w:right="-360"/>
        <w:rPr>
          <w:rFonts w:cs="Arial"/>
          <w:sz w:val="22"/>
          <w:szCs w:val="22"/>
        </w:rPr>
      </w:pPr>
      <w:r>
        <w:rPr>
          <w:rFonts w:cs="Arial"/>
          <w:sz w:val="22"/>
          <w:szCs w:val="22"/>
        </w:rPr>
        <w:t>Map the extent to which key PAHO/WHO publications promote and use sex</w:t>
      </w:r>
      <w:r w:rsidR="00AC25ED">
        <w:rPr>
          <w:rFonts w:cs="Arial"/>
          <w:sz w:val="22"/>
          <w:szCs w:val="22"/>
        </w:rPr>
        <w:t>-</w:t>
      </w:r>
      <w:r>
        <w:rPr>
          <w:rFonts w:cs="Arial"/>
          <w:sz w:val="22"/>
          <w:szCs w:val="22"/>
        </w:rPr>
        <w:t>disaggregated data (SDD) and gender analysis (SD3).</w:t>
      </w:r>
    </w:p>
    <w:p w:rsidR="009571FA" w:rsidRPr="0091174C" w:rsidRDefault="00AC25ED" w:rsidP="00581596">
      <w:pPr>
        <w:numPr>
          <w:ilvl w:val="0"/>
          <w:numId w:val="38"/>
        </w:numPr>
        <w:ind w:right="-360"/>
        <w:rPr>
          <w:rFonts w:cs="Arial"/>
          <w:sz w:val="22"/>
          <w:szCs w:val="22"/>
        </w:rPr>
      </w:pPr>
      <w:r>
        <w:rPr>
          <w:rFonts w:cs="Arial"/>
          <w:bCs/>
          <w:sz w:val="22"/>
          <w:szCs w:val="22"/>
        </w:rPr>
        <w:t>Weight-up senior management (</w:t>
      </w:r>
      <w:r w:rsidR="009571FA">
        <w:rPr>
          <w:rFonts w:cs="Arial"/>
          <w:bCs/>
          <w:sz w:val="22"/>
          <w:szCs w:val="22"/>
        </w:rPr>
        <w:t>Director General/Regional Directors) commitment to the promotion of gender equality, by examining their speeches (SD4)</w:t>
      </w:r>
      <w:r w:rsidR="0091174C">
        <w:rPr>
          <w:rFonts w:cs="Arial"/>
          <w:bCs/>
          <w:sz w:val="22"/>
          <w:szCs w:val="22"/>
        </w:rPr>
        <w:t>.</w:t>
      </w:r>
    </w:p>
    <w:p w:rsidR="0091174C" w:rsidRPr="0091174C" w:rsidRDefault="0091174C" w:rsidP="0091174C">
      <w:pPr>
        <w:ind w:left="720" w:right="-360"/>
        <w:rPr>
          <w:rFonts w:cs="Arial"/>
          <w:sz w:val="16"/>
          <w:szCs w:val="22"/>
        </w:rPr>
      </w:pPr>
    </w:p>
    <w:p w:rsidR="009571FA" w:rsidRPr="0091174C" w:rsidRDefault="009571FA" w:rsidP="00F96587">
      <w:pPr>
        <w:ind w:right="-360"/>
        <w:rPr>
          <w:rFonts w:cs="Arial"/>
          <w:bCs/>
          <w:sz w:val="2"/>
          <w:szCs w:val="22"/>
        </w:rPr>
      </w:pPr>
    </w:p>
    <w:p w:rsidR="009571FA" w:rsidRDefault="00300F91" w:rsidP="00F96587">
      <w:pPr>
        <w:ind w:right="-360"/>
        <w:rPr>
          <w:rFonts w:cs="Arial"/>
          <w:sz w:val="22"/>
          <w:szCs w:val="22"/>
        </w:rPr>
      </w:pPr>
      <w:r>
        <w:rPr>
          <w:rFonts w:cs="Arial"/>
          <w:sz w:val="22"/>
          <w:szCs w:val="22"/>
        </w:rPr>
        <w:t xml:space="preserve">    </w:t>
      </w:r>
      <w:r w:rsidR="009571FA">
        <w:rPr>
          <w:rFonts w:cs="Arial"/>
          <w:sz w:val="22"/>
          <w:szCs w:val="22"/>
        </w:rPr>
        <w:t xml:space="preserve"> The </w:t>
      </w:r>
      <w:r w:rsidR="009571FA" w:rsidRPr="00D90BE2">
        <w:rPr>
          <w:rFonts w:cs="Arial"/>
          <w:b/>
          <w:sz w:val="22"/>
          <w:szCs w:val="22"/>
        </w:rPr>
        <w:t xml:space="preserve">scope </w:t>
      </w:r>
      <w:r w:rsidR="009571FA">
        <w:rPr>
          <w:rFonts w:cs="Arial"/>
          <w:sz w:val="22"/>
          <w:szCs w:val="22"/>
        </w:rPr>
        <w:t>of this document is limited to t</w:t>
      </w:r>
      <w:r w:rsidR="009571FA">
        <w:rPr>
          <w:rFonts w:cs="Arial"/>
          <w:bCs/>
          <w:sz w:val="22"/>
          <w:szCs w:val="22"/>
        </w:rPr>
        <w:t>he assessment of the current situat</w:t>
      </w:r>
      <w:r w:rsidR="008146F7">
        <w:rPr>
          <w:rFonts w:cs="Arial"/>
          <w:bCs/>
          <w:sz w:val="22"/>
          <w:szCs w:val="22"/>
        </w:rPr>
        <w:t xml:space="preserve">ion of gender mainstreaming </w:t>
      </w:r>
      <w:r w:rsidR="009571FA">
        <w:rPr>
          <w:rFonts w:cs="Arial"/>
          <w:bCs/>
          <w:sz w:val="22"/>
          <w:szCs w:val="22"/>
        </w:rPr>
        <w:t xml:space="preserve">in PAHO, the </w:t>
      </w:r>
      <w:r w:rsidR="008146F7">
        <w:rPr>
          <w:rFonts w:cs="Arial"/>
          <w:bCs/>
          <w:sz w:val="22"/>
          <w:szCs w:val="22"/>
        </w:rPr>
        <w:t xml:space="preserve">WHO </w:t>
      </w:r>
      <w:r w:rsidR="009571FA">
        <w:rPr>
          <w:rFonts w:cs="Arial"/>
          <w:bCs/>
          <w:sz w:val="22"/>
          <w:szCs w:val="22"/>
        </w:rPr>
        <w:t>R</w:t>
      </w:r>
      <w:r w:rsidR="009571FA">
        <w:rPr>
          <w:rFonts w:cs="Arial"/>
          <w:color w:val="000000"/>
          <w:sz w:val="22"/>
          <w:szCs w:val="22"/>
        </w:rPr>
        <w:t>egional Office for the Americas</w:t>
      </w:r>
      <w:r w:rsidR="008146F7">
        <w:rPr>
          <w:rFonts w:cs="Arial"/>
          <w:color w:val="000000"/>
          <w:sz w:val="22"/>
          <w:szCs w:val="22"/>
        </w:rPr>
        <w:t xml:space="preserve"> </w:t>
      </w:r>
      <w:r w:rsidR="009571FA">
        <w:rPr>
          <w:rFonts w:cs="Arial"/>
          <w:color w:val="000000"/>
          <w:sz w:val="22"/>
          <w:szCs w:val="22"/>
        </w:rPr>
        <w:t xml:space="preserve">which was founded in 1902, is </w:t>
      </w:r>
      <w:r w:rsidR="009571FA">
        <w:rPr>
          <w:sz w:val="22"/>
          <w:szCs w:val="22"/>
        </w:rPr>
        <w:t>composed of 46 Member States and territories</w:t>
      </w:r>
      <w:r>
        <w:rPr>
          <w:sz w:val="22"/>
          <w:szCs w:val="22"/>
        </w:rPr>
        <w:t>,</w:t>
      </w:r>
      <w:r w:rsidR="009571FA">
        <w:rPr>
          <w:sz w:val="22"/>
          <w:szCs w:val="22"/>
        </w:rPr>
        <w:t xml:space="preserve"> and has approximately 889 staff members. </w:t>
      </w:r>
      <w:r w:rsidR="00B95232">
        <w:rPr>
          <w:sz w:val="22"/>
          <w:szCs w:val="22"/>
        </w:rPr>
        <w:t>T</w:t>
      </w:r>
      <w:r w:rsidR="009571FA">
        <w:rPr>
          <w:rFonts w:cs="Arial"/>
          <w:sz w:val="22"/>
          <w:szCs w:val="22"/>
        </w:rPr>
        <w:t xml:space="preserve">he report is </w:t>
      </w:r>
      <w:r w:rsidR="009571FA" w:rsidRPr="00D90BE2">
        <w:rPr>
          <w:rFonts w:cs="Arial"/>
          <w:b/>
          <w:sz w:val="22"/>
          <w:szCs w:val="22"/>
        </w:rPr>
        <w:t xml:space="preserve">intended </w:t>
      </w:r>
      <w:r w:rsidR="009571FA">
        <w:rPr>
          <w:rFonts w:cs="Arial"/>
          <w:sz w:val="22"/>
          <w:szCs w:val="22"/>
        </w:rPr>
        <w:t xml:space="preserve">to support the WHO and PAHO Directors to report on the progress on implementing the gender policies and strategies </w:t>
      </w:r>
      <w:r w:rsidR="008146F7">
        <w:rPr>
          <w:rFonts w:cs="Arial"/>
          <w:sz w:val="22"/>
          <w:szCs w:val="22"/>
        </w:rPr>
        <w:t xml:space="preserve">to </w:t>
      </w:r>
      <w:r w:rsidR="009571FA">
        <w:rPr>
          <w:rFonts w:cs="Arial"/>
          <w:sz w:val="22"/>
          <w:szCs w:val="22"/>
        </w:rPr>
        <w:t>the Governing Bodies, while providing direction to all those accountable for the implementation of these mandates, including all managers,</w:t>
      </w:r>
      <w:r w:rsidR="009571FA" w:rsidRPr="00025CFD">
        <w:rPr>
          <w:rFonts w:cs="Arial"/>
          <w:sz w:val="22"/>
          <w:szCs w:val="22"/>
        </w:rPr>
        <w:t xml:space="preserve"> </w:t>
      </w:r>
      <w:r w:rsidR="009571FA">
        <w:rPr>
          <w:rFonts w:cs="Arial"/>
          <w:sz w:val="22"/>
          <w:szCs w:val="22"/>
        </w:rPr>
        <w:t xml:space="preserve">the global WHO Gender, Women and Health (GWH) network, and the PAHO Gender, Ethnicity and Health (GE) network in HQ and countries. In the interests of transparency and of sharing its informative results, this report will be made available to all WHO and PAHO staff.      </w:t>
      </w:r>
    </w:p>
    <w:p w:rsidR="009571FA" w:rsidRPr="00C01C16" w:rsidRDefault="009571FA" w:rsidP="00F96587">
      <w:pPr>
        <w:ind w:right="-360"/>
        <w:rPr>
          <w:rFonts w:cs="Arial"/>
          <w:sz w:val="10"/>
          <w:szCs w:val="22"/>
        </w:rPr>
      </w:pPr>
    </w:p>
    <w:p w:rsidR="009571FA" w:rsidRDefault="009571FA" w:rsidP="00F96587">
      <w:pPr>
        <w:ind w:right="-450" w:firstLine="288"/>
        <w:rPr>
          <w:rFonts w:cs="Arial"/>
          <w:sz w:val="22"/>
          <w:szCs w:val="22"/>
        </w:rPr>
      </w:pPr>
      <w:r>
        <w:rPr>
          <w:rFonts w:cs="Arial"/>
          <w:sz w:val="22"/>
          <w:szCs w:val="22"/>
        </w:rPr>
        <w:t xml:space="preserve">The </w:t>
      </w:r>
      <w:r w:rsidRPr="007001F3">
        <w:rPr>
          <w:rFonts w:cs="Arial"/>
          <w:b/>
          <w:sz w:val="22"/>
          <w:szCs w:val="22"/>
        </w:rPr>
        <w:t>methodology,</w:t>
      </w:r>
      <w:r>
        <w:rPr>
          <w:rFonts w:cs="Arial"/>
          <w:sz w:val="22"/>
          <w:szCs w:val="22"/>
        </w:rPr>
        <w:t xml:space="preserve"> shared by all WHO Regions</w:t>
      </w:r>
      <w:r w:rsidR="006545A6">
        <w:rPr>
          <w:rFonts w:cs="Arial"/>
          <w:sz w:val="22"/>
          <w:szCs w:val="22"/>
        </w:rPr>
        <w:t xml:space="preserve"> and HQ</w:t>
      </w:r>
      <w:r>
        <w:rPr>
          <w:rFonts w:cs="Arial"/>
          <w:sz w:val="22"/>
          <w:szCs w:val="22"/>
        </w:rPr>
        <w:t>, employed a mix of qualitative and quantitative methods including an all-staff E-survey, interviews with planning focal poin</w:t>
      </w:r>
      <w:r w:rsidR="00300F91">
        <w:rPr>
          <w:rFonts w:cs="Arial"/>
          <w:sz w:val="22"/>
          <w:szCs w:val="22"/>
        </w:rPr>
        <w:t xml:space="preserve">ts from selected departments, </w:t>
      </w:r>
      <w:r w:rsidR="00E25C52">
        <w:rPr>
          <w:rFonts w:cs="Arial"/>
          <w:sz w:val="22"/>
          <w:szCs w:val="22"/>
        </w:rPr>
        <w:t xml:space="preserve">review of staffing data, </w:t>
      </w:r>
      <w:r>
        <w:rPr>
          <w:rFonts w:cs="Arial"/>
          <w:sz w:val="22"/>
          <w:szCs w:val="22"/>
        </w:rPr>
        <w:t xml:space="preserve">and content analysis of </w:t>
      </w:r>
      <w:r w:rsidR="00E25C52">
        <w:rPr>
          <w:rFonts w:cs="Arial"/>
          <w:sz w:val="22"/>
          <w:szCs w:val="22"/>
        </w:rPr>
        <w:t xml:space="preserve">selected countries CCS and BWP, </w:t>
      </w:r>
      <w:r w:rsidR="00300F91">
        <w:rPr>
          <w:rFonts w:cs="Arial"/>
          <w:sz w:val="22"/>
          <w:szCs w:val="22"/>
        </w:rPr>
        <w:t xml:space="preserve"> </w:t>
      </w:r>
      <w:r>
        <w:rPr>
          <w:rFonts w:cs="Arial"/>
          <w:sz w:val="22"/>
          <w:szCs w:val="22"/>
        </w:rPr>
        <w:t xml:space="preserve">key PAHO/WHO publications, and Director’s speeches.  </w:t>
      </w:r>
      <w:r w:rsidR="008146F7">
        <w:rPr>
          <w:rFonts w:cs="Arial"/>
          <w:sz w:val="22"/>
          <w:szCs w:val="22"/>
        </w:rPr>
        <w:t>All these methods were</w:t>
      </w:r>
      <w:r w:rsidR="00C01C16">
        <w:rPr>
          <w:rFonts w:cs="Arial"/>
          <w:sz w:val="22"/>
          <w:szCs w:val="22"/>
        </w:rPr>
        <w:t xml:space="preserve"> </w:t>
      </w:r>
      <w:r w:rsidR="0046443F">
        <w:rPr>
          <w:rFonts w:cs="Arial"/>
          <w:sz w:val="22"/>
          <w:szCs w:val="22"/>
        </w:rPr>
        <w:t xml:space="preserve">pretested in PAHO </w:t>
      </w:r>
      <w:r w:rsidR="00C01C16">
        <w:rPr>
          <w:rFonts w:cs="Arial"/>
          <w:sz w:val="22"/>
          <w:szCs w:val="22"/>
        </w:rPr>
        <w:t xml:space="preserve">on </w:t>
      </w:r>
      <w:r w:rsidR="008A2843">
        <w:rPr>
          <w:rFonts w:cs="Arial"/>
          <w:sz w:val="22"/>
          <w:szCs w:val="22"/>
        </w:rPr>
        <w:t xml:space="preserve">February </w:t>
      </w:r>
      <w:r w:rsidR="0046443F">
        <w:rPr>
          <w:rFonts w:cs="Arial"/>
          <w:sz w:val="22"/>
          <w:szCs w:val="22"/>
        </w:rPr>
        <w:t xml:space="preserve">2008. </w:t>
      </w:r>
      <w:r>
        <w:rPr>
          <w:rFonts w:cs="Arial"/>
          <w:sz w:val="22"/>
          <w:szCs w:val="22"/>
        </w:rPr>
        <w:t>The interviews and analyses were carried out by regional consultants during 2008, and the report was finalized in 2009, after consultations with representatives of each region.</w:t>
      </w:r>
    </w:p>
    <w:p w:rsidR="009571FA" w:rsidRPr="00300F91" w:rsidRDefault="009571FA" w:rsidP="00F96587">
      <w:pPr>
        <w:ind w:left="720" w:right="-450"/>
        <w:rPr>
          <w:rFonts w:cs="Arial"/>
          <w:sz w:val="4"/>
          <w:szCs w:val="22"/>
        </w:rPr>
      </w:pPr>
    </w:p>
    <w:p w:rsidR="009571FA" w:rsidRPr="0009179B" w:rsidRDefault="009571FA" w:rsidP="00F96587">
      <w:pPr>
        <w:ind w:right="-450"/>
        <w:rPr>
          <w:rFonts w:cs="Arial"/>
          <w:b/>
          <w:sz w:val="12"/>
          <w:szCs w:val="22"/>
        </w:rPr>
      </w:pPr>
      <w:r w:rsidRPr="0009179B">
        <w:rPr>
          <w:rFonts w:cs="Arial"/>
          <w:b/>
          <w:sz w:val="16"/>
          <w:szCs w:val="22"/>
        </w:rPr>
        <w:t xml:space="preserve">      </w:t>
      </w:r>
    </w:p>
    <w:p w:rsidR="00442428" w:rsidRDefault="0091174C" w:rsidP="00F96587">
      <w:pPr>
        <w:ind w:right="-450"/>
        <w:rPr>
          <w:rFonts w:cs="Arial"/>
          <w:b/>
          <w:sz w:val="22"/>
          <w:szCs w:val="22"/>
        </w:rPr>
      </w:pPr>
      <w:r>
        <w:rPr>
          <w:rFonts w:cs="Arial"/>
          <w:b/>
          <w:sz w:val="22"/>
          <w:szCs w:val="22"/>
        </w:rPr>
        <w:t xml:space="preserve">     </w:t>
      </w:r>
      <w:r w:rsidR="00F10089">
        <w:rPr>
          <w:rFonts w:cs="Arial"/>
          <w:b/>
          <w:sz w:val="22"/>
          <w:szCs w:val="22"/>
        </w:rPr>
        <w:t>Key</w:t>
      </w:r>
      <w:r w:rsidR="009571FA" w:rsidRPr="0009179B">
        <w:rPr>
          <w:rFonts w:cs="Arial"/>
          <w:b/>
          <w:sz w:val="22"/>
          <w:szCs w:val="22"/>
        </w:rPr>
        <w:t xml:space="preserve"> findings</w:t>
      </w:r>
      <w:r w:rsidR="0009179B" w:rsidRPr="0009179B">
        <w:rPr>
          <w:rFonts w:cs="Arial"/>
          <w:b/>
          <w:sz w:val="22"/>
          <w:szCs w:val="22"/>
        </w:rPr>
        <w:t xml:space="preserve">  </w:t>
      </w:r>
    </w:p>
    <w:p w:rsidR="009571FA" w:rsidRPr="00442428" w:rsidRDefault="0009179B" w:rsidP="00F96587">
      <w:pPr>
        <w:ind w:right="-450"/>
        <w:rPr>
          <w:rFonts w:cs="Arial"/>
          <w:b/>
          <w:sz w:val="12"/>
          <w:szCs w:val="22"/>
        </w:rPr>
      </w:pPr>
      <w:r w:rsidRPr="0009179B">
        <w:rPr>
          <w:rFonts w:cs="Arial"/>
          <w:b/>
          <w:szCs w:val="22"/>
        </w:rPr>
        <w:t xml:space="preserve"> </w:t>
      </w:r>
      <w:r w:rsidR="009571FA" w:rsidRPr="0009179B">
        <w:rPr>
          <w:rFonts w:cs="Arial"/>
          <w:b/>
          <w:szCs w:val="22"/>
        </w:rPr>
        <w:t xml:space="preserve"> </w:t>
      </w:r>
    </w:p>
    <w:p w:rsidR="009571FA" w:rsidRPr="00BE7668" w:rsidRDefault="009571FA" w:rsidP="00F96587">
      <w:pPr>
        <w:ind w:right="-450"/>
        <w:rPr>
          <w:rFonts w:cs="Arial"/>
          <w:b/>
          <w:sz w:val="2"/>
          <w:szCs w:val="22"/>
        </w:rPr>
      </w:pPr>
    </w:p>
    <w:p w:rsidR="00EF3E78" w:rsidRDefault="00E25C52" w:rsidP="00F96587">
      <w:pPr>
        <w:ind w:right="-450"/>
        <w:rPr>
          <w:color w:val="000000"/>
          <w:sz w:val="22"/>
          <w:lang w:val="en-US"/>
        </w:rPr>
      </w:pPr>
      <w:r>
        <w:rPr>
          <w:rFonts w:cs="Arial"/>
          <w:b/>
          <w:sz w:val="22"/>
          <w:szCs w:val="22"/>
        </w:rPr>
        <w:t xml:space="preserve">   </w:t>
      </w:r>
      <w:r w:rsidR="00300F91">
        <w:rPr>
          <w:rFonts w:cs="Arial"/>
          <w:b/>
          <w:sz w:val="22"/>
          <w:szCs w:val="22"/>
        </w:rPr>
        <w:t>1.   S</w:t>
      </w:r>
      <w:r w:rsidR="009571FA" w:rsidRPr="00CA1231">
        <w:rPr>
          <w:rFonts w:cs="Arial"/>
          <w:b/>
          <w:sz w:val="22"/>
          <w:szCs w:val="22"/>
        </w:rPr>
        <w:t>taff capacity for gender mainstreaming (SD1)</w:t>
      </w:r>
      <w:r w:rsidR="00300F91">
        <w:rPr>
          <w:rFonts w:cs="Arial"/>
          <w:b/>
          <w:sz w:val="22"/>
          <w:szCs w:val="22"/>
        </w:rPr>
        <w:t>:</w:t>
      </w:r>
      <w:r w:rsidR="009571FA">
        <w:rPr>
          <w:rFonts w:cs="Arial"/>
          <w:sz w:val="22"/>
          <w:szCs w:val="22"/>
        </w:rPr>
        <w:t xml:space="preserve"> The assessment tool was </w:t>
      </w:r>
      <w:r w:rsidR="009571FA" w:rsidRPr="0019688F">
        <w:rPr>
          <w:color w:val="000000"/>
          <w:sz w:val="22"/>
          <w:szCs w:val="22"/>
          <w:lang w:val="en-US"/>
        </w:rPr>
        <w:t>an email survey sent to all WHO staff</w:t>
      </w:r>
      <w:r w:rsidR="009571FA">
        <w:rPr>
          <w:color w:val="000000"/>
          <w:sz w:val="22"/>
          <w:szCs w:val="22"/>
          <w:lang w:val="en-US"/>
        </w:rPr>
        <w:t xml:space="preserve">, </w:t>
      </w:r>
      <w:r w:rsidR="008146F7">
        <w:rPr>
          <w:color w:val="000000"/>
          <w:sz w:val="22"/>
          <w:szCs w:val="22"/>
          <w:lang w:val="en-US"/>
        </w:rPr>
        <w:t xml:space="preserve">to which the </w:t>
      </w:r>
      <w:r w:rsidR="009571FA" w:rsidRPr="0019688F">
        <w:rPr>
          <w:color w:val="000000"/>
          <w:sz w:val="22"/>
          <w:szCs w:val="22"/>
          <w:lang w:val="en-US"/>
        </w:rPr>
        <w:t xml:space="preserve">PAHO </w:t>
      </w:r>
      <w:r w:rsidR="009571FA" w:rsidRPr="00F9303A">
        <w:rPr>
          <w:i/>
          <w:color w:val="000000"/>
          <w:sz w:val="22"/>
          <w:szCs w:val="22"/>
          <w:lang w:val="en-US"/>
        </w:rPr>
        <w:t>response rate</w:t>
      </w:r>
      <w:r w:rsidR="009571FA" w:rsidRPr="00F9303A">
        <w:rPr>
          <w:color w:val="000000"/>
          <w:sz w:val="22"/>
          <w:szCs w:val="22"/>
          <w:lang w:val="en-US"/>
        </w:rPr>
        <w:t xml:space="preserve"> </w:t>
      </w:r>
      <w:r w:rsidR="008146F7">
        <w:rPr>
          <w:color w:val="000000"/>
          <w:sz w:val="22"/>
          <w:szCs w:val="22"/>
          <w:lang w:val="en-US"/>
        </w:rPr>
        <w:t>was</w:t>
      </w:r>
      <w:r w:rsidR="009571FA">
        <w:rPr>
          <w:i/>
          <w:color w:val="000000"/>
          <w:sz w:val="22"/>
          <w:szCs w:val="22"/>
          <w:lang w:val="en-US"/>
        </w:rPr>
        <w:t xml:space="preserve"> </w:t>
      </w:r>
      <w:r w:rsidR="009571FA" w:rsidRPr="0019688F">
        <w:rPr>
          <w:color w:val="000000"/>
          <w:sz w:val="22"/>
          <w:szCs w:val="22"/>
          <w:lang w:val="en-US"/>
        </w:rPr>
        <w:t xml:space="preserve">44%, </w:t>
      </w:r>
      <w:r w:rsidR="009571FA">
        <w:rPr>
          <w:color w:val="000000"/>
          <w:sz w:val="22"/>
          <w:szCs w:val="22"/>
          <w:lang w:val="en-US"/>
        </w:rPr>
        <w:t>we</w:t>
      </w:r>
      <w:r w:rsidR="00B22E6E">
        <w:rPr>
          <w:color w:val="000000"/>
          <w:sz w:val="22"/>
          <w:szCs w:val="22"/>
          <w:lang w:val="en-US"/>
        </w:rPr>
        <w:t>ll above the 25</w:t>
      </w:r>
      <w:r w:rsidR="009571FA" w:rsidRPr="0019688F">
        <w:rPr>
          <w:color w:val="000000"/>
          <w:sz w:val="22"/>
          <w:szCs w:val="22"/>
          <w:lang w:val="en-US"/>
        </w:rPr>
        <w:t xml:space="preserve">% </w:t>
      </w:r>
      <w:r w:rsidR="008146F7">
        <w:rPr>
          <w:color w:val="000000"/>
          <w:sz w:val="22"/>
          <w:szCs w:val="22"/>
          <w:lang w:val="en-US"/>
        </w:rPr>
        <w:t xml:space="preserve">average reached by </w:t>
      </w:r>
      <w:r w:rsidR="009571FA" w:rsidRPr="0019688F">
        <w:rPr>
          <w:color w:val="000000"/>
          <w:sz w:val="22"/>
          <w:szCs w:val="22"/>
          <w:lang w:val="en-US"/>
        </w:rPr>
        <w:t>all WHO staff.</w:t>
      </w:r>
      <w:r w:rsidR="009571FA">
        <w:rPr>
          <w:color w:val="000000"/>
          <w:sz w:val="22"/>
          <w:lang w:val="en-US"/>
        </w:rPr>
        <w:t xml:space="preserve"> A</w:t>
      </w:r>
      <w:r w:rsidR="009571FA" w:rsidRPr="0019688F">
        <w:rPr>
          <w:color w:val="000000"/>
          <w:sz w:val="22"/>
          <w:lang w:val="en-US"/>
        </w:rPr>
        <w:t>pproximately</w:t>
      </w:r>
      <w:r w:rsidR="009571FA">
        <w:rPr>
          <w:color w:val="000000"/>
          <w:sz w:val="22"/>
          <w:lang w:val="en-US"/>
        </w:rPr>
        <w:t>,</w:t>
      </w:r>
      <w:r w:rsidR="009571FA" w:rsidRPr="0019688F">
        <w:rPr>
          <w:b/>
          <w:color w:val="000000"/>
          <w:sz w:val="22"/>
          <w:lang w:val="en-US"/>
        </w:rPr>
        <w:t xml:space="preserve"> </w:t>
      </w:r>
      <w:r w:rsidR="009571FA">
        <w:rPr>
          <w:b/>
          <w:color w:val="000000"/>
          <w:sz w:val="22"/>
          <w:lang w:val="en-US"/>
        </w:rPr>
        <w:t>nine</w:t>
      </w:r>
      <w:r w:rsidR="009571FA" w:rsidRPr="0019688F">
        <w:rPr>
          <w:color w:val="000000"/>
          <w:sz w:val="22"/>
          <w:lang w:val="en-US"/>
        </w:rPr>
        <w:t xml:space="preserve"> </w:t>
      </w:r>
      <w:r w:rsidR="009571FA" w:rsidRPr="0019688F">
        <w:rPr>
          <w:b/>
          <w:color w:val="000000"/>
          <w:sz w:val="22"/>
          <w:lang w:val="en-US"/>
        </w:rPr>
        <w:t xml:space="preserve">out of </w:t>
      </w:r>
      <w:r w:rsidR="009571FA">
        <w:rPr>
          <w:b/>
          <w:color w:val="000000"/>
          <w:sz w:val="22"/>
          <w:lang w:val="en-US"/>
        </w:rPr>
        <w:t xml:space="preserve">each ten PAHO </w:t>
      </w:r>
      <w:r w:rsidR="009571FA">
        <w:rPr>
          <w:color w:val="000000"/>
          <w:sz w:val="22"/>
          <w:lang w:val="en-US"/>
        </w:rPr>
        <w:t>staff members</w:t>
      </w:r>
      <w:r w:rsidR="009571FA" w:rsidRPr="0019688F">
        <w:rPr>
          <w:color w:val="000000"/>
          <w:sz w:val="22"/>
          <w:lang w:val="en-US"/>
        </w:rPr>
        <w:t xml:space="preserve"> were aware of WHO and PAHO gender policies</w:t>
      </w:r>
      <w:r w:rsidR="009571FA">
        <w:rPr>
          <w:b/>
          <w:color w:val="000000"/>
          <w:sz w:val="22"/>
          <w:lang w:val="en-US"/>
        </w:rPr>
        <w:t>, six</w:t>
      </w:r>
      <w:r w:rsidR="009571FA" w:rsidRPr="0019688F">
        <w:rPr>
          <w:b/>
          <w:color w:val="000000"/>
          <w:sz w:val="22"/>
          <w:lang w:val="en-US"/>
        </w:rPr>
        <w:t xml:space="preserve"> </w:t>
      </w:r>
      <w:r w:rsidR="009571FA" w:rsidRPr="0019688F">
        <w:rPr>
          <w:color w:val="000000"/>
          <w:sz w:val="22"/>
          <w:lang w:val="en-US"/>
        </w:rPr>
        <w:t>had knowledge of basic gender concepts</w:t>
      </w:r>
      <w:r w:rsidR="009571FA" w:rsidRPr="0019688F">
        <w:rPr>
          <w:b/>
          <w:color w:val="000000"/>
          <w:sz w:val="22"/>
          <w:lang w:val="en-US"/>
        </w:rPr>
        <w:t xml:space="preserve">, </w:t>
      </w:r>
      <w:r w:rsidR="0021226E">
        <w:rPr>
          <w:b/>
          <w:color w:val="000000"/>
          <w:sz w:val="22"/>
          <w:lang w:val="en-US"/>
        </w:rPr>
        <w:t xml:space="preserve">six </w:t>
      </w:r>
      <w:r w:rsidR="0021226E" w:rsidRPr="0019688F">
        <w:rPr>
          <w:color w:val="000000"/>
          <w:sz w:val="22"/>
          <w:lang w:val="en-US"/>
        </w:rPr>
        <w:t>felt that gender was relevant to their work,</w:t>
      </w:r>
      <w:r w:rsidR="0021226E">
        <w:rPr>
          <w:color w:val="000000"/>
          <w:sz w:val="22"/>
          <w:lang w:val="en-US"/>
        </w:rPr>
        <w:t xml:space="preserve"> </w:t>
      </w:r>
      <w:r w:rsidR="009571FA">
        <w:rPr>
          <w:b/>
          <w:color w:val="000000"/>
          <w:sz w:val="22"/>
          <w:lang w:val="en-US"/>
        </w:rPr>
        <w:t>four</w:t>
      </w:r>
      <w:r w:rsidR="009571FA" w:rsidRPr="0019688F">
        <w:rPr>
          <w:b/>
          <w:color w:val="000000"/>
          <w:sz w:val="22"/>
          <w:lang w:val="en-US"/>
        </w:rPr>
        <w:t xml:space="preserve"> </w:t>
      </w:r>
      <w:r w:rsidR="009571FA" w:rsidRPr="0019688F">
        <w:rPr>
          <w:color w:val="000000"/>
          <w:sz w:val="22"/>
          <w:lang w:val="en-US"/>
        </w:rPr>
        <w:t>applied this knowledge to their work, and</w:t>
      </w:r>
      <w:r w:rsidR="009571FA">
        <w:rPr>
          <w:b/>
          <w:color w:val="000000"/>
          <w:sz w:val="22"/>
          <w:lang w:val="en-US"/>
        </w:rPr>
        <w:t xml:space="preserve"> four</w:t>
      </w:r>
      <w:r w:rsidR="009571FA" w:rsidRPr="0019688F">
        <w:rPr>
          <w:color w:val="000000"/>
          <w:sz w:val="22"/>
          <w:lang w:val="en-US"/>
        </w:rPr>
        <w:t xml:space="preserve"> acknowledged having received ins</w:t>
      </w:r>
      <w:r w:rsidR="009571FA">
        <w:rPr>
          <w:color w:val="000000"/>
          <w:sz w:val="22"/>
          <w:lang w:val="en-US"/>
        </w:rPr>
        <w:t>titutional support for doing so</w:t>
      </w:r>
      <w:r w:rsidR="0021226E">
        <w:rPr>
          <w:color w:val="000000"/>
          <w:sz w:val="22"/>
          <w:lang w:val="en-US"/>
        </w:rPr>
        <w:t>. S</w:t>
      </w:r>
      <w:r w:rsidR="009571FA" w:rsidRPr="0019688F">
        <w:rPr>
          <w:color w:val="000000"/>
          <w:sz w:val="22"/>
          <w:lang w:val="en-US"/>
        </w:rPr>
        <w:t>tatisticall</w:t>
      </w:r>
      <w:r w:rsidR="009571FA">
        <w:rPr>
          <w:color w:val="000000"/>
          <w:sz w:val="22"/>
          <w:lang w:val="en-US"/>
        </w:rPr>
        <w:t xml:space="preserve">y significant differentials </w:t>
      </w:r>
      <w:r w:rsidR="0021226E">
        <w:rPr>
          <w:color w:val="000000"/>
          <w:sz w:val="22"/>
          <w:lang w:val="en-US"/>
        </w:rPr>
        <w:t xml:space="preserve">were recorded </w:t>
      </w:r>
      <w:r w:rsidR="009571FA">
        <w:rPr>
          <w:color w:val="000000"/>
          <w:sz w:val="22"/>
          <w:lang w:val="en-US"/>
        </w:rPr>
        <w:t>be</w:t>
      </w:r>
      <w:r w:rsidR="009571FA" w:rsidRPr="0019688F">
        <w:rPr>
          <w:color w:val="000000"/>
          <w:sz w:val="22"/>
          <w:lang w:val="en-US"/>
        </w:rPr>
        <w:t xml:space="preserve">tween </w:t>
      </w:r>
      <w:r w:rsidR="009571FA" w:rsidRPr="00300F91">
        <w:rPr>
          <w:color w:val="000000"/>
          <w:sz w:val="22"/>
          <w:lang w:val="en-US"/>
        </w:rPr>
        <w:t>professional</w:t>
      </w:r>
      <w:r w:rsidR="009571FA" w:rsidRPr="0019688F">
        <w:rPr>
          <w:b/>
          <w:color w:val="000000"/>
          <w:sz w:val="22"/>
          <w:lang w:val="en-US"/>
        </w:rPr>
        <w:t xml:space="preserve"> (P) </w:t>
      </w:r>
      <w:r w:rsidR="009571FA" w:rsidRPr="00300F91">
        <w:rPr>
          <w:color w:val="000000"/>
          <w:sz w:val="22"/>
          <w:lang w:val="en-US"/>
        </w:rPr>
        <w:t>and general service</w:t>
      </w:r>
      <w:r w:rsidR="009571FA" w:rsidRPr="0019688F">
        <w:rPr>
          <w:b/>
          <w:color w:val="000000"/>
          <w:sz w:val="22"/>
          <w:lang w:val="en-US"/>
        </w:rPr>
        <w:t xml:space="preserve"> (G)</w:t>
      </w:r>
      <w:r w:rsidR="009571FA" w:rsidRPr="0019688F">
        <w:rPr>
          <w:color w:val="000000"/>
          <w:sz w:val="22"/>
          <w:lang w:val="en-US"/>
        </w:rPr>
        <w:t xml:space="preserve"> staff</w:t>
      </w:r>
      <w:r w:rsidR="009571FA">
        <w:rPr>
          <w:b/>
          <w:color w:val="000000"/>
          <w:sz w:val="22"/>
          <w:lang w:val="en-US"/>
        </w:rPr>
        <w:t xml:space="preserve"> </w:t>
      </w:r>
      <w:r w:rsidR="009571FA" w:rsidRPr="00010879">
        <w:rPr>
          <w:color w:val="000000"/>
          <w:sz w:val="22"/>
          <w:lang w:val="en-US"/>
        </w:rPr>
        <w:t xml:space="preserve">regarding </w:t>
      </w:r>
      <w:r w:rsidR="008C17B5">
        <w:rPr>
          <w:color w:val="000000"/>
          <w:sz w:val="22"/>
          <w:lang w:val="en-US"/>
        </w:rPr>
        <w:t xml:space="preserve">perceived gender relevance, </w:t>
      </w:r>
      <w:r w:rsidR="009571FA" w:rsidRPr="0019688F">
        <w:rPr>
          <w:color w:val="000000"/>
          <w:sz w:val="22"/>
          <w:lang w:val="en-US"/>
        </w:rPr>
        <w:t>application</w:t>
      </w:r>
      <w:r w:rsidR="008C17B5">
        <w:rPr>
          <w:color w:val="000000"/>
          <w:sz w:val="22"/>
          <w:lang w:val="en-US"/>
        </w:rPr>
        <w:t xml:space="preserve"> of gender concepts,</w:t>
      </w:r>
      <w:r w:rsidR="009571FA" w:rsidRPr="0019688F">
        <w:rPr>
          <w:color w:val="000000"/>
          <w:sz w:val="22"/>
          <w:lang w:val="en-US"/>
        </w:rPr>
        <w:t xml:space="preserve"> and institutional </w:t>
      </w:r>
      <w:r w:rsidR="00300F91">
        <w:rPr>
          <w:color w:val="000000"/>
          <w:sz w:val="22"/>
          <w:lang w:val="en-US"/>
        </w:rPr>
        <w:t xml:space="preserve">support received for </w:t>
      </w:r>
      <w:r w:rsidR="009571FA" w:rsidRPr="0019688F">
        <w:rPr>
          <w:color w:val="000000"/>
          <w:sz w:val="22"/>
          <w:lang w:val="en-US"/>
        </w:rPr>
        <w:t>gender mainstreaming.</w:t>
      </w:r>
      <w:r w:rsidR="009571FA">
        <w:rPr>
          <w:color w:val="000000"/>
          <w:sz w:val="22"/>
          <w:lang w:val="en-US"/>
        </w:rPr>
        <w:t xml:space="preserve"> </w:t>
      </w:r>
      <w:r w:rsidR="009571FA" w:rsidRPr="00300F91">
        <w:rPr>
          <w:color w:val="000000"/>
          <w:sz w:val="22"/>
          <w:lang w:val="en-US"/>
        </w:rPr>
        <w:t>Differentials by WHO Region</w:t>
      </w:r>
      <w:r w:rsidR="009571FA">
        <w:rPr>
          <w:color w:val="000000"/>
          <w:sz w:val="22"/>
          <w:lang w:val="en-US"/>
        </w:rPr>
        <w:t xml:space="preserve"> were also significant, with PAHO ranking </w:t>
      </w:r>
      <w:r w:rsidR="00940924">
        <w:rPr>
          <w:color w:val="000000"/>
          <w:sz w:val="22"/>
          <w:lang w:val="en-US"/>
        </w:rPr>
        <w:t>1</w:t>
      </w:r>
      <w:r w:rsidR="00940924" w:rsidRPr="00940924">
        <w:rPr>
          <w:color w:val="000000"/>
          <w:sz w:val="22"/>
          <w:vertAlign w:val="superscript"/>
          <w:lang w:val="en-US"/>
        </w:rPr>
        <w:t>st</w:t>
      </w:r>
      <w:r w:rsidR="00940924">
        <w:rPr>
          <w:color w:val="000000"/>
          <w:sz w:val="22"/>
          <w:lang w:val="en-US"/>
        </w:rPr>
        <w:t xml:space="preserve"> </w:t>
      </w:r>
      <w:r w:rsidR="009571FA">
        <w:rPr>
          <w:color w:val="000000"/>
          <w:sz w:val="22"/>
          <w:lang w:val="en-US"/>
        </w:rPr>
        <w:t xml:space="preserve">and </w:t>
      </w:r>
      <w:r w:rsidR="00940924">
        <w:rPr>
          <w:color w:val="000000"/>
          <w:sz w:val="22"/>
          <w:lang w:val="en-US"/>
        </w:rPr>
        <w:t>2</w:t>
      </w:r>
      <w:r w:rsidR="00940924" w:rsidRPr="00940924">
        <w:rPr>
          <w:color w:val="000000"/>
          <w:sz w:val="22"/>
          <w:vertAlign w:val="superscript"/>
          <w:lang w:val="en-US"/>
        </w:rPr>
        <w:t>nd</w:t>
      </w:r>
      <w:r w:rsidR="00940924">
        <w:rPr>
          <w:color w:val="000000"/>
          <w:sz w:val="22"/>
          <w:lang w:val="en-US"/>
        </w:rPr>
        <w:t xml:space="preserve"> </w:t>
      </w:r>
      <w:r w:rsidR="009571FA">
        <w:rPr>
          <w:color w:val="000000"/>
          <w:sz w:val="22"/>
          <w:lang w:val="en-US"/>
        </w:rPr>
        <w:t>among all Regions</w:t>
      </w:r>
      <w:r w:rsidR="00497BF7">
        <w:rPr>
          <w:color w:val="000000"/>
          <w:sz w:val="22"/>
          <w:lang w:val="en-US"/>
        </w:rPr>
        <w:t xml:space="preserve"> for most indicators</w:t>
      </w:r>
      <w:r w:rsidR="009571FA">
        <w:rPr>
          <w:color w:val="000000"/>
          <w:sz w:val="22"/>
          <w:lang w:val="en-US"/>
        </w:rPr>
        <w:t xml:space="preserve">. </w:t>
      </w:r>
    </w:p>
    <w:p w:rsidR="0021226E" w:rsidRPr="00EF3E78" w:rsidRDefault="009571FA" w:rsidP="00F96587">
      <w:pPr>
        <w:ind w:right="-450" w:firstLine="288"/>
        <w:rPr>
          <w:color w:val="000000"/>
          <w:sz w:val="22"/>
          <w:lang w:val="en-US"/>
        </w:rPr>
      </w:pPr>
      <w:r>
        <w:rPr>
          <w:color w:val="000000"/>
          <w:sz w:val="22"/>
          <w:lang w:val="en-US"/>
        </w:rPr>
        <w:t xml:space="preserve">A </w:t>
      </w:r>
      <w:r>
        <w:rPr>
          <w:rFonts w:cs="Arial"/>
          <w:sz w:val="22"/>
          <w:lang w:val="en-US"/>
        </w:rPr>
        <w:t xml:space="preserve">primary determinant of the gap </w:t>
      </w:r>
      <w:r w:rsidR="00940924">
        <w:rPr>
          <w:rFonts w:cs="Arial"/>
          <w:sz w:val="22"/>
          <w:lang w:val="en-US"/>
        </w:rPr>
        <w:t xml:space="preserve">between </w:t>
      </w:r>
      <w:r>
        <w:rPr>
          <w:rFonts w:cs="Arial"/>
          <w:sz w:val="22"/>
          <w:lang w:val="en-US"/>
        </w:rPr>
        <w:t xml:space="preserve">gender knowledge </w:t>
      </w:r>
      <w:r w:rsidR="00940924">
        <w:rPr>
          <w:rFonts w:cs="Arial"/>
          <w:sz w:val="22"/>
          <w:lang w:val="en-US"/>
        </w:rPr>
        <w:t>and its application to w</w:t>
      </w:r>
      <w:r w:rsidR="00300F91">
        <w:rPr>
          <w:rFonts w:cs="Arial"/>
          <w:sz w:val="22"/>
          <w:lang w:val="en-US"/>
        </w:rPr>
        <w:t xml:space="preserve">ork </w:t>
      </w:r>
      <w:r>
        <w:rPr>
          <w:rFonts w:cs="Arial"/>
          <w:sz w:val="22"/>
          <w:lang w:val="en-US"/>
        </w:rPr>
        <w:t>was reported</w:t>
      </w:r>
      <w:r w:rsidR="00300F91">
        <w:rPr>
          <w:rFonts w:cs="Arial"/>
          <w:sz w:val="22"/>
          <w:lang w:val="en-US"/>
        </w:rPr>
        <w:t>ly</w:t>
      </w:r>
      <w:r>
        <w:rPr>
          <w:rFonts w:cs="Arial"/>
          <w:sz w:val="22"/>
          <w:lang w:val="en-US"/>
        </w:rPr>
        <w:t xml:space="preserve"> the </w:t>
      </w:r>
      <w:r>
        <w:rPr>
          <w:rFonts w:cs="Arial"/>
          <w:b/>
          <w:sz w:val="22"/>
          <w:lang w:val="en-US"/>
        </w:rPr>
        <w:t>lack of specificity</w:t>
      </w:r>
      <w:r>
        <w:rPr>
          <w:rFonts w:cs="Arial"/>
          <w:sz w:val="22"/>
          <w:lang w:val="en-US"/>
        </w:rPr>
        <w:t xml:space="preserve"> </w:t>
      </w:r>
      <w:r w:rsidR="00300F91">
        <w:rPr>
          <w:rFonts w:cs="Arial"/>
          <w:sz w:val="22"/>
          <w:lang w:val="en-US"/>
        </w:rPr>
        <w:t xml:space="preserve">of this knowledge </w:t>
      </w:r>
      <w:r w:rsidR="008C6D6D">
        <w:rPr>
          <w:rFonts w:cs="Arial"/>
          <w:sz w:val="22"/>
          <w:lang w:val="en-US"/>
        </w:rPr>
        <w:t xml:space="preserve">with respect to </w:t>
      </w:r>
      <w:r>
        <w:rPr>
          <w:rFonts w:cs="Arial"/>
          <w:sz w:val="22"/>
          <w:lang w:val="en-US"/>
        </w:rPr>
        <w:t xml:space="preserve">staff’s current work areas. </w:t>
      </w:r>
      <w:r w:rsidR="00300F91">
        <w:rPr>
          <w:rFonts w:cs="Arial"/>
          <w:sz w:val="22"/>
          <w:lang w:val="en-US"/>
        </w:rPr>
        <w:t>R</w:t>
      </w:r>
      <w:r>
        <w:rPr>
          <w:rFonts w:cs="Arial"/>
          <w:sz w:val="22"/>
          <w:lang w:val="en-US"/>
        </w:rPr>
        <w:t xml:space="preserve">espondents identified </w:t>
      </w:r>
      <w:r w:rsidRPr="00321E53">
        <w:rPr>
          <w:rFonts w:cs="Arial"/>
          <w:sz w:val="22"/>
          <w:lang w:val="en-US"/>
        </w:rPr>
        <w:t>the</w:t>
      </w:r>
      <w:r>
        <w:rPr>
          <w:rFonts w:cs="Arial"/>
          <w:sz w:val="22"/>
          <w:lang w:val="en-US"/>
        </w:rPr>
        <w:t xml:space="preserve"> availability of information and </w:t>
      </w:r>
      <w:r w:rsidRPr="00622D73">
        <w:rPr>
          <w:rFonts w:cs="Arial"/>
          <w:sz w:val="22"/>
          <w:lang w:val="en-US"/>
        </w:rPr>
        <w:t>hands-on technical collaboration</w:t>
      </w:r>
      <w:r w:rsidRPr="00300F91">
        <w:rPr>
          <w:rFonts w:cs="Arial"/>
          <w:b/>
          <w:sz w:val="22"/>
          <w:lang w:val="en-US"/>
        </w:rPr>
        <w:t xml:space="preserve"> tailored</w:t>
      </w:r>
      <w:r w:rsidRPr="00622D73">
        <w:rPr>
          <w:rFonts w:cs="Arial"/>
          <w:sz w:val="22"/>
          <w:lang w:val="en-US"/>
        </w:rPr>
        <w:t xml:space="preserve"> to specific areas of work</w:t>
      </w:r>
      <w:r>
        <w:rPr>
          <w:rFonts w:cs="Arial"/>
          <w:sz w:val="22"/>
          <w:lang w:val="en-US"/>
        </w:rPr>
        <w:t xml:space="preserve"> as the main </w:t>
      </w:r>
      <w:r>
        <w:rPr>
          <w:rFonts w:cs="Arial"/>
          <w:b/>
          <w:i/>
          <w:color w:val="000000"/>
          <w:sz w:val="22"/>
          <w:lang w:val="en-US"/>
        </w:rPr>
        <w:t xml:space="preserve">facilitating factors </w:t>
      </w:r>
      <w:r w:rsidRPr="00FF2DAB">
        <w:rPr>
          <w:rFonts w:cs="Arial"/>
          <w:color w:val="000000"/>
          <w:sz w:val="22"/>
          <w:lang w:val="en-US"/>
        </w:rPr>
        <w:t xml:space="preserve">of gender </w:t>
      </w:r>
      <w:r w:rsidRPr="00321E53">
        <w:rPr>
          <w:rFonts w:cs="Arial"/>
          <w:color w:val="000000"/>
          <w:sz w:val="22"/>
          <w:lang w:val="en-US"/>
        </w:rPr>
        <w:t>integration</w:t>
      </w:r>
      <w:r>
        <w:rPr>
          <w:rFonts w:cs="Arial"/>
          <w:sz w:val="22"/>
          <w:lang w:val="en-US"/>
        </w:rPr>
        <w:t xml:space="preserve">. </w:t>
      </w:r>
      <w:r w:rsidRPr="00622D73">
        <w:rPr>
          <w:rFonts w:cs="Arial"/>
          <w:color w:val="000000"/>
          <w:sz w:val="22"/>
          <w:lang w:val="en-US"/>
        </w:rPr>
        <w:t>P</w:t>
      </w:r>
      <w:r>
        <w:rPr>
          <w:rFonts w:cs="Arial"/>
          <w:color w:val="000000"/>
          <w:sz w:val="22"/>
          <w:lang w:val="en-US"/>
        </w:rPr>
        <w:t>AHO staff responses coincided with those from the other</w:t>
      </w:r>
      <w:r w:rsidR="00C53FE1">
        <w:rPr>
          <w:rFonts w:cs="Arial"/>
          <w:color w:val="000000"/>
          <w:sz w:val="22"/>
          <w:lang w:val="en-US"/>
        </w:rPr>
        <w:t xml:space="preserve"> Regions</w:t>
      </w:r>
      <w:r w:rsidR="00C01C16">
        <w:rPr>
          <w:rFonts w:cs="Arial"/>
          <w:b/>
          <w:i/>
          <w:sz w:val="22"/>
        </w:rPr>
        <w:t xml:space="preserve">. </w:t>
      </w:r>
      <w:r w:rsidR="00300F91">
        <w:rPr>
          <w:rFonts w:cs="Arial"/>
          <w:sz w:val="22"/>
          <w:lang w:val="en-US"/>
        </w:rPr>
        <w:t xml:space="preserve">Accordingly, </w:t>
      </w:r>
      <w:r>
        <w:rPr>
          <w:rFonts w:cs="Arial"/>
          <w:sz w:val="22"/>
          <w:lang w:val="en-US"/>
        </w:rPr>
        <w:t xml:space="preserve">the types of </w:t>
      </w:r>
      <w:r>
        <w:rPr>
          <w:rFonts w:cs="Arial"/>
          <w:b/>
          <w:i/>
          <w:sz w:val="22"/>
          <w:lang w:val="en-US"/>
        </w:rPr>
        <w:t xml:space="preserve">institutional support </w:t>
      </w:r>
      <w:r w:rsidR="00940924" w:rsidRPr="00940924">
        <w:rPr>
          <w:rFonts w:cs="Arial"/>
          <w:b/>
          <w:sz w:val="22"/>
          <w:lang w:val="en-US"/>
        </w:rPr>
        <w:t>pointed out</w:t>
      </w:r>
      <w:r w:rsidR="00940924">
        <w:rPr>
          <w:rFonts w:cs="Arial"/>
          <w:b/>
          <w:i/>
          <w:sz w:val="22"/>
          <w:lang w:val="en-US"/>
        </w:rPr>
        <w:t xml:space="preserve"> </w:t>
      </w:r>
      <w:r>
        <w:rPr>
          <w:rFonts w:cs="Arial"/>
          <w:b/>
          <w:i/>
          <w:sz w:val="22"/>
          <w:lang w:val="en-US"/>
        </w:rPr>
        <w:t>as most needed</w:t>
      </w:r>
      <w:r>
        <w:rPr>
          <w:rFonts w:cs="Arial"/>
          <w:sz w:val="22"/>
          <w:lang w:val="en-US"/>
        </w:rPr>
        <w:t xml:space="preserve"> to advance gender mainstreaming referred to </w:t>
      </w:r>
      <w:r w:rsidR="00C01C16">
        <w:rPr>
          <w:rFonts w:cs="Arial"/>
          <w:sz w:val="22"/>
          <w:lang w:val="en-US"/>
        </w:rPr>
        <w:t xml:space="preserve">facilitating the development </w:t>
      </w:r>
      <w:r w:rsidR="00C01C16">
        <w:rPr>
          <w:color w:val="000000"/>
          <w:sz w:val="22"/>
          <w:lang w:val="en-US"/>
        </w:rPr>
        <w:t xml:space="preserve">of </w:t>
      </w:r>
      <w:r>
        <w:rPr>
          <w:i/>
          <w:color w:val="000000"/>
          <w:sz w:val="22"/>
          <w:lang w:val="en-US"/>
        </w:rPr>
        <w:t>knowledge</w:t>
      </w:r>
      <w:r w:rsidR="00C01C16">
        <w:rPr>
          <w:color w:val="000000"/>
          <w:sz w:val="22"/>
          <w:lang w:val="en-US"/>
        </w:rPr>
        <w:t xml:space="preserve"> and skills, </w:t>
      </w:r>
      <w:r w:rsidR="000C057E">
        <w:rPr>
          <w:color w:val="000000"/>
          <w:sz w:val="22"/>
          <w:lang w:val="en-US"/>
        </w:rPr>
        <w:t xml:space="preserve">the creation of </w:t>
      </w:r>
      <w:r w:rsidRPr="00FF2DAB">
        <w:rPr>
          <w:b/>
          <w:i/>
          <w:color w:val="000000"/>
          <w:sz w:val="22"/>
          <w:lang w:val="en-US"/>
        </w:rPr>
        <w:t>area-specific</w:t>
      </w:r>
      <w:r>
        <w:rPr>
          <w:i/>
          <w:color w:val="000000"/>
          <w:sz w:val="22"/>
          <w:lang w:val="en-US"/>
        </w:rPr>
        <w:t xml:space="preserve"> gender data/evidence</w:t>
      </w:r>
      <w:r w:rsidR="000C057E">
        <w:rPr>
          <w:i/>
          <w:color w:val="000000"/>
          <w:sz w:val="22"/>
          <w:lang w:val="en-US"/>
        </w:rPr>
        <w:t xml:space="preserve">, </w:t>
      </w:r>
      <w:r>
        <w:rPr>
          <w:color w:val="000000"/>
          <w:sz w:val="22"/>
          <w:lang w:val="en-US"/>
        </w:rPr>
        <w:t xml:space="preserve">and </w:t>
      </w:r>
      <w:r w:rsidR="000C057E">
        <w:rPr>
          <w:color w:val="000000"/>
          <w:sz w:val="22"/>
          <w:lang w:val="en-US"/>
        </w:rPr>
        <w:t>the s</w:t>
      </w:r>
      <w:r w:rsidRPr="00CA1231">
        <w:rPr>
          <w:i/>
          <w:color w:val="000000"/>
          <w:sz w:val="22"/>
          <w:lang w:val="en-US"/>
        </w:rPr>
        <w:t xml:space="preserve">ustained technical collaboration from the </w:t>
      </w:r>
      <w:r w:rsidRPr="00CA1231">
        <w:rPr>
          <w:b/>
          <w:i/>
          <w:color w:val="000000"/>
          <w:sz w:val="22"/>
          <w:lang w:val="en-US"/>
        </w:rPr>
        <w:t>Gender</w:t>
      </w:r>
      <w:r w:rsidR="000C057E">
        <w:rPr>
          <w:b/>
          <w:i/>
          <w:color w:val="000000"/>
          <w:sz w:val="22"/>
          <w:lang w:val="en-US"/>
        </w:rPr>
        <w:t xml:space="preserve"> unit and country focal points</w:t>
      </w:r>
      <w:r w:rsidR="0021226E">
        <w:rPr>
          <w:b/>
          <w:i/>
          <w:color w:val="000000"/>
          <w:sz w:val="22"/>
          <w:lang w:val="en-US"/>
        </w:rPr>
        <w:t>.</w:t>
      </w:r>
    </w:p>
    <w:p w:rsidR="009571FA" w:rsidRPr="00EF3E78" w:rsidRDefault="009571FA" w:rsidP="00F96587">
      <w:pPr>
        <w:ind w:right="-450"/>
        <w:rPr>
          <w:color w:val="000000"/>
          <w:sz w:val="2"/>
          <w:lang w:val="en-US"/>
        </w:rPr>
      </w:pPr>
      <w:r>
        <w:rPr>
          <w:b/>
          <w:i/>
          <w:color w:val="000000"/>
          <w:sz w:val="22"/>
          <w:lang w:val="en-US"/>
        </w:rPr>
        <w:t xml:space="preserve"> </w:t>
      </w:r>
    </w:p>
    <w:p w:rsidR="009571FA" w:rsidRPr="0041450A" w:rsidRDefault="009571FA" w:rsidP="00F96587">
      <w:pPr>
        <w:ind w:right="-450"/>
        <w:rPr>
          <w:rFonts w:cs="Arial"/>
          <w:sz w:val="14"/>
          <w:lang w:val="en-US"/>
        </w:rPr>
      </w:pPr>
    </w:p>
    <w:p w:rsidR="00940924" w:rsidRDefault="00150DD7" w:rsidP="00F96587">
      <w:pPr>
        <w:tabs>
          <w:tab w:val="left" w:pos="9270"/>
        </w:tabs>
        <w:ind w:right="-450"/>
        <w:rPr>
          <w:rFonts w:cs="Arial"/>
          <w:b/>
          <w:sz w:val="22"/>
          <w:szCs w:val="22"/>
        </w:rPr>
      </w:pPr>
      <w:r>
        <w:rPr>
          <w:rFonts w:cs="Arial"/>
          <w:b/>
          <w:sz w:val="22"/>
          <w:szCs w:val="22"/>
        </w:rPr>
        <w:t xml:space="preserve"> </w:t>
      </w:r>
      <w:r w:rsidR="00E25C52">
        <w:rPr>
          <w:rFonts w:cs="Arial"/>
          <w:b/>
          <w:sz w:val="22"/>
          <w:szCs w:val="22"/>
        </w:rPr>
        <w:t xml:space="preserve">   </w:t>
      </w:r>
      <w:r>
        <w:rPr>
          <w:rFonts w:cs="Arial"/>
          <w:b/>
          <w:sz w:val="22"/>
          <w:szCs w:val="22"/>
        </w:rPr>
        <w:t>2. G</w:t>
      </w:r>
      <w:r w:rsidR="009571FA" w:rsidRPr="00CA1231">
        <w:rPr>
          <w:rFonts w:cs="Arial"/>
          <w:b/>
          <w:sz w:val="22"/>
          <w:szCs w:val="22"/>
        </w:rPr>
        <w:t>ender integration into the mainstream of PAHO’s programme management (SD2)</w:t>
      </w:r>
      <w:r w:rsidR="00940924">
        <w:rPr>
          <w:rFonts w:cs="Arial"/>
          <w:b/>
          <w:sz w:val="22"/>
          <w:szCs w:val="22"/>
        </w:rPr>
        <w:t>:</w:t>
      </w:r>
    </w:p>
    <w:p w:rsidR="009571FA" w:rsidRDefault="00C60E80" w:rsidP="00F96587">
      <w:pPr>
        <w:tabs>
          <w:tab w:val="left" w:pos="9270"/>
        </w:tabs>
        <w:ind w:right="-450"/>
        <w:rPr>
          <w:bCs/>
          <w:sz w:val="2"/>
        </w:rPr>
      </w:pPr>
      <w:r>
        <w:rPr>
          <w:b/>
          <w:sz w:val="22"/>
          <w:szCs w:val="22"/>
        </w:rPr>
        <w:t xml:space="preserve">    </w:t>
      </w:r>
      <w:r w:rsidR="009571FA" w:rsidRPr="00CA1231">
        <w:rPr>
          <w:b/>
          <w:sz w:val="22"/>
          <w:szCs w:val="22"/>
        </w:rPr>
        <w:t xml:space="preserve">(a) </w:t>
      </w:r>
      <w:r w:rsidR="00150DD7">
        <w:rPr>
          <w:b/>
          <w:sz w:val="22"/>
          <w:szCs w:val="22"/>
        </w:rPr>
        <w:t>Operation</w:t>
      </w:r>
      <w:r w:rsidR="00FE22C9">
        <w:rPr>
          <w:b/>
          <w:sz w:val="22"/>
          <w:szCs w:val="22"/>
        </w:rPr>
        <w:t>a</w:t>
      </w:r>
      <w:r w:rsidR="00150DD7">
        <w:rPr>
          <w:b/>
          <w:sz w:val="22"/>
          <w:szCs w:val="22"/>
        </w:rPr>
        <w:t xml:space="preserve">l programming cycle: </w:t>
      </w:r>
      <w:r w:rsidR="009571FA">
        <w:rPr>
          <w:sz w:val="22"/>
          <w:szCs w:val="22"/>
        </w:rPr>
        <w:t>Twenty one planning officers s</w:t>
      </w:r>
      <w:r w:rsidR="000C057E">
        <w:rPr>
          <w:sz w:val="22"/>
          <w:szCs w:val="22"/>
        </w:rPr>
        <w:t xml:space="preserve">elected from PAHO/HQ and CO </w:t>
      </w:r>
      <w:r w:rsidR="009571FA">
        <w:rPr>
          <w:sz w:val="22"/>
          <w:szCs w:val="22"/>
        </w:rPr>
        <w:t xml:space="preserve">were interviewed on the extent that </w:t>
      </w:r>
      <w:r w:rsidR="009571FA" w:rsidRPr="00150DD7">
        <w:rPr>
          <w:sz w:val="22"/>
          <w:szCs w:val="22"/>
        </w:rPr>
        <w:t>gender wa</w:t>
      </w:r>
      <w:r w:rsidR="009571FA" w:rsidRPr="00940924">
        <w:rPr>
          <w:sz w:val="22"/>
          <w:szCs w:val="22"/>
        </w:rPr>
        <w:t xml:space="preserve">s integrated </w:t>
      </w:r>
      <w:r w:rsidR="009571FA" w:rsidRPr="00150DD7">
        <w:rPr>
          <w:sz w:val="22"/>
          <w:szCs w:val="22"/>
        </w:rPr>
        <w:t>into the</w:t>
      </w:r>
      <w:r w:rsidR="009571FA" w:rsidRPr="00CA1231">
        <w:rPr>
          <w:b/>
          <w:sz w:val="22"/>
          <w:szCs w:val="22"/>
        </w:rPr>
        <w:t xml:space="preserve"> </w:t>
      </w:r>
      <w:r w:rsidR="009571FA">
        <w:rPr>
          <w:sz w:val="22"/>
          <w:szCs w:val="22"/>
        </w:rPr>
        <w:t>planning, implementation and monitoring/evaluation phases</w:t>
      </w:r>
      <w:r w:rsidR="00150DD7">
        <w:rPr>
          <w:sz w:val="22"/>
          <w:szCs w:val="22"/>
        </w:rPr>
        <w:t xml:space="preserve"> of this cycle.</w:t>
      </w:r>
      <w:r w:rsidR="009571FA">
        <w:rPr>
          <w:sz w:val="22"/>
          <w:szCs w:val="22"/>
        </w:rPr>
        <w:t xml:space="preserve"> </w:t>
      </w:r>
      <w:r w:rsidR="009571FA" w:rsidRPr="00481E8D">
        <w:rPr>
          <w:sz w:val="22"/>
          <w:szCs w:val="22"/>
        </w:rPr>
        <w:t>39%</w:t>
      </w:r>
      <w:r w:rsidR="009571FA">
        <w:rPr>
          <w:sz w:val="22"/>
          <w:szCs w:val="22"/>
        </w:rPr>
        <w:t xml:space="preserve"> reported that</w:t>
      </w:r>
      <w:r w:rsidR="009571FA" w:rsidRPr="00DF0B33">
        <w:rPr>
          <w:sz w:val="22"/>
          <w:szCs w:val="22"/>
        </w:rPr>
        <w:t xml:space="preserve"> </w:t>
      </w:r>
      <w:r w:rsidR="009571FA">
        <w:rPr>
          <w:sz w:val="22"/>
          <w:szCs w:val="22"/>
        </w:rPr>
        <w:t xml:space="preserve">gender was </w:t>
      </w:r>
      <w:r w:rsidR="009571FA" w:rsidRPr="00940924">
        <w:rPr>
          <w:b/>
          <w:sz w:val="22"/>
          <w:szCs w:val="22"/>
        </w:rPr>
        <w:t>strongly integrated</w:t>
      </w:r>
      <w:r w:rsidR="009571FA">
        <w:rPr>
          <w:sz w:val="22"/>
          <w:szCs w:val="22"/>
        </w:rPr>
        <w:t xml:space="preserve"> </w:t>
      </w:r>
      <w:r w:rsidR="000C057E">
        <w:rPr>
          <w:sz w:val="22"/>
          <w:szCs w:val="22"/>
        </w:rPr>
        <w:t xml:space="preserve">in </w:t>
      </w:r>
      <w:r w:rsidR="009571FA">
        <w:rPr>
          <w:sz w:val="22"/>
          <w:szCs w:val="22"/>
        </w:rPr>
        <w:t>the</w:t>
      </w:r>
      <w:r w:rsidR="009571FA">
        <w:rPr>
          <w:b/>
          <w:sz w:val="22"/>
          <w:szCs w:val="22"/>
        </w:rPr>
        <w:t xml:space="preserve"> planning</w:t>
      </w:r>
      <w:r w:rsidR="009571FA">
        <w:rPr>
          <w:sz w:val="22"/>
          <w:szCs w:val="22"/>
        </w:rPr>
        <w:t xml:space="preserve"> phase, </w:t>
      </w:r>
      <w:r w:rsidR="00150DD7">
        <w:rPr>
          <w:sz w:val="22"/>
          <w:szCs w:val="22"/>
        </w:rPr>
        <w:t xml:space="preserve">a proportion </w:t>
      </w:r>
      <w:r w:rsidR="009571FA">
        <w:rPr>
          <w:sz w:val="22"/>
          <w:szCs w:val="22"/>
        </w:rPr>
        <w:t xml:space="preserve">slightly </w:t>
      </w:r>
      <w:r w:rsidR="00940924">
        <w:rPr>
          <w:sz w:val="22"/>
          <w:szCs w:val="22"/>
        </w:rPr>
        <w:t>above</w:t>
      </w:r>
      <w:r w:rsidR="009571FA">
        <w:rPr>
          <w:sz w:val="22"/>
          <w:szCs w:val="22"/>
        </w:rPr>
        <w:t xml:space="preserve"> the </w:t>
      </w:r>
      <w:r w:rsidR="000C057E">
        <w:rPr>
          <w:sz w:val="22"/>
          <w:szCs w:val="22"/>
        </w:rPr>
        <w:t xml:space="preserve">WHO overall </w:t>
      </w:r>
      <w:r w:rsidR="00150DD7">
        <w:rPr>
          <w:sz w:val="22"/>
          <w:szCs w:val="22"/>
        </w:rPr>
        <w:t>a</w:t>
      </w:r>
      <w:r w:rsidR="009571FA">
        <w:rPr>
          <w:sz w:val="22"/>
          <w:szCs w:val="22"/>
        </w:rPr>
        <w:t>verage (37%).</w:t>
      </w:r>
      <w:r w:rsidR="009571FA" w:rsidRPr="005E3785">
        <w:rPr>
          <w:sz w:val="22"/>
          <w:szCs w:val="22"/>
        </w:rPr>
        <w:t xml:space="preserve"> </w:t>
      </w:r>
      <w:r w:rsidR="009571FA" w:rsidRPr="00481E8D">
        <w:rPr>
          <w:sz w:val="22"/>
          <w:szCs w:val="22"/>
        </w:rPr>
        <w:t xml:space="preserve">However, </w:t>
      </w:r>
      <w:r w:rsidR="009571FA" w:rsidRPr="00940924">
        <w:rPr>
          <w:sz w:val="22"/>
          <w:szCs w:val="22"/>
        </w:rPr>
        <w:t>no strong</w:t>
      </w:r>
      <w:r w:rsidR="009571FA" w:rsidRPr="00481E8D">
        <w:rPr>
          <w:sz w:val="22"/>
          <w:szCs w:val="22"/>
        </w:rPr>
        <w:t xml:space="preserve"> integration </w:t>
      </w:r>
      <w:r w:rsidR="000C057E">
        <w:rPr>
          <w:sz w:val="22"/>
          <w:szCs w:val="22"/>
        </w:rPr>
        <w:t>was</w:t>
      </w:r>
      <w:r w:rsidR="009571FA" w:rsidRPr="00481E8D">
        <w:rPr>
          <w:sz w:val="22"/>
          <w:szCs w:val="22"/>
        </w:rPr>
        <w:t xml:space="preserve"> re</w:t>
      </w:r>
      <w:r w:rsidR="00150DD7">
        <w:rPr>
          <w:sz w:val="22"/>
          <w:szCs w:val="22"/>
        </w:rPr>
        <w:t xml:space="preserve">ported </w:t>
      </w:r>
      <w:r w:rsidR="009571FA" w:rsidRPr="00481E8D">
        <w:rPr>
          <w:sz w:val="22"/>
          <w:szCs w:val="22"/>
        </w:rPr>
        <w:t xml:space="preserve">in PAHO for the implementation and evaluation phases, whereas the </w:t>
      </w:r>
      <w:r w:rsidR="00C53FE1">
        <w:rPr>
          <w:sz w:val="22"/>
          <w:szCs w:val="22"/>
        </w:rPr>
        <w:t xml:space="preserve">WHO </w:t>
      </w:r>
      <w:r w:rsidR="009571FA" w:rsidRPr="00481E8D">
        <w:rPr>
          <w:sz w:val="22"/>
          <w:szCs w:val="22"/>
        </w:rPr>
        <w:t>respective proportions were 6% and 2%.</w:t>
      </w:r>
      <w:r w:rsidR="009571FA">
        <w:rPr>
          <w:sz w:val="22"/>
          <w:szCs w:val="22"/>
        </w:rPr>
        <w:t xml:space="preserve">  </w:t>
      </w:r>
      <w:r w:rsidR="009571FA" w:rsidRPr="00481E8D">
        <w:rPr>
          <w:b/>
          <w:sz w:val="22"/>
          <w:szCs w:val="22"/>
        </w:rPr>
        <w:t xml:space="preserve">Moderate </w:t>
      </w:r>
      <w:r w:rsidR="009571FA" w:rsidRPr="00481E8D">
        <w:rPr>
          <w:sz w:val="22"/>
          <w:szCs w:val="22"/>
        </w:rPr>
        <w:t>s</w:t>
      </w:r>
      <w:r w:rsidR="009571FA">
        <w:rPr>
          <w:sz w:val="22"/>
          <w:szCs w:val="22"/>
        </w:rPr>
        <w:t xml:space="preserve">cores </w:t>
      </w:r>
      <w:r w:rsidR="009571FA" w:rsidRPr="00481E8D">
        <w:rPr>
          <w:sz w:val="22"/>
          <w:szCs w:val="22"/>
        </w:rPr>
        <w:t xml:space="preserve">were reported by </w:t>
      </w:r>
      <w:r w:rsidR="00150DD7">
        <w:rPr>
          <w:sz w:val="22"/>
          <w:szCs w:val="22"/>
        </w:rPr>
        <w:t>65% and 19% of</w:t>
      </w:r>
      <w:r w:rsidR="009571FA" w:rsidRPr="00481E8D">
        <w:rPr>
          <w:sz w:val="22"/>
          <w:szCs w:val="22"/>
        </w:rPr>
        <w:t xml:space="preserve"> </w:t>
      </w:r>
      <w:r w:rsidR="009571FA">
        <w:rPr>
          <w:sz w:val="22"/>
          <w:szCs w:val="22"/>
        </w:rPr>
        <w:t xml:space="preserve">PAHO </w:t>
      </w:r>
      <w:r w:rsidR="009571FA" w:rsidRPr="00481E8D">
        <w:rPr>
          <w:sz w:val="22"/>
          <w:szCs w:val="22"/>
        </w:rPr>
        <w:t xml:space="preserve">planners </w:t>
      </w:r>
      <w:r w:rsidR="00C53FE1">
        <w:rPr>
          <w:sz w:val="22"/>
          <w:szCs w:val="22"/>
        </w:rPr>
        <w:t>for</w:t>
      </w:r>
      <w:r w:rsidR="009571FA" w:rsidRPr="00481E8D">
        <w:rPr>
          <w:sz w:val="22"/>
          <w:szCs w:val="22"/>
        </w:rPr>
        <w:t xml:space="preserve"> the </w:t>
      </w:r>
      <w:r w:rsidR="009571FA" w:rsidRPr="00481E8D">
        <w:rPr>
          <w:b/>
          <w:sz w:val="22"/>
          <w:szCs w:val="22"/>
        </w:rPr>
        <w:t>implementation</w:t>
      </w:r>
      <w:r w:rsidR="00C53FE1">
        <w:rPr>
          <w:sz w:val="22"/>
          <w:szCs w:val="22"/>
        </w:rPr>
        <w:t xml:space="preserve"> and</w:t>
      </w:r>
      <w:r w:rsidR="009571FA">
        <w:rPr>
          <w:sz w:val="22"/>
          <w:szCs w:val="22"/>
        </w:rPr>
        <w:t xml:space="preserve"> </w:t>
      </w:r>
      <w:r w:rsidR="009571FA">
        <w:rPr>
          <w:b/>
          <w:sz w:val="22"/>
          <w:szCs w:val="22"/>
        </w:rPr>
        <w:t>evaluation</w:t>
      </w:r>
      <w:r w:rsidR="009571FA">
        <w:rPr>
          <w:sz w:val="22"/>
          <w:szCs w:val="22"/>
        </w:rPr>
        <w:t xml:space="preserve"> phases</w:t>
      </w:r>
      <w:r w:rsidR="00150DD7">
        <w:rPr>
          <w:sz w:val="22"/>
          <w:szCs w:val="22"/>
        </w:rPr>
        <w:t xml:space="preserve">, respectively. </w:t>
      </w:r>
    </w:p>
    <w:p w:rsidR="009571FA" w:rsidRPr="00C60E80" w:rsidRDefault="009571FA" w:rsidP="00F96587">
      <w:pPr>
        <w:ind w:right="-450"/>
        <w:outlineLvl w:val="1"/>
        <w:rPr>
          <w:sz w:val="2"/>
          <w:szCs w:val="22"/>
        </w:rPr>
      </w:pPr>
    </w:p>
    <w:p w:rsidR="009571FA" w:rsidRPr="00940924" w:rsidRDefault="009571FA" w:rsidP="00F96587">
      <w:pPr>
        <w:ind w:right="-450"/>
        <w:outlineLvl w:val="1"/>
        <w:rPr>
          <w:sz w:val="2"/>
          <w:szCs w:val="22"/>
        </w:rPr>
      </w:pPr>
    </w:p>
    <w:p w:rsidR="009571FA" w:rsidRPr="00A06CF0" w:rsidRDefault="00C60E80" w:rsidP="00F96587">
      <w:pPr>
        <w:ind w:right="-540"/>
        <w:rPr>
          <w:bCs/>
          <w:sz w:val="4"/>
        </w:rPr>
      </w:pPr>
      <w:r>
        <w:rPr>
          <w:b/>
          <w:sz w:val="22"/>
          <w:szCs w:val="22"/>
        </w:rPr>
        <w:t xml:space="preserve">    </w:t>
      </w:r>
      <w:r w:rsidR="009571FA">
        <w:rPr>
          <w:b/>
          <w:sz w:val="22"/>
          <w:szCs w:val="22"/>
        </w:rPr>
        <w:t>(</w:t>
      </w:r>
      <w:r w:rsidR="009571FA" w:rsidRPr="00424CDE">
        <w:rPr>
          <w:b/>
          <w:sz w:val="22"/>
          <w:szCs w:val="22"/>
        </w:rPr>
        <w:t>b</w:t>
      </w:r>
      <w:r w:rsidR="009571FA">
        <w:rPr>
          <w:b/>
          <w:sz w:val="22"/>
          <w:szCs w:val="22"/>
        </w:rPr>
        <w:t>)</w:t>
      </w:r>
      <w:r w:rsidR="009571FA">
        <w:rPr>
          <w:sz w:val="22"/>
          <w:szCs w:val="22"/>
        </w:rPr>
        <w:t xml:space="preserve"> </w:t>
      </w:r>
      <w:r w:rsidR="009571FA" w:rsidRPr="004845EE">
        <w:rPr>
          <w:b/>
          <w:bCs/>
          <w:sz w:val="22"/>
        </w:rPr>
        <w:t xml:space="preserve">Country cooperation strategies </w:t>
      </w:r>
      <w:r w:rsidR="009571FA">
        <w:rPr>
          <w:b/>
          <w:bCs/>
          <w:sz w:val="22"/>
        </w:rPr>
        <w:t xml:space="preserve">(CCS) </w:t>
      </w:r>
      <w:r w:rsidR="009571FA" w:rsidRPr="004845EE">
        <w:rPr>
          <w:b/>
          <w:bCs/>
          <w:sz w:val="22"/>
        </w:rPr>
        <w:t>and corresponding</w:t>
      </w:r>
      <w:r w:rsidR="009571FA">
        <w:rPr>
          <w:b/>
          <w:bCs/>
          <w:sz w:val="22"/>
        </w:rPr>
        <w:t xml:space="preserve"> biennial</w:t>
      </w:r>
      <w:r w:rsidR="009571FA" w:rsidRPr="004845EE">
        <w:rPr>
          <w:b/>
          <w:bCs/>
          <w:sz w:val="22"/>
        </w:rPr>
        <w:t xml:space="preserve"> work plans</w:t>
      </w:r>
      <w:r w:rsidR="009571FA">
        <w:rPr>
          <w:b/>
          <w:bCs/>
          <w:sz w:val="22"/>
        </w:rPr>
        <w:t xml:space="preserve"> (BWP)</w:t>
      </w:r>
      <w:r w:rsidR="009F4B85">
        <w:rPr>
          <w:b/>
          <w:bCs/>
          <w:sz w:val="22"/>
        </w:rPr>
        <w:t xml:space="preserve">: </w:t>
      </w:r>
      <w:r w:rsidR="009F4B85" w:rsidRPr="00940924">
        <w:rPr>
          <w:bCs/>
          <w:sz w:val="22"/>
        </w:rPr>
        <w:t>T</w:t>
      </w:r>
      <w:r w:rsidR="009A6F78">
        <w:rPr>
          <w:bCs/>
          <w:sz w:val="22"/>
        </w:rPr>
        <w:t>he CCS and B</w:t>
      </w:r>
      <w:r w:rsidR="002F01E0">
        <w:rPr>
          <w:bCs/>
          <w:sz w:val="22"/>
        </w:rPr>
        <w:t xml:space="preserve">WP of two </w:t>
      </w:r>
      <w:r w:rsidR="009571FA" w:rsidRPr="004845EE">
        <w:rPr>
          <w:bCs/>
          <w:sz w:val="22"/>
        </w:rPr>
        <w:t>countries were selected</w:t>
      </w:r>
      <w:r w:rsidR="009F4B85">
        <w:rPr>
          <w:bCs/>
          <w:sz w:val="22"/>
        </w:rPr>
        <w:t xml:space="preserve"> for </w:t>
      </w:r>
      <w:r w:rsidR="002F01E0">
        <w:rPr>
          <w:bCs/>
          <w:sz w:val="22"/>
        </w:rPr>
        <w:t xml:space="preserve">content </w:t>
      </w:r>
      <w:r w:rsidR="009F4B85">
        <w:rPr>
          <w:bCs/>
          <w:sz w:val="22"/>
        </w:rPr>
        <w:t>analysis</w:t>
      </w:r>
      <w:r w:rsidR="009571FA" w:rsidRPr="004845EE">
        <w:rPr>
          <w:bCs/>
          <w:sz w:val="22"/>
        </w:rPr>
        <w:t xml:space="preserve">: Honduras and Trinidad </w:t>
      </w:r>
      <w:r w:rsidR="009571FA">
        <w:rPr>
          <w:bCs/>
          <w:sz w:val="22"/>
        </w:rPr>
        <w:t xml:space="preserve">and </w:t>
      </w:r>
      <w:r w:rsidR="009571FA" w:rsidRPr="004845EE">
        <w:rPr>
          <w:bCs/>
          <w:sz w:val="22"/>
        </w:rPr>
        <w:t>Tobago</w:t>
      </w:r>
      <w:r w:rsidR="00EE0182">
        <w:rPr>
          <w:bCs/>
          <w:sz w:val="22"/>
        </w:rPr>
        <w:t xml:space="preserve">: </w:t>
      </w:r>
      <w:r w:rsidR="00940924">
        <w:rPr>
          <w:bCs/>
          <w:sz w:val="22"/>
        </w:rPr>
        <w:t>t</w:t>
      </w:r>
      <w:r w:rsidR="009571FA" w:rsidRPr="004845EE">
        <w:rPr>
          <w:bCs/>
          <w:sz w:val="22"/>
        </w:rPr>
        <w:t xml:space="preserve">he </w:t>
      </w:r>
      <w:r w:rsidR="00940924">
        <w:rPr>
          <w:bCs/>
          <w:sz w:val="22"/>
        </w:rPr>
        <w:t xml:space="preserve">former </w:t>
      </w:r>
      <w:r w:rsidR="00EE0182">
        <w:rPr>
          <w:bCs/>
          <w:sz w:val="22"/>
        </w:rPr>
        <w:t xml:space="preserve">had </w:t>
      </w:r>
      <w:r w:rsidR="009571FA" w:rsidRPr="004845EE">
        <w:rPr>
          <w:bCs/>
          <w:sz w:val="22"/>
        </w:rPr>
        <w:t xml:space="preserve">a long </w:t>
      </w:r>
      <w:r w:rsidR="002F01E0" w:rsidRPr="004845EE">
        <w:rPr>
          <w:bCs/>
          <w:sz w:val="22"/>
        </w:rPr>
        <w:t xml:space="preserve">collaboration </w:t>
      </w:r>
      <w:r w:rsidR="009571FA" w:rsidRPr="004845EE">
        <w:rPr>
          <w:bCs/>
          <w:sz w:val="22"/>
        </w:rPr>
        <w:t xml:space="preserve">history with the </w:t>
      </w:r>
      <w:r w:rsidR="000F6D1E">
        <w:rPr>
          <w:bCs/>
          <w:sz w:val="22"/>
        </w:rPr>
        <w:t>PAHO Gender</w:t>
      </w:r>
      <w:r w:rsidR="009571FA" w:rsidRPr="004845EE">
        <w:rPr>
          <w:bCs/>
          <w:sz w:val="22"/>
        </w:rPr>
        <w:t xml:space="preserve"> </w:t>
      </w:r>
      <w:r w:rsidR="00150DD7">
        <w:rPr>
          <w:bCs/>
          <w:sz w:val="22"/>
        </w:rPr>
        <w:t>network</w:t>
      </w:r>
      <w:r w:rsidR="009571FA" w:rsidRPr="004845EE">
        <w:rPr>
          <w:bCs/>
          <w:sz w:val="22"/>
        </w:rPr>
        <w:t xml:space="preserve">, the </w:t>
      </w:r>
      <w:r w:rsidR="00EE0182">
        <w:rPr>
          <w:bCs/>
          <w:sz w:val="22"/>
        </w:rPr>
        <w:t>latter had none</w:t>
      </w:r>
      <w:r w:rsidR="00C460FB">
        <w:rPr>
          <w:bCs/>
          <w:sz w:val="22"/>
        </w:rPr>
        <w:t>.</w:t>
      </w:r>
      <w:r w:rsidR="009571FA" w:rsidRPr="004845EE">
        <w:rPr>
          <w:bCs/>
          <w:sz w:val="22"/>
        </w:rPr>
        <w:t xml:space="preserve"> Both countries’ CCS and work plans </w:t>
      </w:r>
      <w:r w:rsidR="009571FA">
        <w:rPr>
          <w:bCs/>
          <w:sz w:val="22"/>
        </w:rPr>
        <w:t>scored</w:t>
      </w:r>
      <w:r w:rsidR="009571FA" w:rsidRPr="004845EE">
        <w:rPr>
          <w:bCs/>
          <w:sz w:val="22"/>
        </w:rPr>
        <w:t xml:space="preserve"> only </w:t>
      </w:r>
      <w:r w:rsidR="009571FA" w:rsidRPr="00EE0182">
        <w:rPr>
          <w:b/>
          <w:bCs/>
          <w:sz w:val="22"/>
        </w:rPr>
        <w:t>medium</w:t>
      </w:r>
      <w:r w:rsidR="009571FA" w:rsidRPr="004845EE">
        <w:rPr>
          <w:bCs/>
          <w:sz w:val="22"/>
        </w:rPr>
        <w:t xml:space="preserve"> values of gender integration</w:t>
      </w:r>
      <w:r w:rsidR="00C460FB">
        <w:rPr>
          <w:bCs/>
          <w:sz w:val="22"/>
        </w:rPr>
        <w:t xml:space="preserve">. In both </w:t>
      </w:r>
      <w:r w:rsidR="000F6D1E">
        <w:rPr>
          <w:bCs/>
          <w:sz w:val="22"/>
        </w:rPr>
        <w:t>CCS</w:t>
      </w:r>
      <w:r w:rsidR="00C460FB">
        <w:rPr>
          <w:bCs/>
          <w:sz w:val="22"/>
        </w:rPr>
        <w:t>s</w:t>
      </w:r>
      <w:r w:rsidR="000F6D1E">
        <w:rPr>
          <w:bCs/>
          <w:sz w:val="22"/>
        </w:rPr>
        <w:t xml:space="preserve"> Gender related p</w:t>
      </w:r>
      <w:r w:rsidR="002F01E0">
        <w:rPr>
          <w:bCs/>
          <w:sz w:val="22"/>
        </w:rPr>
        <w:t xml:space="preserve">olicy statements were too broad to have empirical footing, </w:t>
      </w:r>
      <w:r w:rsidR="000F6D1E">
        <w:rPr>
          <w:bCs/>
          <w:sz w:val="22"/>
        </w:rPr>
        <w:t>whereas in the BWP</w:t>
      </w:r>
      <w:r w:rsidR="00C460FB">
        <w:rPr>
          <w:bCs/>
          <w:sz w:val="22"/>
        </w:rPr>
        <w:t>s</w:t>
      </w:r>
      <w:r w:rsidR="000F6D1E">
        <w:rPr>
          <w:bCs/>
          <w:sz w:val="22"/>
        </w:rPr>
        <w:t xml:space="preserve">, gender actions were too </w:t>
      </w:r>
      <w:r w:rsidR="009571FA">
        <w:rPr>
          <w:bCs/>
          <w:sz w:val="22"/>
        </w:rPr>
        <w:t xml:space="preserve">restricted </w:t>
      </w:r>
      <w:r w:rsidR="000F6D1E">
        <w:rPr>
          <w:bCs/>
          <w:sz w:val="22"/>
        </w:rPr>
        <w:t>t</w:t>
      </w:r>
      <w:r w:rsidR="009571FA">
        <w:rPr>
          <w:bCs/>
          <w:sz w:val="22"/>
        </w:rPr>
        <w:t xml:space="preserve">o permeate </w:t>
      </w:r>
      <w:r w:rsidR="000F6D1E">
        <w:rPr>
          <w:bCs/>
          <w:sz w:val="22"/>
        </w:rPr>
        <w:t xml:space="preserve">the mainstream of technical cooperation in the countries. </w:t>
      </w:r>
      <w:r w:rsidR="009571FA" w:rsidRPr="004845EE">
        <w:rPr>
          <w:bCs/>
          <w:sz w:val="22"/>
        </w:rPr>
        <w:t>The effect of having had</w:t>
      </w:r>
      <w:r w:rsidR="009571FA">
        <w:rPr>
          <w:bCs/>
          <w:sz w:val="22"/>
        </w:rPr>
        <w:t xml:space="preserve"> a direct</w:t>
      </w:r>
      <w:r w:rsidR="009571FA" w:rsidRPr="004845EE">
        <w:rPr>
          <w:bCs/>
          <w:sz w:val="22"/>
        </w:rPr>
        <w:t xml:space="preserve"> collaborati</w:t>
      </w:r>
      <w:r w:rsidR="000F6D1E">
        <w:rPr>
          <w:bCs/>
          <w:sz w:val="22"/>
        </w:rPr>
        <w:t xml:space="preserve">on </w:t>
      </w:r>
      <w:r w:rsidR="009571FA" w:rsidRPr="004845EE">
        <w:rPr>
          <w:bCs/>
          <w:sz w:val="22"/>
        </w:rPr>
        <w:t>with the PAHO Gender network</w:t>
      </w:r>
      <w:r w:rsidR="000F6D1E">
        <w:rPr>
          <w:bCs/>
          <w:sz w:val="22"/>
        </w:rPr>
        <w:t xml:space="preserve"> (that included national gender </w:t>
      </w:r>
      <w:r w:rsidR="009571FA">
        <w:rPr>
          <w:bCs/>
          <w:sz w:val="22"/>
        </w:rPr>
        <w:t>focal point</w:t>
      </w:r>
      <w:r w:rsidR="000F6D1E">
        <w:rPr>
          <w:bCs/>
          <w:sz w:val="22"/>
        </w:rPr>
        <w:t>)</w:t>
      </w:r>
      <w:r w:rsidR="009571FA">
        <w:rPr>
          <w:bCs/>
          <w:sz w:val="22"/>
        </w:rPr>
        <w:t>,</w:t>
      </w:r>
      <w:r w:rsidR="009571FA" w:rsidRPr="004845EE">
        <w:rPr>
          <w:bCs/>
          <w:sz w:val="22"/>
        </w:rPr>
        <w:t xml:space="preserve"> </w:t>
      </w:r>
      <w:r w:rsidR="009571FA">
        <w:rPr>
          <w:bCs/>
          <w:sz w:val="22"/>
        </w:rPr>
        <w:t xml:space="preserve">was reflected </w:t>
      </w:r>
      <w:r w:rsidR="009571FA" w:rsidRPr="004845EE">
        <w:rPr>
          <w:bCs/>
          <w:sz w:val="22"/>
        </w:rPr>
        <w:t xml:space="preserve">in the </w:t>
      </w:r>
      <w:r w:rsidR="009571FA">
        <w:rPr>
          <w:bCs/>
          <w:sz w:val="22"/>
        </w:rPr>
        <w:t xml:space="preserve">Honduras </w:t>
      </w:r>
      <w:r w:rsidR="009571FA" w:rsidRPr="004845EE">
        <w:rPr>
          <w:bCs/>
          <w:sz w:val="22"/>
        </w:rPr>
        <w:t>work plan</w:t>
      </w:r>
      <w:r w:rsidR="009571FA">
        <w:rPr>
          <w:bCs/>
          <w:sz w:val="22"/>
        </w:rPr>
        <w:t xml:space="preserve"> with specific </w:t>
      </w:r>
      <w:r w:rsidR="009571FA" w:rsidRPr="00481E8D">
        <w:rPr>
          <w:bCs/>
          <w:sz w:val="22"/>
        </w:rPr>
        <w:t>expected</w:t>
      </w:r>
      <w:r w:rsidR="009571FA">
        <w:rPr>
          <w:bCs/>
          <w:sz w:val="22"/>
        </w:rPr>
        <w:t xml:space="preserve"> results. </w:t>
      </w:r>
      <w:r w:rsidR="000F6D1E">
        <w:rPr>
          <w:bCs/>
          <w:sz w:val="22"/>
        </w:rPr>
        <w:t>G</w:t>
      </w:r>
      <w:r w:rsidR="009571FA">
        <w:rPr>
          <w:bCs/>
          <w:sz w:val="22"/>
        </w:rPr>
        <w:t>en</w:t>
      </w:r>
      <w:r w:rsidR="009571FA" w:rsidRPr="004845EE">
        <w:rPr>
          <w:bCs/>
          <w:sz w:val="22"/>
        </w:rPr>
        <w:t xml:space="preserve">der-based violence </w:t>
      </w:r>
      <w:r w:rsidR="002F01E0">
        <w:rPr>
          <w:bCs/>
          <w:sz w:val="22"/>
        </w:rPr>
        <w:t xml:space="preserve">was the </w:t>
      </w:r>
      <w:r w:rsidR="009571FA" w:rsidRPr="004845EE">
        <w:rPr>
          <w:bCs/>
          <w:sz w:val="22"/>
        </w:rPr>
        <w:t xml:space="preserve">issue most </w:t>
      </w:r>
      <w:r w:rsidR="009571FA">
        <w:rPr>
          <w:bCs/>
          <w:sz w:val="22"/>
        </w:rPr>
        <w:t>visibly</w:t>
      </w:r>
      <w:r w:rsidR="009571FA" w:rsidRPr="004845EE">
        <w:rPr>
          <w:bCs/>
          <w:sz w:val="22"/>
        </w:rPr>
        <w:t xml:space="preserve"> mainstreamed</w:t>
      </w:r>
      <w:r w:rsidR="000F6D1E">
        <w:rPr>
          <w:bCs/>
          <w:sz w:val="22"/>
        </w:rPr>
        <w:t xml:space="preserve"> in both countries</w:t>
      </w:r>
      <w:r w:rsidR="002F01E0">
        <w:rPr>
          <w:bCs/>
          <w:sz w:val="22"/>
        </w:rPr>
        <w:t>.</w:t>
      </w:r>
    </w:p>
    <w:p w:rsidR="009571FA" w:rsidRDefault="00C60E80" w:rsidP="00F96587">
      <w:pPr>
        <w:ind w:right="-540"/>
        <w:outlineLvl w:val="1"/>
        <w:rPr>
          <w:sz w:val="22"/>
          <w:szCs w:val="22"/>
        </w:rPr>
      </w:pPr>
      <w:r>
        <w:rPr>
          <w:b/>
          <w:bCs/>
          <w:sz w:val="22"/>
        </w:rPr>
        <w:t xml:space="preserve">     </w:t>
      </w:r>
      <w:r w:rsidR="009571FA">
        <w:rPr>
          <w:b/>
          <w:bCs/>
          <w:sz w:val="22"/>
        </w:rPr>
        <w:t>(</w:t>
      </w:r>
      <w:r w:rsidR="009571FA" w:rsidRPr="00A06CF0">
        <w:rPr>
          <w:b/>
          <w:bCs/>
          <w:sz w:val="22"/>
        </w:rPr>
        <w:t>c</w:t>
      </w:r>
      <w:r w:rsidR="009571FA">
        <w:rPr>
          <w:b/>
          <w:bCs/>
          <w:sz w:val="22"/>
        </w:rPr>
        <w:t>)</w:t>
      </w:r>
      <w:r w:rsidR="009571FA" w:rsidRPr="00DF0B33">
        <w:rPr>
          <w:bCs/>
          <w:sz w:val="22"/>
        </w:rPr>
        <w:t xml:space="preserve"> </w:t>
      </w:r>
      <w:r w:rsidR="009571FA">
        <w:rPr>
          <w:bCs/>
          <w:sz w:val="22"/>
        </w:rPr>
        <w:t xml:space="preserve"> </w:t>
      </w:r>
      <w:r w:rsidR="000F6D1E" w:rsidRPr="009F4B85">
        <w:rPr>
          <w:b/>
          <w:bCs/>
          <w:sz w:val="22"/>
        </w:rPr>
        <w:t>S</w:t>
      </w:r>
      <w:r w:rsidR="009571FA" w:rsidRPr="00DF0B33">
        <w:rPr>
          <w:rFonts w:cs="Arial"/>
          <w:b/>
          <w:bCs/>
          <w:sz w:val="22"/>
        </w:rPr>
        <w:t>ex parity in PAHO staffing</w:t>
      </w:r>
      <w:r w:rsidR="009F4B85">
        <w:rPr>
          <w:rFonts w:cs="Arial"/>
          <w:b/>
          <w:bCs/>
          <w:sz w:val="22"/>
        </w:rPr>
        <w:t xml:space="preserve">: </w:t>
      </w:r>
      <w:r w:rsidR="009F4B85" w:rsidRPr="009F4B85">
        <w:rPr>
          <w:rFonts w:cs="Arial"/>
          <w:bCs/>
          <w:sz w:val="22"/>
        </w:rPr>
        <w:t>The analysis</w:t>
      </w:r>
      <w:r w:rsidR="009F4B85">
        <w:rPr>
          <w:rFonts w:cs="Arial"/>
          <w:b/>
          <w:bCs/>
          <w:sz w:val="22"/>
        </w:rPr>
        <w:t xml:space="preserve"> </w:t>
      </w:r>
      <w:r w:rsidR="002F01E0" w:rsidRPr="002F01E0">
        <w:rPr>
          <w:rFonts w:cs="Arial"/>
          <w:bCs/>
          <w:sz w:val="22"/>
        </w:rPr>
        <w:t xml:space="preserve">dealt with </w:t>
      </w:r>
      <w:r w:rsidR="002F01E0">
        <w:rPr>
          <w:rFonts w:cs="Arial"/>
          <w:bCs/>
          <w:sz w:val="22"/>
        </w:rPr>
        <w:t>two</w:t>
      </w:r>
      <w:r w:rsidR="00D567B1">
        <w:rPr>
          <w:rFonts w:cs="Arial"/>
          <w:bCs/>
          <w:sz w:val="22"/>
        </w:rPr>
        <w:t xml:space="preserve"> broad dimensions: </w:t>
      </w:r>
      <w:r w:rsidR="002F01E0">
        <w:rPr>
          <w:sz w:val="22"/>
          <w:szCs w:val="20"/>
        </w:rPr>
        <w:t>all active staff at December 3</w:t>
      </w:r>
      <w:r w:rsidR="00F96587">
        <w:rPr>
          <w:sz w:val="22"/>
          <w:szCs w:val="20"/>
        </w:rPr>
        <w:t>1</w:t>
      </w:r>
      <w:r w:rsidR="002F01E0">
        <w:rPr>
          <w:sz w:val="22"/>
          <w:szCs w:val="20"/>
        </w:rPr>
        <w:t>,</w:t>
      </w:r>
      <w:r w:rsidR="009571FA" w:rsidRPr="00DF0B33">
        <w:rPr>
          <w:sz w:val="22"/>
          <w:szCs w:val="20"/>
        </w:rPr>
        <w:t xml:space="preserve"> 2007, and new appointments </w:t>
      </w:r>
      <w:r w:rsidR="009A6F78">
        <w:rPr>
          <w:sz w:val="22"/>
          <w:szCs w:val="20"/>
        </w:rPr>
        <w:t xml:space="preserve">that occurred </w:t>
      </w:r>
      <w:r w:rsidR="009571FA" w:rsidRPr="00DF0B33">
        <w:rPr>
          <w:sz w:val="22"/>
          <w:szCs w:val="20"/>
        </w:rPr>
        <w:t xml:space="preserve">during </w:t>
      </w:r>
      <w:r w:rsidR="009F4B85">
        <w:rPr>
          <w:sz w:val="22"/>
          <w:szCs w:val="20"/>
        </w:rPr>
        <w:t xml:space="preserve">the same year. </w:t>
      </w:r>
      <w:r w:rsidR="009571FA" w:rsidRPr="00202B63">
        <w:rPr>
          <w:sz w:val="22"/>
          <w:szCs w:val="20"/>
        </w:rPr>
        <w:t>Among</w:t>
      </w:r>
      <w:r w:rsidR="009571FA" w:rsidRPr="00202B63">
        <w:rPr>
          <w:i/>
          <w:sz w:val="22"/>
          <w:szCs w:val="20"/>
        </w:rPr>
        <w:t xml:space="preserve"> </w:t>
      </w:r>
      <w:r w:rsidR="009571FA" w:rsidRPr="00FD3A5B">
        <w:rPr>
          <w:b/>
          <w:sz w:val="22"/>
          <w:szCs w:val="20"/>
        </w:rPr>
        <w:t>all staff,</w:t>
      </w:r>
      <w:r w:rsidR="009571FA">
        <w:rPr>
          <w:sz w:val="22"/>
          <w:szCs w:val="20"/>
        </w:rPr>
        <w:t xml:space="preserve"> w</w:t>
      </w:r>
      <w:r w:rsidR="009571FA" w:rsidRPr="00DF0B33">
        <w:rPr>
          <w:sz w:val="22"/>
          <w:szCs w:val="20"/>
        </w:rPr>
        <w:t>omen</w:t>
      </w:r>
      <w:r w:rsidR="00D567B1">
        <w:rPr>
          <w:sz w:val="22"/>
          <w:szCs w:val="20"/>
        </w:rPr>
        <w:t xml:space="preserve"> </w:t>
      </w:r>
      <w:r w:rsidR="009571FA" w:rsidRPr="00DF0B33">
        <w:rPr>
          <w:sz w:val="22"/>
          <w:szCs w:val="20"/>
        </w:rPr>
        <w:t xml:space="preserve">comprised </w:t>
      </w:r>
      <w:r w:rsidR="009571FA" w:rsidRPr="00DF0B33">
        <w:rPr>
          <w:b/>
          <w:sz w:val="22"/>
          <w:szCs w:val="20"/>
        </w:rPr>
        <w:t>60%</w:t>
      </w:r>
      <w:r w:rsidR="00C460FB">
        <w:rPr>
          <w:b/>
          <w:sz w:val="22"/>
          <w:szCs w:val="20"/>
        </w:rPr>
        <w:t xml:space="preserve"> </w:t>
      </w:r>
      <w:r w:rsidR="00C460FB" w:rsidRPr="00C460FB">
        <w:rPr>
          <w:sz w:val="22"/>
          <w:szCs w:val="20"/>
        </w:rPr>
        <w:t>of the total</w:t>
      </w:r>
      <w:r w:rsidR="009571FA" w:rsidRPr="00C460FB">
        <w:rPr>
          <w:sz w:val="22"/>
          <w:szCs w:val="20"/>
        </w:rPr>
        <w:t>,</w:t>
      </w:r>
      <w:r w:rsidR="009571FA">
        <w:rPr>
          <w:sz w:val="22"/>
          <w:szCs w:val="20"/>
        </w:rPr>
        <w:t xml:space="preserve"> </w:t>
      </w:r>
      <w:r w:rsidR="009571FA" w:rsidRPr="00DF0B33">
        <w:rPr>
          <w:b/>
          <w:sz w:val="22"/>
          <w:szCs w:val="20"/>
        </w:rPr>
        <w:t>41%</w:t>
      </w:r>
      <w:r w:rsidR="009571FA" w:rsidRPr="00DF0B33">
        <w:rPr>
          <w:sz w:val="22"/>
          <w:szCs w:val="20"/>
        </w:rPr>
        <w:t xml:space="preserve"> of International Professionals, </w:t>
      </w:r>
      <w:r w:rsidR="009571FA" w:rsidRPr="00DF0B33">
        <w:rPr>
          <w:b/>
          <w:sz w:val="22"/>
          <w:szCs w:val="20"/>
        </w:rPr>
        <w:t>70%</w:t>
      </w:r>
      <w:r w:rsidR="009571FA" w:rsidRPr="00DF0B33">
        <w:rPr>
          <w:sz w:val="22"/>
          <w:szCs w:val="20"/>
        </w:rPr>
        <w:t xml:space="preserve"> of National Professional Officers, </w:t>
      </w:r>
      <w:r w:rsidR="009571FA" w:rsidRPr="00DF0B33">
        <w:rPr>
          <w:b/>
          <w:sz w:val="22"/>
          <w:szCs w:val="20"/>
        </w:rPr>
        <w:t>80%</w:t>
      </w:r>
      <w:r w:rsidR="009571FA" w:rsidRPr="00DF0B33">
        <w:rPr>
          <w:sz w:val="22"/>
          <w:szCs w:val="20"/>
        </w:rPr>
        <w:t xml:space="preserve"> of General Service staff, </w:t>
      </w:r>
      <w:r w:rsidR="009571FA" w:rsidRPr="00DF0B33">
        <w:rPr>
          <w:b/>
          <w:sz w:val="22"/>
          <w:szCs w:val="20"/>
        </w:rPr>
        <w:t>59%</w:t>
      </w:r>
      <w:r w:rsidR="00C460FB">
        <w:rPr>
          <w:sz w:val="22"/>
          <w:szCs w:val="20"/>
        </w:rPr>
        <w:t xml:space="preserve"> of</w:t>
      </w:r>
      <w:r w:rsidR="009571FA" w:rsidRPr="00DF0B33">
        <w:rPr>
          <w:sz w:val="22"/>
          <w:szCs w:val="20"/>
        </w:rPr>
        <w:t xml:space="preserve"> long-term appointments</w:t>
      </w:r>
      <w:r w:rsidR="009571FA" w:rsidRPr="00A06CF0">
        <w:rPr>
          <w:sz w:val="22"/>
          <w:szCs w:val="20"/>
        </w:rPr>
        <w:t>, and</w:t>
      </w:r>
      <w:r w:rsidR="009571FA">
        <w:rPr>
          <w:b/>
          <w:sz w:val="22"/>
          <w:szCs w:val="20"/>
        </w:rPr>
        <w:t xml:space="preserve"> </w:t>
      </w:r>
      <w:r w:rsidR="009571FA" w:rsidRPr="00DF0B33">
        <w:rPr>
          <w:b/>
          <w:sz w:val="22"/>
          <w:szCs w:val="20"/>
        </w:rPr>
        <w:t>60%</w:t>
      </w:r>
      <w:r w:rsidR="00C460FB">
        <w:rPr>
          <w:sz w:val="22"/>
          <w:szCs w:val="20"/>
        </w:rPr>
        <w:t xml:space="preserve"> of </w:t>
      </w:r>
      <w:r w:rsidR="009571FA" w:rsidRPr="00DF0B33">
        <w:rPr>
          <w:sz w:val="22"/>
          <w:szCs w:val="20"/>
        </w:rPr>
        <w:t>temporary recruitments</w:t>
      </w:r>
      <w:r w:rsidR="009571FA">
        <w:rPr>
          <w:sz w:val="22"/>
          <w:szCs w:val="20"/>
        </w:rPr>
        <w:t xml:space="preserve">. </w:t>
      </w:r>
      <w:r w:rsidR="009571FA" w:rsidRPr="00DF0B33">
        <w:rPr>
          <w:sz w:val="22"/>
          <w:szCs w:val="20"/>
        </w:rPr>
        <w:t xml:space="preserve">In other words, women outnumbered men in all </w:t>
      </w:r>
      <w:r w:rsidR="00C460FB">
        <w:rPr>
          <w:sz w:val="22"/>
          <w:szCs w:val="20"/>
        </w:rPr>
        <w:t xml:space="preserve">examined </w:t>
      </w:r>
      <w:r w:rsidR="009571FA" w:rsidRPr="00DF0B33">
        <w:rPr>
          <w:sz w:val="22"/>
          <w:szCs w:val="20"/>
        </w:rPr>
        <w:t>categories</w:t>
      </w:r>
      <w:r w:rsidR="009571FA">
        <w:rPr>
          <w:sz w:val="22"/>
          <w:szCs w:val="20"/>
        </w:rPr>
        <w:t xml:space="preserve">, </w:t>
      </w:r>
      <w:r w:rsidR="009571FA" w:rsidRPr="00DF0B33">
        <w:rPr>
          <w:sz w:val="22"/>
          <w:szCs w:val="20"/>
        </w:rPr>
        <w:t>except one</w:t>
      </w:r>
      <w:r w:rsidR="009571FA" w:rsidRPr="00DF0B33">
        <w:rPr>
          <w:i/>
          <w:sz w:val="22"/>
          <w:szCs w:val="20"/>
        </w:rPr>
        <w:t>: international professionals</w:t>
      </w:r>
      <w:r w:rsidR="009571FA">
        <w:rPr>
          <w:i/>
          <w:sz w:val="22"/>
          <w:szCs w:val="20"/>
        </w:rPr>
        <w:t xml:space="preserve"> (P)</w:t>
      </w:r>
      <w:r w:rsidR="009571FA" w:rsidRPr="00DF0B33">
        <w:rPr>
          <w:i/>
          <w:sz w:val="22"/>
          <w:szCs w:val="20"/>
        </w:rPr>
        <w:t xml:space="preserve">. </w:t>
      </w:r>
      <w:r w:rsidR="00C460FB" w:rsidRPr="00C460FB">
        <w:rPr>
          <w:sz w:val="22"/>
          <w:szCs w:val="20"/>
        </w:rPr>
        <w:t>Within</w:t>
      </w:r>
      <w:r w:rsidR="009571FA" w:rsidRPr="00C460FB">
        <w:rPr>
          <w:sz w:val="22"/>
          <w:szCs w:val="20"/>
        </w:rPr>
        <w:t xml:space="preserve"> </w:t>
      </w:r>
      <w:r w:rsidR="009571FA" w:rsidRPr="00DF0B33">
        <w:rPr>
          <w:sz w:val="22"/>
          <w:szCs w:val="20"/>
        </w:rPr>
        <w:t>P</w:t>
      </w:r>
      <w:r w:rsidR="009571FA">
        <w:rPr>
          <w:sz w:val="22"/>
          <w:szCs w:val="20"/>
        </w:rPr>
        <w:t>s</w:t>
      </w:r>
      <w:r w:rsidR="009571FA" w:rsidRPr="00DF0B33">
        <w:rPr>
          <w:sz w:val="22"/>
          <w:szCs w:val="20"/>
        </w:rPr>
        <w:t>, w</w:t>
      </w:r>
      <w:r w:rsidR="009571FA" w:rsidRPr="00DF0B33">
        <w:rPr>
          <w:sz w:val="22"/>
        </w:rPr>
        <w:t>omen</w:t>
      </w:r>
      <w:r w:rsidR="009571FA">
        <w:rPr>
          <w:sz w:val="22"/>
        </w:rPr>
        <w:t xml:space="preserve"> outnumbered </w:t>
      </w:r>
      <w:r w:rsidR="009571FA" w:rsidRPr="00DF0B33">
        <w:rPr>
          <w:sz w:val="22"/>
        </w:rPr>
        <w:t xml:space="preserve">men in the two extremes of the scale: </w:t>
      </w:r>
      <w:r w:rsidR="009571FA">
        <w:rPr>
          <w:sz w:val="22"/>
        </w:rPr>
        <w:t xml:space="preserve">in </w:t>
      </w:r>
      <w:r w:rsidR="009571FA" w:rsidRPr="00DF0B33">
        <w:rPr>
          <w:sz w:val="22"/>
        </w:rPr>
        <w:t xml:space="preserve">the two lowest grades (P1 and P2) and </w:t>
      </w:r>
      <w:r w:rsidR="009571FA">
        <w:rPr>
          <w:sz w:val="22"/>
        </w:rPr>
        <w:t xml:space="preserve">in </w:t>
      </w:r>
      <w:r w:rsidR="009571FA" w:rsidRPr="00DF0B33">
        <w:rPr>
          <w:sz w:val="22"/>
        </w:rPr>
        <w:t>the top managerial positions (UG)</w:t>
      </w:r>
      <w:r w:rsidR="009571FA">
        <w:rPr>
          <w:sz w:val="22"/>
        </w:rPr>
        <w:t xml:space="preserve"> </w:t>
      </w:r>
      <w:r w:rsidR="009571FA" w:rsidRPr="00DF0B33">
        <w:rPr>
          <w:sz w:val="22"/>
        </w:rPr>
        <w:t>- Regional, Assistant, and Deputy</w:t>
      </w:r>
      <w:r w:rsidR="009571FA">
        <w:rPr>
          <w:sz w:val="22"/>
        </w:rPr>
        <w:t xml:space="preserve"> Directors</w:t>
      </w:r>
      <w:r w:rsidR="009571FA" w:rsidRPr="00DF0B33">
        <w:rPr>
          <w:sz w:val="22"/>
        </w:rPr>
        <w:t>—</w:t>
      </w:r>
      <w:r w:rsidR="009571FA">
        <w:rPr>
          <w:sz w:val="22"/>
        </w:rPr>
        <w:t xml:space="preserve">all </w:t>
      </w:r>
      <w:r w:rsidR="009571FA" w:rsidRPr="00DF0B33">
        <w:rPr>
          <w:sz w:val="22"/>
        </w:rPr>
        <w:t xml:space="preserve">occupied by women. </w:t>
      </w:r>
      <w:r w:rsidR="009571FA">
        <w:rPr>
          <w:sz w:val="22"/>
        </w:rPr>
        <w:t>However,</w:t>
      </w:r>
      <w:r w:rsidR="009571FA" w:rsidRPr="00DF0B33">
        <w:rPr>
          <w:sz w:val="22"/>
        </w:rPr>
        <w:t xml:space="preserve"> women were underrepresented at professional ranks higher than P2,</w:t>
      </w:r>
      <w:r w:rsidR="00D567B1">
        <w:rPr>
          <w:sz w:val="22"/>
        </w:rPr>
        <w:t xml:space="preserve"> </w:t>
      </w:r>
      <w:r w:rsidR="009571FA" w:rsidRPr="00DF0B33">
        <w:rPr>
          <w:sz w:val="22"/>
        </w:rPr>
        <w:t>among D</w:t>
      </w:r>
      <w:r w:rsidR="009571FA">
        <w:rPr>
          <w:sz w:val="22"/>
        </w:rPr>
        <w:t xml:space="preserve">s and long-term professionals. </w:t>
      </w:r>
      <w:r w:rsidR="002F01E0">
        <w:rPr>
          <w:sz w:val="22"/>
        </w:rPr>
        <w:t>Regarding</w:t>
      </w:r>
      <w:r w:rsidR="009571FA">
        <w:rPr>
          <w:sz w:val="22"/>
        </w:rPr>
        <w:t xml:space="preserve"> </w:t>
      </w:r>
      <w:r w:rsidR="009571FA" w:rsidRPr="00FD3A5B">
        <w:rPr>
          <w:b/>
          <w:sz w:val="22"/>
          <w:szCs w:val="20"/>
        </w:rPr>
        <w:t>new appointments,</w:t>
      </w:r>
      <w:r w:rsidR="009571FA">
        <w:rPr>
          <w:i/>
          <w:sz w:val="22"/>
          <w:szCs w:val="20"/>
        </w:rPr>
        <w:t xml:space="preserve"> </w:t>
      </w:r>
      <w:r w:rsidR="009571FA">
        <w:rPr>
          <w:sz w:val="22"/>
          <w:szCs w:val="20"/>
        </w:rPr>
        <w:t xml:space="preserve">women predominated in all categories except P at the country </w:t>
      </w:r>
      <w:r w:rsidR="009A6F78">
        <w:rPr>
          <w:sz w:val="22"/>
          <w:szCs w:val="20"/>
        </w:rPr>
        <w:t>level</w:t>
      </w:r>
      <w:r w:rsidR="00FD3A5B">
        <w:rPr>
          <w:sz w:val="22"/>
          <w:szCs w:val="20"/>
        </w:rPr>
        <w:t xml:space="preserve"> </w:t>
      </w:r>
      <w:r w:rsidR="009F4B85">
        <w:rPr>
          <w:sz w:val="22"/>
          <w:szCs w:val="20"/>
        </w:rPr>
        <w:t>and long- term contracts</w:t>
      </w:r>
      <w:r w:rsidR="009571FA">
        <w:rPr>
          <w:sz w:val="22"/>
          <w:szCs w:val="20"/>
        </w:rPr>
        <w:t xml:space="preserve">. Although overall </w:t>
      </w:r>
      <w:r w:rsidR="00D567B1" w:rsidRPr="00D567B1">
        <w:rPr>
          <w:b/>
          <w:sz w:val="22"/>
          <w:szCs w:val="20"/>
        </w:rPr>
        <w:t>professional</w:t>
      </w:r>
      <w:r w:rsidR="00D567B1">
        <w:rPr>
          <w:sz w:val="22"/>
          <w:szCs w:val="20"/>
        </w:rPr>
        <w:t xml:space="preserve"> </w:t>
      </w:r>
      <w:r w:rsidR="009571FA" w:rsidRPr="009662FC">
        <w:rPr>
          <w:b/>
          <w:sz w:val="22"/>
          <w:szCs w:val="20"/>
        </w:rPr>
        <w:t>sex</w:t>
      </w:r>
      <w:r w:rsidR="009571FA" w:rsidRPr="009662FC">
        <w:rPr>
          <w:b/>
          <w:sz w:val="22"/>
        </w:rPr>
        <w:t xml:space="preserve"> </w:t>
      </w:r>
      <w:r w:rsidR="009571FA" w:rsidRPr="00DF0B33">
        <w:rPr>
          <w:b/>
          <w:sz w:val="22"/>
        </w:rPr>
        <w:t>parity was reached at</w:t>
      </w:r>
      <w:r w:rsidR="009571FA" w:rsidRPr="00DF0B33">
        <w:rPr>
          <w:b/>
          <w:sz w:val="22"/>
          <w:szCs w:val="22"/>
        </w:rPr>
        <w:t xml:space="preserve"> PAHO/HQ</w:t>
      </w:r>
      <w:r w:rsidR="009571FA">
        <w:rPr>
          <w:b/>
          <w:sz w:val="22"/>
          <w:szCs w:val="22"/>
        </w:rPr>
        <w:t>,</w:t>
      </w:r>
      <w:r w:rsidR="009571FA">
        <w:rPr>
          <w:sz w:val="22"/>
          <w:szCs w:val="22"/>
        </w:rPr>
        <w:t xml:space="preserve"> women</w:t>
      </w:r>
      <w:r w:rsidR="009571FA" w:rsidRPr="00DF0B33">
        <w:rPr>
          <w:sz w:val="22"/>
          <w:szCs w:val="22"/>
        </w:rPr>
        <w:t xml:space="preserve"> </w:t>
      </w:r>
      <w:r w:rsidR="009571FA">
        <w:rPr>
          <w:sz w:val="22"/>
          <w:szCs w:val="22"/>
        </w:rPr>
        <w:t>made up</w:t>
      </w:r>
      <w:r w:rsidR="009571FA" w:rsidRPr="00DF0B33">
        <w:rPr>
          <w:sz w:val="22"/>
          <w:szCs w:val="22"/>
        </w:rPr>
        <w:t xml:space="preserve"> </w:t>
      </w:r>
      <w:r w:rsidR="009571FA">
        <w:rPr>
          <w:sz w:val="22"/>
          <w:szCs w:val="22"/>
        </w:rPr>
        <w:t xml:space="preserve">only </w:t>
      </w:r>
      <w:r w:rsidR="009571FA" w:rsidRPr="00DF0B33">
        <w:rPr>
          <w:sz w:val="22"/>
          <w:szCs w:val="22"/>
        </w:rPr>
        <w:t>30%</w:t>
      </w:r>
      <w:r w:rsidR="009571FA">
        <w:rPr>
          <w:sz w:val="22"/>
          <w:szCs w:val="22"/>
        </w:rPr>
        <w:t xml:space="preserve"> of P staff</w:t>
      </w:r>
      <w:r w:rsidR="005F1B3F" w:rsidRPr="005F1B3F">
        <w:rPr>
          <w:sz w:val="22"/>
          <w:szCs w:val="22"/>
        </w:rPr>
        <w:t xml:space="preserve"> </w:t>
      </w:r>
      <w:r w:rsidR="005F1B3F">
        <w:rPr>
          <w:sz w:val="22"/>
          <w:szCs w:val="22"/>
        </w:rPr>
        <w:t xml:space="preserve">at </w:t>
      </w:r>
      <w:r w:rsidR="009A6F78">
        <w:rPr>
          <w:sz w:val="22"/>
          <w:szCs w:val="22"/>
        </w:rPr>
        <w:t>country offices (</w:t>
      </w:r>
      <w:r w:rsidR="005F1B3F">
        <w:rPr>
          <w:sz w:val="22"/>
          <w:szCs w:val="22"/>
        </w:rPr>
        <w:t>CO</w:t>
      </w:r>
      <w:r w:rsidR="009A6F78">
        <w:rPr>
          <w:sz w:val="22"/>
          <w:szCs w:val="22"/>
        </w:rPr>
        <w:t>)</w:t>
      </w:r>
      <w:r w:rsidR="009571FA" w:rsidRPr="00DF0B33">
        <w:rPr>
          <w:sz w:val="22"/>
          <w:szCs w:val="22"/>
        </w:rPr>
        <w:t xml:space="preserve">.  </w:t>
      </w:r>
      <w:r w:rsidR="009571FA" w:rsidRPr="00FD3A5B">
        <w:rPr>
          <w:sz w:val="22"/>
          <w:szCs w:val="22"/>
        </w:rPr>
        <w:t xml:space="preserve">P4 stood out as the </w:t>
      </w:r>
      <w:r w:rsidR="00D567B1">
        <w:rPr>
          <w:sz w:val="22"/>
          <w:szCs w:val="22"/>
        </w:rPr>
        <w:t>rank</w:t>
      </w:r>
      <w:r w:rsidR="009571FA" w:rsidRPr="00FD3A5B">
        <w:rPr>
          <w:sz w:val="22"/>
          <w:szCs w:val="22"/>
        </w:rPr>
        <w:t xml:space="preserve"> with </w:t>
      </w:r>
      <w:r w:rsidR="00D567B1">
        <w:rPr>
          <w:sz w:val="22"/>
          <w:szCs w:val="22"/>
        </w:rPr>
        <w:t xml:space="preserve">the </w:t>
      </w:r>
      <w:r w:rsidR="009571FA" w:rsidRPr="00FD3A5B">
        <w:rPr>
          <w:sz w:val="22"/>
          <w:szCs w:val="22"/>
        </w:rPr>
        <w:t xml:space="preserve">lowest female representation </w:t>
      </w:r>
      <w:r w:rsidR="00D567B1">
        <w:rPr>
          <w:sz w:val="22"/>
          <w:szCs w:val="22"/>
        </w:rPr>
        <w:t xml:space="preserve">both, </w:t>
      </w:r>
      <w:r w:rsidR="00C460FB" w:rsidRPr="00FD3A5B">
        <w:rPr>
          <w:sz w:val="22"/>
          <w:szCs w:val="22"/>
        </w:rPr>
        <w:t>among</w:t>
      </w:r>
      <w:r w:rsidR="00FD3A5B">
        <w:rPr>
          <w:sz w:val="22"/>
          <w:szCs w:val="22"/>
        </w:rPr>
        <w:t xml:space="preserve"> all active staff </w:t>
      </w:r>
      <w:r w:rsidR="00C460FB" w:rsidRPr="00FD3A5B">
        <w:rPr>
          <w:sz w:val="22"/>
          <w:szCs w:val="22"/>
        </w:rPr>
        <w:t>and</w:t>
      </w:r>
      <w:r w:rsidR="00EE0182" w:rsidRPr="00FD3A5B">
        <w:rPr>
          <w:sz w:val="22"/>
          <w:szCs w:val="22"/>
        </w:rPr>
        <w:t xml:space="preserve"> new appointments</w:t>
      </w:r>
      <w:r w:rsidR="003871FF">
        <w:rPr>
          <w:sz w:val="22"/>
          <w:szCs w:val="22"/>
        </w:rPr>
        <w:t xml:space="preserve"> in 2007</w:t>
      </w:r>
      <w:r w:rsidR="00EE0182" w:rsidRPr="00FD3A5B">
        <w:rPr>
          <w:sz w:val="22"/>
          <w:szCs w:val="22"/>
        </w:rPr>
        <w:t>.</w:t>
      </w:r>
      <w:r w:rsidR="00AD55D7" w:rsidRPr="00FD3A5B">
        <w:rPr>
          <w:sz w:val="22"/>
          <w:szCs w:val="22"/>
        </w:rPr>
        <w:t xml:space="preserve">                                                                                                                                                                                                                                                                                                                                                                                                                                      </w:t>
      </w:r>
      <w:r w:rsidR="00EE0182" w:rsidRPr="00FD3A5B">
        <w:rPr>
          <w:sz w:val="22"/>
          <w:szCs w:val="22"/>
        </w:rPr>
        <w:t xml:space="preserve">                            </w:t>
      </w:r>
    </w:p>
    <w:p w:rsidR="009571FA" w:rsidRPr="0041450A" w:rsidRDefault="009571FA" w:rsidP="00F96587">
      <w:pPr>
        <w:ind w:right="-540"/>
        <w:rPr>
          <w:rFonts w:cs="Arial"/>
          <w:b/>
          <w:iCs/>
          <w:sz w:val="14"/>
        </w:rPr>
      </w:pPr>
    </w:p>
    <w:p w:rsidR="009571FA" w:rsidRDefault="00E25C52" w:rsidP="00F96587">
      <w:pPr>
        <w:ind w:right="-540"/>
        <w:rPr>
          <w:rFonts w:cs="Arial"/>
          <w:bCs/>
          <w:color w:val="000000"/>
          <w:sz w:val="22"/>
          <w:szCs w:val="22"/>
        </w:rPr>
      </w:pPr>
      <w:r>
        <w:rPr>
          <w:rFonts w:cs="Arial"/>
          <w:b/>
          <w:iCs/>
          <w:sz w:val="22"/>
        </w:rPr>
        <w:t xml:space="preserve">   </w:t>
      </w:r>
      <w:r w:rsidR="009571FA" w:rsidRPr="00CA1231">
        <w:rPr>
          <w:rFonts w:cs="Arial"/>
          <w:b/>
          <w:iCs/>
          <w:sz w:val="22"/>
        </w:rPr>
        <w:t xml:space="preserve">3. </w:t>
      </w:r>
      <w:r w:rsidR="009571FA">
        <w:rPr>
          <w:rFonts w:cs="Arial"/>
          <w:b/>
          <w:iCs/>
          <w:sz w:val="22"/>
        </w:rPr>
        <w:t xml:space="preserve">  </w:t>
      </w:r>
      <w:r w:rsidR="009F4B85">
        <w:rPr>
          <w:rFonts w:cs="Arial"/>
          <w:b/>
          <w:iCs/>
          <w:sz w:val="22"/>
        </w:rPr>
        <w:t>P</w:t>
      </w:r>
      <w:r w:rsidR="009571FA" w:rsidRPr="00CA1231">
        <w:rPr>
          <w:rFonts w:cs="Arial"/>
          <w:b/>
          <w:iCs/>
          <w:sz w:val="22"/>
        </w:rPr>
        <w:t xml:space="preserve">romoting </w:t>
      </w:r>
      <w:r w:rsidR="009F4B85">
        <w:rPr>
          <w:rFonts w:cs="Arial"/>
          <w:b/>
          <w:iCs/>
          <w:sz w:val="22"/>
        </w:rPr>
        <w:t xml:space="preserve">or </w:t>
      </w:r>
      <w:r w:rsidR="009571FA" w:rsidRPr="00CA1231">
        <w:rPr>
          <w:rFonts w:cs="Arial"/>
          <w:b/>
          <w:iCs/>
          <w:sz w:val="22"/>
        </w:rPr>
        <w:t>us</w:t>
      </w:r>
      <w:r w:rsidR="009F4B85">
        <w:rPr>
          <w:rFonts w:cs="Arial"/>
          <w:b/>
          <w:iCs/>
          <w:sz w:val="22"/>
        </w:rPr>
        <w:t>ing</w:t>
      </w:r>
      <w:r w:rsidR="009571FA" w:rsidRPr="00CA1231">
        <w:rPr>
          <w:rFonts w:cs="Arial"/>
          <w:b/>
          <w:iCs/>
          <w:sz w:val="22"/>
        </w:rPr>
        <w:t xml:space="preserve"> sex-disaggregated data and gender analysis (SD3)</w:t>
      </w:r>
      <w:r w:rsidR="00EE0182">
        <w:rPr>
          <w:rFonts w:cs="Arial"/>
          <w:b/>
          <w:iCs/>
          <w:sz w:val="22"/>
        </w:rPr>
        <w:t>:</w:t>
      </w:r>
      <w:r w:rsidR="009F4B85">
        <w:rPr>
          <w:rFonts w:cs="Arial"/>
          <w:b/>
          <w:iCs/>
          <w:sz w:val="22"/>
        </w:rPr>
        <w:t xml:space="preserve"> </w:t>
      </w:r>
      <w:r w:rsidR="000E6D16" w:rsidRPr="000E6D16">
        <w:rPr>
          <w:rFonts w:cs="Arial"/>
          <w:iCs/>
          <w:sz w:val="22"/>
        </w:rPr>
        <w:t>Two of the</w:t>
      </w:r>
      <w:r w:rsidR="000E6D16">
        <w:rPr>
          <w:rFonts w:cs="Arial"/>
          <w:b/>
          <w:iCs/>
          <w:sz w:val="22"/>
        </w:rPr>
        <w:t xml:space="preserve"> </w:t>
      </w:r>
      <w:r w:rsidR="000E6D16" w:rsidRPr="000E6D16">
        <w:rPr>
          <w:rFonts w:cs="Arial"/>
          <w:iCs/>
          <w:sz w:val="22"/>
        </w:rPr>
        <w:t>four types of</w:t>
      </w:r>
      <w:r w:rsidR="000E6D16">
        <w:rPr>
          <w:rFonts w:cs="Arial"/>
          <w:b/>
          <w:iCs/>
          <w:sz w:val="22"/>
        </w:rPr>
        <w:t xml:space="preserve"> </w:t>
      </w:r>
      <w:r w:rsidR="000E6D16" w:rsidRPr="000E6D16">
        <w:rPr>
          <w:rFonts w:cs="Arial"/>
          <w:iCs/>
          <w:sz w:val="22"/>
        </w:rPr>
        <w:t>sampled doc</w:t>
      </w:r>
      <w:r w:rsidR="000E6D16">
        <w:rPr>
          <w:rFonts w:cs="Arial"/>
          <w:iCs/>
          <w:sz w:val="22"/>
        </w:rPr>
        <w:t xml:space="preserve">uments promoted/used SDD and strongly promoted/used gender analysis. </w:t>
      </w:r>
      <w:r w:rsidR="00BA677D" w:rsidRPr="00BA677D">
        <w:rPr>
          <w:rFonts w:cs="Arial"/>
          <w:iCs/>
          <w:sz w:val="22"/>
        </w:rPr>
        <w:t>A</w:t>
      </w:r>
      <w:r w:rsidR="00BA677D">
        <w:rPr>
          <w:rFonts w:cs="Arial"/>
          <w:b/>
          <w:iCs/>
          <w:sz w:val="22"/>
        </w:rPr>
        <w:t xml:space="preserve"> </w:t>
      </w:r>
      <w:r w:rsidR="00D567B1">
        <w:rPr>
          <w:rFonts w:cs="Arial"/>
          <w:iCs/>
          <w:sz w:val="22"/>
        </w:rPr>
        <w:t>content analysis of</w:t>
      </w:r>
      <w:r w:rsidR="000E6D16">
        <w:rPr>
          <w:rFonts w:cs="Arial"/>
          <w:iCs/>
          <w:sz w:val="22"/>
        </w:rPr>
        <w:t xml:space="preserve"> the </w:t>
      </w:r>
      <w:r w:rsidR="00D567B1">
        <w:rPr>
          <w:rFonts w:cs="Arial"/>
          <w:iCs/>
          <w:sz w:val="22"/>
        </w:rPr>
        <w:t>four types of publications</w:t>
      </w:r>
      <w:r w:rsidR="00BA677D">
        <w:rPr>
          <w:rFonts w:cs="Arial"/>
          <w:iCs/>
          <w:sz w:val="22"/>
        </w:rPr>
        <w:t xml:space="preserve"> </w:t>
      </w:r>
      <w:r w:rsidR="00D567B1">
        <w:rPr>
          <w:rFonts w:cs="Arial"/>
          <w:iCs/>
          <w:sz w:val="22"/>
        </w:rPr>
        <w:t xml:space="preserve">indicated a </w:t>
      </w:r>
      <w:r w:rsidR="009571FA" w:rsidRPr="00E44F12">
        <w:rPr>
          <w:sz w:val="22"/>
        </w:rPr>
        <w:t>wide variation</w:t>
      </w:r>
      <w:r w:rsidR="009571FA">
        <w:rPr>
          <w:sz w:val="22"/>
        </w:rPr>
        <w:t xml:space="preserve"> </w:t>
      </w:r>
      <w:r w:rsidR="00BA677D">
        <w:rPr>
          <w:sz w:val="22"/>
        </w:rPr>
        <w:t xml:space="preserve">in this </w:t>
      </w:r>
      <w:r w:rsidR="00503168">
        <w:rPr>
          <w:sz w:val="22"/>
        </w:rPr>
        <w:t>respect</w:t>
      </w:r>
      <w:r w:rsidR="00BA677D">
        <w:rPr>
          <w:sz w:val="22"/>
        </w:rPr>
        <w:t xml:space="preserve"> </w:t>
      </w:r>
      <w:r w:rsidR="009571FA">
        <w:rPr>
          <w:sz w:val="22"/>
        </w:rPr>
        <w:t xml:space="preserve">among the </w:t>
      </w:r>
      <w:r w:rsidR="00D567B1">
        <w:rPr>
          <w:sz w:val="22"/>
        </w:rPr>
        <w:t xml:space="preserve">selected </w:t>
      </w:r>
      <w:r w:rsidR="009571FA">
        <w:rPr>
          <w:sz w:val="22"/>
        </w:rPr>
        <w:t>documents</w:t>
      </w:r>
      <w:r w:rsidR="00503168">
        <w:rPr>
          <w:sz w:val="22"/>
        </w:rPr>
        <w:t xml:space="preserve">, </w:t>
      </w:r>
      <w:r w:rsidR="00BA677D">
        <w:rPr>
          <w:sz w:val="22"/>
        </w:rPr>
        <w:t>and even among sections of the same document</w:t>
      </w:r>
      <w:r w:rsidR="009571FA">
        <w:rPr>
          <w:sz w:val="22"/>
        </w:rPr>
        <w:t xml:space="preserve">. </w:t>
      </w:r>
      <w:r w:rsidR="00503168">
        <w:rPr>
          <w:sz w:val="22"/>
        </w:rPr>
        <w:t>T</w:t>
      </w:r>
      <w:r w:rsidR="009571FA">
        <w:rPr>
          <w:sz w:val="22"/>
        </w:rPr>
        <w:t xml:space="preserve">he </w:t>
      </w:r>
      <w:r w:rsidR="00FD3A5B">
        <w:rPr>
          <w:sz w:val="22"/>
        </w:rPr>
        <w:t xml:space="preserve">overall </w:t>
      </w:r>
      <w:r w:rsidR="009F4B85">
        <w:rPr>
          <w:sz w:val="22"/>
        </w:rPr>
        <w:t>scores fluctuated between</w:t>
      </w:r>
      <w:r w:rsidR="009F4B85" w:rsidRPr="00503168">
        <w:rPr>
          <w:i/>
          <w:sz w:val="22"/>
        </w:rPr>
        <w:t xml:space="preserve"> </w:t>
      </w:r>
      <w:r w:rsidR="00503168" w:rsidRPr="00503168">
        <w:rPr>
          <w:i/>
          <w:sz w:val="22"/>
        </w:rPr>
        <w:t>high</w:t>
      </w:r>
      <w:r w:rsidR="00503168">
        <w:rPr>
          <w:sz w:val="22"/>
        </w:rPr>
        <w:t xml:space="preserve"> </w:t>
      </w:r>
      <w:r w:rsidR="009571FA">
        <w:rPr>
          <w:sz w:val="22"/>
        </w:rPr>
        <w:t xml:space="preserve">for </w:t>
      </w:r>
      <w:r w:rsidR="00EE0182">
        <w:rPr>
          <w:sz w:val="22"/>
        </w:rPr>
        <w:t xml:space="preserve">the </w:t>
      </w:r>
      <w:r w:rsidR="00EE0182" w:rsidRPr="00BA677D">
        <w:rPr>
          <w:b/>
          <w:sz w:val="22"/>
        </w:rPr>
        <w:t>“evidence”</w:t>
      </w:r>
      <w:r w:rsidR="00EE0182">
        <w:rPr>
          <w:sz w:val="22"/>
        </w:rPr>
        <w:t xml:space="preserve"> </w:t>
      </w:r>
      <w:r w:rsidR="00D73207">
        <w:rPr>
          <w:sz w:val="22"/>
        </w:rPr>
        <w:t xml:space="preserve">type </w:t>
      </w:r>
      <w:r w:rsidR="00BA677D">
        <w:rPr>
          <w:sz w:val="22"/>
        </w:rPr>
        <w:t>publication</w:t>
      </w:r>
      <w:r w:rsidR="00503168">
        <w:rPr>
          <w:sz w:val="22"/>
        </w:rPr>
        <w:t xml:space="preserve"> and the Regional Volume</w:t>
      </w:r>
      <w:r w:rsidR="00D73207">
        <w:rPr>
          <w:sz w:val="22"/>
        </w:rPr>
        <w:t xml:space="preserve"> 1 of the </w:t>
      </w:r>
      <w:r w:rsidR="00D73207" w:rsidRPr="00BA677D">
        <w:rPr>
          <w:b/>
          <w:sz w:val="22"/>
        </w:rPr>
        <w:t>“seminal”</w:t>
      </w:r>
      <w:r w:rsidR="00D73207">
        <w:rPr>
          <w:sz w:val="22"/>
        </w:rPr>
        <w:t xml:space="preserve"> </w:t>
      </w:r>
      <w:r w:rsidR="009571FA">
        <w:rPr>
          <w:sz w:val="22"/>
        </w:rPr>
        <w:t xml:space="preserve">PAHO’s flagship publication </w:t>
      </w:r>
      <w:r w:rsidR="00BA677D">
        <w:rPr>
          <w:sz w:val="22"/>
        </w:rPr>
        <w:t>“</w:t>
      </w:r>
      <w:r w:rsidR="009571FA">
        <w:rPr>
          <w:i/>
          <w:sz w:val="22"/>
        </w:rPr>
        <w:t>Health in th</w:t>
      </w:r>
      <w:r w:rsidR="009F4B85">
        <w:rPr>
          <w:i/>
          <w:sz w:val="22"/>
        </w:rPr>
        <w:t>e Americas 2007</w:t>
      </w:r>
      <w:r w:rsidR="00D73207">
        <w:rPr>
          <w:i/>
          <w:sz w:val="22"/>
        </w:rPr>
        <w:t>;</w:t>
      </w:r>
      <w:r w:rsidR="00D73207">
        <w:rPr>
          <w:sz w:val="22"/>
        </w:rPr>
        <w:t xml:space="preserve"> </w:t>
      </w:r>
      <w:r w:rsidR="00503168" w:rsidRPr="00503168">
        <w:rPr>
          <w:i/>
          <w:sz w:val="22"/>
        </w:rPr>
        <w:t>medium</w:t>
      </w:r>
      <w:r w:rsidR="00503168">
        <w:rPr>
          <w:sz w:val="22"/>
        </w:rPr>
        <w:t xml:space="preserve"> for the Countries Volume 2 of the same publication; and</w:t>
      </w:r>
      <w:r w:rsidR="00503168" w:rsidRPr="00503168">
        <w:rPr>
          <w:i/>
          <w:sz w:val="22"/>
        </w:rPr>
        <w:t xml:space="preserve"> low</w:t>
      </w:r>
      <w:r w:rsidR="00503168">
        <w:rPr>
          <w:sz w:val="22"/>
        </w:rPr>
        <w:t xml:space="preserve"> </w:t>
      </w:r>
      <w:r w:rsidR="00D73207">
        <w:rPr>
          <w:sz w:val="22"/>
        </w:rPr>
        <w:t xml:space="preserve">for </w:t>
      </w:r>
      <w:r w:rsidR="00FD3A5B">
        <w:rPr>
          <w:sz w:val="22"/>
        </w:rPr>
        <w:t>t</w:t>
      </w:r>
      <w:r w:rsidR="00BA677D">
        <w:rPr>
          <w:sz w:val="22"/>
        </w:rPr>
        <w:t xml:space="preserve">wo very </w:t>
      </w:r>
      <w:r w:rsidR="009E062A">
        <w:rPr>
          <w:sz w:val="22"/>
        </w:rPr>
        <w:t>important “</w:t>
      </w:r>
      <w:r w:rsidR="00D73207" w:rsidRPr="00BA677D">
        <w:rPr>
          <w:b/>
          <w:sz w:val="22"/>
        </w:rPr>
        <w:t>policy”</w:t>
      </w:r>
      <w:r w:rsidR="00D73207">
        <w:rPr>
          <w:sz w:val="22"/>
        </w:rPr>
        <w:t xml:space="preserve"> and </w:t>
      </w:r>
      <w:r w:rsidR="00D73207" w:rsidRPr="00BA677D">
        <w:rPr>
          <w:b/>
          <w:sz w:val="22"/>
        </w:rPr>
        <w:t>“normative”</w:t>
      </w:r>
      <w:r w:rsidR="00D73207">
        <w:rPr>
          <w:sz w:val="22"/>
        </w:rPr>
        <w:t xml:space="preserve"> documents</w:t>
      </w:r>
      <w:r w:rsidR="00503168">
        <w:rPr>
          <w:sz w:val="22"/>
        </w:rPr>
        <w:t>.</w:t>
      </w:r>
    </w:p>
    <w:p w:rsidR="009571FA" w:rsidRPr="0041450A" w:rsidRDefault="009571FA" w:rsidP="00F96587">
      <w:pPr>
        <w:ind w:right="-540"/>
        <w:rPr>
          <w:rFonts w:cs="Arial"/>
          <w:bCs/>
          <w:color w:val="000000"/>
          <w:sz w:val="14"/>
          <w:szCs w:val="22"/>
        </w:rPr>
      </w:pPr>
    </w:p>
    <w:p w:rsidR="009571FA" w:rsidRDefault="00E25C52" w:rsidP="00F96587">
      <w:pPr>
        <w:ind w:right="-540"/>
        <w:rPr>
          <w:rFonts w:cs="Arial"/>
          <w:bCs/>
          <w:sz w:val="22"/>
        </w:rPr>
      </w:pPr>
      <w:r>
        <w:rPr>
          <w:rFonts w:cs="Arial"/>
          <w:b/>
          <w:bCs/>
          <w:sz w:val="22"/>
        </w:rPr>
        <w:t xml:space="preserve">    </w:t>
      </w:r>
      <w:r w:rsidR="009571FA" w:rsidRPr="00CA1231">
        <w:rPr>
          <w:rFonts w:cs="Arial"/>
          <w:b/>
          <w:bCs/>
          <w:sz w:val="22"/>
        </w:rPr>
        <w:t xml:space="preserve">4. </w:t>
      </w:r>
      <w:r w:rsidR="009F4B85">
        <w:rPr>
          <w:rFonts w:cs="Arial"/>
          <w:b/>
          <w:bCs/>
          <w:sz w:val="22"/>
        </w:rPr>
        <w:t xml:space="preserve">  E</w:t>
      </w:r>
      <w:r w:rsidR="009571FA">
        <w:rPr>
          <w:rFonts w:cs="Arial"/>
          <w:b/>
          <w:bCs/>
          <w:sz w:val="22"/>
        </w:rPr>
        <w:t>stablishing a</w:t>
      </w:r>
      <w:r w:rsidR="009571FA" w:rsidRPr="00CA1231">
        <w:rPr>
          <w:rFonts w:cs="Arial"/>
          <w:b/>
          <w:bCs/>
          <w:sz w:val="22"/>
        </w:rPr>
        <w:t>ccountability from the Senior Management (SD4)</w:t>
      </w:r>
      <w:r w:rsidR="00D73207">
        <w:rPr>
          <w:rFonts w:cs="Arial"/>
          <w:b/>
          <w:bCs/>
          <w:sz w:val="22"/>
        </w:rPr>
        <w:t>:</w:t>
      </w:r>
      <w:r w:rsidR="009F4B85">
        <w:rPr>
          <w:rFonts w:cs="Arial"/>
          <w:b/>
          <w:bCs/>
          <w:sz w:val="22"/>
        </w:rPr>
        <w:t xml:space="preserve"> </w:t>
      </w:r>
      <w:r w:rsidR="009F4B85" w:rsidRPr="00D73207">
        <w:rPr>
          <w:rFonts w:cs="Arial"/>
          <w:bCs/>
          <w:sz w:val="22"/>
        </w:rPr>
        <w:t>Th</w:t>
      </w:r>
      <w:r w:rsidR="009571FA">
        <w:rPr>
          <w:rFonts w:cs="Arial"/>
          <w:sz w:val="22"/>
          <w:szCs w:val="22"/>
        </w:rPr>
        <w:t xml:space="preserve">e </w:t>
      </w:r>
      <w:r w:rsidR="00D73207">
        <w:rPr>
          <w:rFonts w:cs="Arial"/>
          <w:sz w:val="22"/>
          <w:szCs w:val="22"/>
        </w:rPr>
        <w:t xml:space="preserve">selected indicator was reflection of gender in </w:t>
      </w:r>
      <w:r w:rsidR="009571FA">
        <w:rPr>
          <w:rFonts w:cs="Arial"/>
          <w:sz w:val="22"/>
          <w:szCs w:val="22"/>
        </w:rPr>
        <w:t>selected speeches</w:t>
      </w:r>
      <w:r w:rsidR="009571FA">
        <w:rPr>
          <w:rFonts w:cs="Arial"/>
          <w:bCs/>
          <w:sz w:val="22"/>
        </w:rPr>
        <w:t xml:space="preserve"> given by the PAHO Director in 2007</w:t>
      </w:r>
      <w:r w:rsidR="009571FA">
        <w:rPr>
          <w:rFonts w:cs="Arial"/>
          <w:sz w:val="22"/>
          <w:szCs w:val="22"/>
        </w:rPr>
        <w:t xml:space="preserve">. </w:t>
      </w:r>
      <w:r w:rsidR="00BA677D">
        <w:rPr>
          <w:rFonts w:cs="Arial"/>
          <w:sz w:val="22"/>
          <w:szCs w:val="22"/>
        </w:rPr>
        <w:t>The content analysis indicated that e</w:t>
      </w:r>
      <w:r w:rsidR="009571FA">
        <w:rPr>
          <w:rFonts w:cs="Arial"/>
          <w:bCs/>
          <w:sz w:val="22"/>
        </w:rPr>
        <w:t xml:space="preserve">ight of the </w:t>
      </w:r>
      <w:r w:rsidR="00BA677D">
        <w:rPr>
          <w:rFonts w:cs="Arial"/>
          <w:bCs/>
          <w:sz w:val="22"/>
        </w:rPr>
        <w:t>nine sampled speeches/</w:t>
      </w:r>
      <w:r w:rsidR="009571FA">
        <w:rPr>
          <w:rFonts w:cs="Arial"/>
          <w:bCs/>
          <w:sz w:val="22"/>
        </w:rPr>
        <w:t>presentations included references to gender. These references were mo</w:t>
      </w:r>
      <w:r w:rsidR="00E54D88">
        <w:rPr>
          <w:rFonts w:cs="Arial"/>
          <w:bCs/>
          <w:sz w:val="22"/>
        </w:rPr>
        <w:t>re</w:t>
      </w:r>
      <w:r w:rsidR="009571FA">
        <w:rPr>
          <w:rFonts w:cs="Arial"/>
          <w:bCs/>
          <w:sz w:val="22"/>
        </w:rPr>
        <w:t xml:space="preserve"> frequent in wide-scope </w:t>
      </w:r>
      <w:r w:rsidR="00E54D88">
        <w:rPr>
          <w:rFonts w:cs="Arial"/>
          <w:bCs/>
          <w:sz w:val="22"/>
        </w:rPr>
        <w:t>than in issue-</w:t>
      </w:r>
      <w:r w:rsidR="009571FA">
        <w:rPr>
          <w:rFonts w:cs="Arial"/>
          <w:bCs/>
          <w:sz w:val="22"/>
        </w:rPr>
        <w:t xml:space="preserve">specific </w:t>
      </w:r>
      <w:r w:rsidR="00E54D88">
        <w:rPr>
          <w:rFonts w:cs="Arial"/>
          <w:bCs/>
          <w:sz w:val="22"/>
        </w:rPr>
        <w:t>presentations.</w:t>
      </w:r>
    </w:p>
    <w:p w:rsidR="00B22E6E" w:rsidRDefault="00B22E6E" w:rsidP="00F96587">
      <w:pPr>
        <w:ind w:right="-540"/>
        <w:rPr>
          <w:rFonts w:cs="Arial"/>
          <w:b/>
          <w:sz w:val="22"/>
          <w:szCs w:val="22"/>
        </w:rPr>
      </w:pPr>
    </w:p>
    <w:p w:rsidR="009571FA" w:rsidRDefault="009571FA" w:rsidP="00F96587">
      <w:pPr>
        <w:ind w:right="-540"/>
        <w:rPr>
          <w:rFonts w:cs="Arial"/>
          <w:b/>
          <w:sz w:val="22"/>
          <w:szCs w:val="22"/>
        </w:rPr>
      </w:pPr>
      <w:r w:rsidRPr="00424CDE">
        <w:rPr>
          <w:rFonts w:cs="Arial"/>
          <w:b/>
          <w:sz w:val="22"/>
          <w:szCs w:val="22"/>
        </w:rPr>
        <w:t>Conclusions</w:t>
      </w:r>
    </w:p>
    <w:p w:rsidR="00F10089" w:rsidRPr="00F10089" w:rsidRDefault="00F10089" w:rsidP="00F96587">
      <w:pPr>
        <w:ind w:right="-540"/>
        <w:rPr>
          <w:rFonts w:cs="Arial"/>
          <w:b/>
          <w:sz w:val="10"/>
          <w:szCs w:val="22"/>
        </w:rPr>
      </w:pPr>
    </w:p>
    <w:p w:rsidR="00F10089" w:rsidRPr="00F10089" w:rsidRDefault="00F10089" w:rsidP="00F96587">
      <w:pPr>
        <w:ind w:right="-540"/>
        <w:rPr>
          <w:rFonts w:cs="Arial"/>
          <w:b/>
          <w:sz w:val="2"/>
          <w:szCs w:val="22"/>
        </w:rPr>
      </w:pPr>
    </w:p>
    <w:p w:rsidR="009571FA" w:rsidRPr="00122D4D" w:rsidRDefault="009571FA" w:rsidP="00F96587">
      <w:pPr>
        <w:ind w:right="-540"/>
        <w:rPr>
          <w:color w:val="000000"/>
          <w:sz w:val="2"/>
          <w:lang w:val="en-US"/>
        </w:rPr>
      </w:pPr>
    </w:p>
    <w:p w:rsidR="009571FA" w:rsidRPr="00CF7331" w:rsidRDefault="00675737" w:rsidP="0091174C">
      <w:pPr>
        <w:ind w:right="-450"/>
        <w:rPr>
          <w:bCs/>
          <w:sz w:val="16"/>
        </w:rPr>
      </w:pPr>
      <w:r>
        <w:rPr>
          <w:color w:val="000000"/>
          <w:sz w:val="22"/>
          <w:lang w:val="en-US"/>
        </w:rPr>
        <w:t xml:space="preserve">    1. </w:t>
      </w:r>
      <w:r w:rsidR="009571FA">
        <w:rPr>
          <w:color w:val="000000"/>
          <w:sz w:val="22"/>
          <w:lang w:val="en-US"/>
        </w:rPr>
        <w:t>The</w:t>
      </w:r>
      <w:r w:rsidR="00E54D88">
        <w:rPr>
          <w:color w:val="000000"/>
          <w:sz w:val="22"/>
          <w:lang w:val="en-US"/>
        </w:rPr>
        <w:t xml:space="preserve"> </w:t>
      </w:r>
      <w:r w:rsidR="00E25C52">
        <w:rPr>
          <w:color w:val="000000"/>
          <w:sz w:val="22"/>
          <w:lang w:val="en-US"/>
        </w:rPr>
        <w:t>analysis</w:t>
      </w:r>
      <w:r w:rsidR="00E54D88">
        <w:rPr>
          <w:color w:val="000000"/>
          <w:sz w:val="22"/>
          <w:lang w:val="en-US"/>
        </w:rPr>
        <w:t xml:space="preserve"> </w:t>
      </w:r>
      <w:r w:rsidR="002C3769">
        <w:rPr>
          <w:color w:val="000000"/>
          <w:sz w:val="22"/>
          <w:lang w:val="en-US"/>
        </w:rPr>
        <w:t xml:space="preserve">revealed </w:t>
      </w:r>
      <w:r w:rsidR="00E54D88">
        <w:rPr>
          <w:color w:val="000000"/>
          <w:sz w:val="22"/>
          <w:lang w:val="en-US"/>
        </w:rPr>
        <w:t>t</w:t>
      </w:r>
      <w:r w:rsidR="00DA2373">
        <w:rPr>
          <w:color w:val="000000"/>
          <w:sz w:val="22"/>
          <w:lang w:val="en-US"/>
        </w:rPr>
        <w:t>wo major type</w:t>
      </w:r>
      <w:r w:rsidR="00E54D88">
        <w:rPr>
          <w:color w:val="000000"/>
          <w:sz w:val="22"/>
          <w:lang w:val="en-US"/>
        </w:rPr>
        <w:t xml:space="preserve">s of gaps: </w:t>
      </w:r>
      <w:r w:rsidR="00E54D88" w:rsidRPr="00D754EC">
        <w:rPr>
          <w:b/>
          <w:i/>
          <w:color w:val="000000"/>
          <w:sz w:val="22"/>
          <w:lang w:val="en-US"/>
        </w:rPr>
        <w:t>first,</w:t>
      </w:r>
      <w:r w:rsidR="00E54D88">
        <w:rPr>
          <w:color w:val="000000"/>
          <w:sz w:val="22"/>
          <w:lang w:val="en-US"/>
        </w:rPr>
        <w:t xml:space="preserve"> </w:t>
      </w:r>
      <w:r w:rsidR="002C3769">
        <w:rPr>
          <w:color w:val="000000"/>
          <w:sz w:val="22"/>
          <w:lang w:val="en-US"/>
        </w:rPr>
        <w:t xml:space="preserve">between </w:t>
      </w:r>
      <w:r w:rsidR="009571FA">
        <w:rPr>
          <w:color w:val="000000"/>
          <w:sz w:val="22"/>
          <w:lang w:val="en-US"/>
        </w:rPr>
        <w:t xml:space="preserve">knowledge and </w:t>
      </w:r>
      <w:r w:rsidR="009A6F78">
        <w:rPr>
          <w:color w:val="000000"/>
          <w:sz w:val="22"/>
          <w:lang w:val="en-US"/>
        </w:rPr>
        <w:t xml:space="preserve">actual application </w:t>
      </w:r>
      <w:r w:rsidR="009571FA">
        <w:rPr>
          <w:color w:val="000000"/>
          <w:sz w:val="22"/>
          <w:lang w:val="en-US"/>
        </w:rPr>
        <w:t xml:space="preserve"> </w:t>
      </w:r>
      <w:r w:rsidR="002C3769">
        <w:rPr>
          <w:color w:val="000000"/>
          <w:sz w:val="22"/>
          <w:lang w:val="en-US"/>
        </w:rPr>
        <w:t xml:space="preserve">regarding </w:t>
      </w:r>
      <w:r w:rsidR="009571FA">
        <w:rPr>
          <w:color w:val="000000"/>
          <w:sz w:val="22"/>
          <w:lang w:val="en-US"/>
        </w:rPr>
        <w:t>the promotion of gender equality</w:t>
      </w:r>
      <w:r w:rsidR="009A6F78">
        <w:rPr>
          <w:color w:val="000000"/>
          <w:sz w:val="22"/>
          <w:lang w:val="en-US"/>
        </w:rPr>
        <w:t xml:space="preserve"> in the work of PAHO</w:t>
      </w:r>
      <w:r w:rsidR="00E54D88">
        <w:rPr>
          <w:color w:val="000000"/>
          <w:sz w:val="22"/>
          <w:lang w:val="en-US"/>
        </w:rPr>
        <w:t xml:space="preserve">; </w:t>
      </w:r>
      <w:r w:rsidR="00DA2373">
        <w:rPr>
          <w:color w:val="000000"/>
          <w:sz w:val="22"/>
          <w:lang w:val="en-US"/>
        </w:rPr>
        <w:t xml:space="preserve">and </w:t>
      </w:r>
      <w:r w:rsidR="00E54D88" w:rsidRPr="00D754EC">
        <w:rPr>
          <w:b/>
          <w:i/>
          <w:color w:val="000000"/>
          <w:sz w:val="22"/>
          <w:lang w:val="en-US"/>
        </w:rPr>
        <w:t>second,</w:t>
      </w:r>
      <w:r w:rsidR="00E54D88">
        <w:rPr>
          <w:color w:val="000000"/>
          <w:sz w:val="22"/>
          <w:lang w:val="en-US"/>
        </w:rPr>
        <w:t xml:space="preserve"> between HQ and CO </w:t>
      </w:r>
      <w:r w:rsidR="00E54D88" w:rsidRPr="00481E8D">
        <w:rPr>
          <w:color w:val="000000"/>
          <w:sz w:val="22"/>
          <w:lang w:val="en-US"/>
        </w:rPr>
        <w:t xml:space="preserve">with respect to gender integration in </w:t>
      </w:r>
      <w:r w:rsidR="008448D3">
        <w:rPr>
          <w:color w:val="000000"/>
          <w:sz w:val="22"/>
          <w:lang w:val="en-US"/>
        </w:rPr>
        <w:t xml:space="preserve">key </w:t>
      </w:r>
      <w:r w:rsidR="00E54D88" w:rsidRPr="00481E8D">
        <w:rPr>
          <w:color w:val="000000"/>
          <w:sz w:val="22"/>
          <w:lang w:val="en-US"/>
        </w:rPr>
        <w:t>documents</w:t>
      </w:r>
      <w:r w:rsidR="00D754EC">
        <w:rPr>
          <w:color w:val="000000"/>
          <w:sz w:val="22"/>
          <w:lang w:val="en-US"/>
        </w:rPr>
        <w:t>,</w:t>
      </w:r>
      <w:r w:rsidR="00E54D88">
        <w:rPr>
          <w:color w:val="000000"/>
          <w:sz w:val="22"/>
          <w:lang w:val="en-US"/>
        </w:rPr>
        <w:t xml:space="preserve"> and </w:t>
      </w:r>
      <w:r w:rsidR="00D754EC">
        <w:rPr>
          <w:color w:val="000000"/>
          <w:sz w:val="22"/>
          <w:lang w:val="en-US"/>
        </w:rPr>
        <w:t>sex parity among professional staff</w:t>
      </w:r>
      <w:r w:rsidR="00DA2373">
        <w:rPr>
          <w:color w:val="000000"/>
          <w:sz w:val="22"/>
          <w:lang w:val="en-US"/>
        </w:rPr>
        <w:t>. A third gap</w:t>
      </w:r>
      <w:r w:rsidR="00392CE4">
        <w:rPr>
          <w:color w:val="000000"/>
          <w:sz w:val="22"/>
          <w:lang w:val="en-US"/>
        </w:rPr>
        <w:t xml:space="preserve"> was inferred</w:t>
      </w:r>
      <w:r w:rsidR="00DA2373">
        <w:rPr>
          <w:color w:val="000000"/>
          <w:sz w:val="22"/>
          <w:lang w:val="en-US"/>
        </w:rPr>
        <w:t xml:space="preserve"> </w:t>
      </w:r>
      <w:r w:rsidR="009571FA">
        <w:rPr>
          <w:color w:val="000000"/>
          <w:sz w:val="22"/>
          <w:lang w:val="en-US"/>
        </w:rPr>
        <w:t xml:space="preserve">between P and G staff </w:t>
      </w:r>
      <w:r w:rsidR="00D754EC">
        <w:rPr>
          <w:color w:val="000000"/>
          <w:sz w:val="22"/>
          <w:lang w:val="en-US"/>
        </w:rPr>
        <w:t>in matters of appl</w:t>
      </w:r>
      <w:r w:rsidR="00DA2373">
        <w:rPr>
          <w:color w:val="000000"/>
          <w:sz w:val="22"/>
          <w:lang w:val="en-US"/>
        </w:rPr>
        <w:t>ication of</w:t>
      </w:r>
      <w:r w:rsidR="00D754EC">
        <w:rPr>
          <w:color w:val="000000"/>
          <w:sz w:val="22"/>
          <w:lang w:val="en-US"/>
        </w:rPr>
        <w:t xml:space="preserve"> gender concepts</w:t>
      </w:r>
      <w:r w:rsidR="00392CE4">
        <w:rPr>
          <w:color w:val="000000"/>
          <w:sz w:val="22"/>
          <w:lang w:val="en-US"/>
        </w:rPr>
        <w:t xml:space="preserve"> to </w:t>
      </w:r>
      <w:r w:rsidR="00DA2373">
        <w:rPr>
          <w:color w:val="000000"/>
          <w:sz w:val="22"/>
          <w:lang w:val="en-US"/>
        </w:rPr>
        <w:t>work</w:t>
      </w:r>
      <w:r w:rsidR="00D754EC">
        <w:rPr>
          <w:color w:val="000000"/>
          <w:sz w:val="22"/>
          <w:lang w:val="en-US"/>
        </w:rPr>
        <w:t xml:space="preserve">. </w:t>
      </w:r>
      <w:r w:rsidR="0091174C">
        <w:rPr>
          <w:color w:val="000000"/>
          <w:sz w:val="22"/>
          <w:lang w:val="en-US"/>
        </w:rPr>
        <w:t>A</w:t>
      </w:r>
      <w:r w:rsidR="00DA2373">
        <w:rPr>
          <w:color w:val="000000"/>
          <w:sz w:val="22"/>
          <w:lang w:val="en-US"/>
        </w:rPr>
        <w:t xml:space="preserve">lthough the </w:t>
      </w:r>
      <w:r w:rsidR="0091174C">
        <w:rPr>
          <w:color w:val="000000"/>
          <w:sz w:val="22"/>
          <w:lang w:val="en-US"/>
        </w:rPr>
        <w:t>E-</w:t>
      </w:r>
      <w:r w:rsidR="00DA2373">
        <w:rPr>
          <w:color w:val="000000"/>
          <w:sz w:val="22"/>
          <w:lang w:val="en-US"/>
        </w:rPr>
        <w:t xml:space="preserve">survey did not directly address G staff functions and responsibilities, </w:t>
      </w:r>
      <w:r w:rsidR="00D754EC">
        <w:rPr>
          <w:color w:val="000000"/>
          <w:sz w:val="22"/>
          <w:lang w:val="en-US"/>
        </w:rPr>
        <w:t xml:space="preserve">the significantly lower response </w:t>
      </w:r>
      <w:r w:rsidR="00DA2373">
        <w:rPr>
          <w:color w:val="000000"/>
          <w:sz w:val="22"/>
          <w:lang w:val="en-US"/>
        </w:rPr>
        <w:t xml:space="preserve">from Gs to the survey, </w:t>
      </w:r>
      <w:r w:rsidR="00D754EC">
        <w:rPr>
          <w:color w:val="000000"/>
          <w:sz w:val="22"/>
          <w:lang w:val="en-US"/>
        </w:rPr>
        <w:t>coupled with the fact that the official PAHO planning guidelines explicitly excluded administrative entities from having to integrate cross-cutting issues (gender equality among them) in</w:t>
      </w:r>
      <w:r w:rsidR="00E25C52">
        <w:rPr>
          <w:color w:val="000000"/>
          <w:sz w:val="22"/>
          <w:lang w:val="en-US"/>
        </w:rPr>
        <w:t>to</w:t>
      </w:r>
      <w:r w:rsidR="00D754EC">
        <w:rPr>
          <w:color w:val="000000"/>
          <w:sz w:val="22"/>
          <w:lang w:val="en-US"/>
        </w:rPr>
        <w:t xml:space="preserve"> their work</w:t>
      </w:r>
      <w:r w:rsidR="00DA2373">
        <w:rPr>
          <w:color w:val="000000"/>
          <w:sz w:val="22"/>
          <w:lang w:val="en-US"/>
        </w:rPr>
        <w:t xml:space="preserve">, </w:t>
      </w:r>
      <w:r w:rsidR="00392CE4">
        <w:rPr>
          <w:color w:val="000000"/>
          <w:sz w:val="22"/>
          <w:lang w:val="en-US"/>
        </w:rPr>
        <w:t>warrant further consideration.</w:t>
      </w:r>
      <w:r w:rsidR="009571FA">
        <w:rPr>
          <w:bCs/>
          <w:sz w:val="22"/>
        </w:rPr>
        <w:t xml:space="preserve">    </w:t>
      </w:r>
    </w:p>
    <w:p w:rsidR="00C53FE1" w:rsidRDefault="00675737" w:rsidP="00C53FE1">
      <w:pPr>
        <w:tabs>
          <w:tab w:val="left" w:pos="9270"/>
        </w:tabs>
        <w:ind w:right="-450"/>
        <w:rPr>
          <w:bCs/>
          <w:sz w:val="2"/>
        </w:rPr>
      </w:pPr>
      <w:r>
        <w:rPr>
          <w:bCs/>
          <w:sz w:val="22"/>
        </w:rPr>
        <w:t xml:space="preserve">    </w:t>
      </w:r>
      <w:r w:rsidR="00D34BEC">
        <w:rPr>
          <w:bCs/>
          <w:sz w:val="22"/>
          <w:lang w:val="en-US"/>
        </w:rPr>
        <w:t xml:space="preserve">2. The planning phase was </w:t>
      </w:r>
      <w:r w:rsidR="0091174C">
        <w:rPr>
          <w:bCs/>
          <w:sz w:val="22"/>
          <w:lang w:val="en-US"/>
        </w:rPr>
        <w:t>reportedly</w:t>
      </w:r>
      <w:r w:rsidR="00EE051B">
        <w:rPr>
          <w:bCs/>
          <w:sz w:val="22"/>
          <w:lang w:val="en-US"/>
        </w:rPr>
        <w:t>,</w:t>
      </w:r>
      <w:r w:rsidR="00D34BEC">
        <w:rPr>
          <w:bCs/>
          <w:sz w:val="22"/>
          <w:lang w:val="en-US"/>
        </w:rPr>
        <w:t xml:space="preserve"> the most strategic for gender integration </w:t>
      </w:r>
      <w:r w:rsidR="00EE051B">
        <w:rPr>
          <w:bCs/>
          <w:sz w:val="22"/>
          <w:lang w:val="en-US"/>
        </w:rPr>
        <w:t>with</w:t>
      </w:r>
      <w:r w:rsidR="00D34BEC">
        <w:rPr>
          <w:bCs/>
          <w:sz w:val="22"/>
          <w:lang w:val="en-US"/>
        </w:rPr>
        <w:t xml:space="preserve">in </w:t>
      </w:r>
      <w:r w:rsidR="005F1B3F">
        <w:rPr>
          <w:bCs/>
          <w:sz w:val="22"/>
        </w:rPr>
        <w:t xml:space="preserve">the programming </w:t>
      </w:r>
      <w:r w:rsidR="00D34BEC">
        <w:rPr>
          <w:bCs/>
          <w:sz w:val="22"/>
        </w:rPr>
        <w:t xml:space="preserve">cycle </w:t>
      </w:r>
      <w:r w:rsidR="005F1B3F">
        <w:rPr>
          <w:bCs/>
          <w:sz w:val="22"/>
        </w:rPr>
        <w:t>process</w:t>
      </w:r>
      <w:r w:rsidR="00D34BEC">
        <w:rPr>
          <w:bCs/>
          <w:sz w:val="22"/>
        </w:rPr>
        <w:t>.</w:t>
      </w:r>
      <w:r w:rsidR="005F1B3F">
        <w:rPr>
          <w:bCs/>
          <w:sz w:val="22"/>
        </w:rPr>
        <w:t xml:space="preserve"> “</w:t>
      </w:r>
      <w:r w:rsidR="00D34BEC">
        <w:rPr>
          <w:bCs/>
          <w:sz w:val="22"/>
        </w:rPr>
        <w:t>G</w:t>
      </w:r>
      <w:r w:rsidR="005F1B3F">
        <w:rPr>
          <w:bCs/>
          <w:sz w:val="22"/>
        </w:rPr>
        <w:t xml:space="preserve">enderless” </w:t>
      </w:r>
      <w:r w:rsidR="00D34BEC">
        <w:rPr>
          <w:bCs/>
          <w:sz w:val="22"/>
        </w:rPr>
        <w:t>implementation and evaluation, particularly the latter, were linked to genderless</w:t>
      </w:r>
      <w:r w:rsidR="005F1B3F">
        <w:rPr>
          <w:bCs/>
          <w:sz w:val="22"/>
        </w:rPr>
        <w:t xml:space="preserve"> indicators</w:t>
      </w:r>
      <w:r w:rsidR="00EE051B">
        <w:rPr>
          <w:bCs/>
          <w:sz w:val="22"/>
        </w:rPr>
        <w:t>,</w:t>
      </w:r>
      <w:r w:rsidR="005F1B3F">
        <w:rPr>
          <w:bCs/>
          <w:sz w:val="22"/>
        </w:rPr>
        <w:t xml:space="preserve"> guidelines</w:t>
      </w:r>
      <w:r w:rsidR="00D34BEC">
        <w:rPr>
          <w:bCs/>
          <w:sz w:val="22"/>
        </w:rPr>
        <w:t xml:space="preserve"> </w:t>
      </w:r>
      <w:r w:rsidR="00EE051B">
        <w:rPr>
          <w:bCs/>
          <w:sz w:val="22"/>
        </w:rPr>
        <w:t xml:space="preserve">and situation analysis </w:t>
      </w:r>
      <w:r w:rsidR="00D34BEC">
        <w:rPr>
          <w:bCs/>
          <w:sz w:val="22"/>
        </w:rPr>
        <w:t xml:space="preserve">at the planning stage. The </w:t>
      </w:r>
      <w:r w:rsidR="00631813">
        <w:rPr>
          <w:bCs/>
          <w:sz w:val="22"/>
        </w:rPr>
        <w:t>absence</w:t>
      </w:r>
      <w:r w:rsidR="008448D3">
        <w:rPr>
          <w:bCs/>
          <w:sz w:val="22"/>
        </w:rPr>
        <w:t xml:space="preserve"> </w:t>
      </w:r>
      <w:r w:rsidR="00D34BEC">
        <w:rPr>
          <w:bCs/>
          <w:sz w:val="22"/>
        </w:rPr>
        <w:t xml:space="preserve">of </w:t>
      </w:r>
      <w:r w:rsidR="00631813">
        <w:rPr>
          <w:bCs/>
          <w:sz w:val="22"/>
        </w:rPr>
        <w:t xml:space="preserve">official </w:t>
      </w:r>
      <w:r w:rsidR="00D34BEC">
        <w:rPr>
          <w:bCs/>
          <w:sz w:val="22"/>
        </w:rPr>
        <w:t>feedback and</w:t>
      </w:r>
      <w:r w:rsidR="00631813">
        <w:rPr>
          <w:bCs/>
          <w:sz w:val="22"/>
        </w:rPr>
        <w:t xml:space="preserve">, particularly, the perceived </w:t>
      </w:r>
      <w:r w:rsidR="00631813" w:rsidRPr="00631813">
        <w:rPr>
          <w:b/>
          <w:bCs/>
          <w:sz w:val="22"/>
        </w:rPr>
        <w:t>lack of</w:t>
      </w:r>
      <w:r w:rsidR="00631813">
        <w:rPr>
          <w:bCs/>
          <w:sz w:val="22"/>
        </w:rPr>
        <w:t xml:space="preserve"> </w:t>
      </w:r>
      <w:r w:rsidR="005F1B3F" w:rsidRPr="00631813">
        <w:rPr>
          <w:b/>
          <w:bCs/>
          <w:sz w:val="22"/>
        </w:rPr>
        <w:t>accountability</w:t>
      </w:r>
      <w:r w:rsidR="005F1B3F">
        <w:rPr>
          <w:bCs/>
          <w:sz w:val="22"/>
        </w:rPr>
        <w:t xml:space="preserve"> </w:t>
      </w:r>
      <w:r w:rsidR="00D34BEC">
        <w:rPr>
          <w:bCs/>
          <w:sz w:val="22"/>
        </w:rPr>
        <w:t xml:space="preserve">regarding gender integration </w:t>
      </w:r>
      <w:r>
        <w:rPr>
          <w:bCs/>
          <w:sz w:val="22"/>
        </w:rPr>
        <w:t xml:space="preserve">were </w:t>
      </w:r>
      <w:r w:rsidR="00631813">
        <w:rPr>
          <w:bCs/>
          <w:sz w:val="22"/>
        </w:rPr>
        <w:t xml:space="preserve">highlighted as </w:t>
      </w:r>
      <w:r w:rsidR="00EE051B">
        <w:rPr>
          <w:bCs/>
          <w:sz w:val="22"/>
        </w:rPr>
        <w:t xml:space="preserve">critical </w:t>
      </w:r>
      <w:r>
        <w:rPr>
          <w:bCs/>
          <w:sz w:val="22"/>
        </w:rPr>
        <w:t xml:space="preserve">challenges </w:t>
      </w:r>
      <w:r w:rsidR="005F1B3F">
        <w:rPr>
          <w:bCs/>
          <w:sz w:val="22"/>
        </w:rPr>
        <w:t>throughout the programming process.</w:t>
      </w:r>
      <w:r w:rsidR="00C53FE1" w:rsidRPr="00C53FE1">
        <w:rPr>
          <w:sz w:val="22"/>
          <w:szCs w:val="22"/>
        </w:rPr>
        <w:t xml:space="preserve"> </w:t>
      </w:r>
      <w:r w:rsidR="00C53FE1">
        <w:rPr>
          <w:sz w:val="22"/>
          <w:szCs w:val="22"/>
        </w:rPr>
        <w:t xml:space="preserve">Clearly, gender integration in the accountability processes of monitoring/evaluation was deemed the weakest phase of the cycle in PAHO and all </w:t>
      </w:r>
      <w:r w:rsidR="00EE051B">
        <w:rPr>
          <w:sz w:val="22"/>
          <w:szCs w:val="22"/>
        </w:rPr>
        <w:t xml:space="preserve">of </w:t>
      </w:r>
      <w:r w:rsidR="00C53FE1">
        <w:rPr>
          <w:sz w:val="22"/>
          <w:szCs w:val="22"/>
        </w:rPr>
        <w:t xml:space="preserve">WHO. </w:t>
      </w:r>
    </w:p>
    <w:p w:rsidR="005F1B3F" w:rsidRDefault="006C4795" w:rsidP="00EE051B">
      <w:pPr>
        <w:ind w:right="-450"/>
        <w:rPr>
          <w:bCs/>
          <w:sz w:val="22"/>
        </w:rPr>
      </w:pPr>
      <w:r>
        <w:rPr>
          <w:bCs/>
          <w:sz w:val="22"/>
        </w:rPr>
        <w:t xml:space="preserve">    </w:t>
      </w:r>
      <w:r w:rsidR="00675737">
        <w:rPr>
          <w:bCs/>
          <w:sz w:val="22"/>
        </w:rPr>
        <w:t xml:space="preserve">3. </w:t>
      </w:r>
      <w:r w:rsidR="005F1B3F">
        <w:rPr>
          <w:bCs/>
          <w:sz w:val="22"/>
        </w:rPr>
        <w:t xml:space="preserve">Although gender equity concerns </w:t>
      </w:r>
      <w:r w:rsidR="00675737">
        <w:rPr>
          <w:bCs/>
          <w:sz w:val="22"/>
        </w:rPr>
        <w:t xml:space="preserve">played a role </w:t>
      </w:r>
      <w:r w:rsidR="005F1B3F">
        <w:rPr>
          <w:bCs/>
          <w:sz w:val="22"/>
        </w:rPr>
        <w:t xml:space="preserve">in the </w:t>
      </w:r>
      <w:r w:rsidR="00675737">
        <w:rPr>
          <w:bCs/>
          <w:sz w:val="22"/>
        </w:rPr>
        <w:t>CCS and BWP documents of the two sampled countries,</w:t>
      </w:r>
      <w:r w:rsidR="005F1B3F">
        <w:rPr>
          <w:bCs/>
          <w:sz w:val="22"/>
        </w:rPr>
        <w:t xml:space="preserve"> these documents did not </w:t>
      </w:r>
      <w:r w:rsidR="00675737">
        <w:rPr>
          <w:bCs/>
          <w:sz w:val="22"/>
        </w:rPr>
        <w:t xml:space="preserve">reflect </w:t>
      </w:r>
      <w:r w:rsidR="005F1B3F">
        <w:rPr>
          <w:bCs/>
          <w:sz w:val="22"/>
        </w:rPr>
        <w:t xml:space="preserve">WHO and PAHO directives on gender as a </w:t>
      </w:r>
      <w:r w:rsidR="005F1B3F" w:rsidRPr="008448D3">
        <w:rPr>
          <w:b/>
          <w:bCs/>
          <w:sz w:val="22"/>
        </w:rPr>
        <w:t>cross-cutting issue</w:t>
      </w:r>
      <w:r w:rsidR="005F1B3F">
        <w:rPr>
          <w:bCs/>
          <w:sz w:val="22"/>
        </w:rPr>
        <w:t xml:space="preserve"> </w:t>
      </w:r>
      <w:r w:rsidR="00675737">
        <w:rPr>
          <w:bCs/>
          <w:sz w:val="22"/>
        </w:rPr>
        <w:t xml:space="preserve">in country </w:t>
      </w:r>
      <w:r w:rsidR="005F1B3F">
        <w:rPr>
          <w:bCs/>
          <w:sz w:val="22"/>
        </w:rPr>
        <w:t>programming</w:t>
      </w:r>
      <w:r w:rsidR="00675737">
        <w:rPr>
          <w:bCs/>
          <w:sz w:val="22"/>
        </w:rPr>
        <w:t xml:space="preserve">. Aside from lacking a gendered situation analysis </w:t>
      </w:r>
      <w:r w:rsidR="004C750A">
        <w:rPr>
          <w:bCs/>
          <w:sz w:val="22"/>
        </w:rPr>
        <w:t xml:space="preserve">providing base to </w:t>
      </w:r>
      <w:r w:rsidR="00675737">
        <w:rPr>
          <w:bCs/>
          <w:sz w:val="22"/>
        </w:rPr>
        <w:t>related actions, the</w:t>
      </w:r>
      <w:r w:rsidR="00EE051B">
        <w:rPr>
          <w:bCs/>
          <w:sz w:val="22"/>
        </w:rPr>
        <w:t xml:space="preserve">se documents </w:t>
      </w:r>
      <w:r w:rsidR="00675737">
        <w:rPr>
          <w:bCs/>
          <w:sz w:val="22"/>
        </w:rPr>
        <w:t>revealed a</w:t>
      </w:r>
      <w:r w:rsidR="008448D3">
        <w:rPr>
          <w:bCs/>
          <w:sz w:val="22"/>
        </w:rPr>
        <w:t xml:space="preserve"> </w:t>
      </w:r>
      <w:r w:rsidR="00675737">
        <w:rPr>
          <w:bCs/>
          <w:sz w:val="22"/>
        </w:rPr>
        <w:t xml:space="preserve">disconnect between </w:t>
      </w:r>
      <w:r w:rsidR="00631813">
        <w:rPr>
          <w:bCs/>
          <w:sz w:val="22"/>
        </w:rPr>
        <w:t>broad-spectrum</w:t>
      </w:r>
      <w:r w:rsidR="008448D3">
        <w:rPr>
          <w:bCs/>
          <w:sz w:val="22"/>
        </w:rPr>
        <w:t xml:space="preserve"> </w:t>
      </w:r>
      <w:r w:rsidR="00675737">
        <w:rPr>
          <w:bCs/>
          <w:sz w:val="22"/>
        </w:rPr>
        <w:t>polic</w:t>
      </w:r>
      <w:r w:rsidR="0041450A">
        <w:rPr>
          <w:bCs/>
          <w:sz w:val="22"/>
        </w:rPr>
        <w:t xml:space="preserve">ies </w:t>
      </w:r>
      <w:r w:rsidR="00675737">
        <w:rPr>
          <w:bCs/>
          <w:sz w:val="22"/>
        </w:rPr>
        <w:t xml:space="preserve">and </w:t>
      </w:r>
      <w:r w:rsidR="001C5381">
        <w:rPr>
          <w:bCs/>
          <w:sz w:val="22"/>
        </w:rPr>
        <w:t xml:space="preserve">concrete </w:t>
      </w:r>
      <w:r w:rsidR="004C750A">
        <w:rPr>
          <w:bCs/>
          <w:sz w:val="22"/>
        </w:rPr>
        <w:t>acti</w:t>
      </w:r>
      <w:r w:rsidR="00EE051B">
        <w:rPr>
          <w:bCs/>
          <w:sz w:val="22"/>
        </w:rPr>
        <w:t>vi</w:t>
      </w:r>
      <w:r w:rsidR="004C750A">
        <w:rPr>
          <w:bCs/>
          <w:sz w:val="22"/>
        </w:rPr>
        <w:t>ties</w:t>
      </w:r>
      <w:r w:rsidR="00675737">
        <w:rPr>
          <w:bCs/>
          <w:sz w:val="22"/>
        </w:rPr>
        <w:t xml:space="preserve"> </w:t>
      </w:r>
      <w:r w:rsidR="006F643D">
        <w:rPr>
          <w:bCs/>
          <w:sz w:val="22"/>
        </w:rPr>
        <w:t>in</w:t>
      </w:r>
      <w:r w:rsidR="00AB5E42">
        <w:rPr>
          <w:bCs/>
          <w:sz w:val="22"/>
        </w:rPr>
        <w:t xml:space="preserve"> </w:t>
      </w:r>
      <w:r w:rsidR="00675737">
        <w:rPr>
          <w:bCs/>
          <w:sz w:val="22"/>
        </w:rPr>
        <w:t>the mainstream of technical cooperation in the country.</w:t>
      </w:r>
      <w:r w:rsidR="005F1B3F" w:rsidRPr="00100D10">
        <w:rPr>
          <w:bCs/>
          <w:sz w:val="22"/>
        </w:rPr>
        <w:t xml:space="preserve"> </w:t>
      </w:r>
      <w:r w:rsidR="005F1B3F">
        <w:rPr>
          <w:bCs/>
          <w:sz w:val="22"/>
        </w:rPr>
        <w:t xml:space="preserve"> </w:t>
      </w:r>
      <w:r w:rsidR="009571FA">
        <w:rPr>
          <w:bCs/>
          <w:sz w:val="22"/>
        </w:rPr>
        <w:t xml:space="preserve"> </w:t>
      </w:r>
    </w:p>
    <w:p w:rsidR="005F1B3F" w:rsidRDefault="006C4795" w:rsidP="00F96587">
      <w:pPr>
        <w:ind w:right="-540"/>
        <w:rPr>
          <w:bCs/>
          <w:sz w:val="22"/>
        </w:rPr>
      </w:pPr>
      <w:r>
        <w:rPr>
          <w:bCs/>
          <w:sz w:val="22"/>
        </w:rPr>
        <w:t xml:space="preserve">    </w:t>
      </w:r>
      <w:r w:rsidR="00675737">
        <w:rPr>
          <w:bCs/>
          <w:sz w:val="22"/>
        </w:rPr>
        <w:t xml:space="preserve">4. </w:t>
      </w:r>
      <w:r w:rsidR="009571FA">
        <w:rPr>
          <w:bCs/>
          <w:sz w:val="22"/>
        </w:rPr>
        <w:t xml:space="preserve">While PAHO </w:t>
      </w:r>
      <w:r w:rsidR="0041450A">
        <w:rPr>
          <w:bCs/>
          <w:sz w:val="22"/>
        </w:rPr>
        <w:t>had</w:t>
      </w:r>
      <w:r w:rsidR="002C3769">
        <w:rPr>
          <w:bCs/>
          <w:sz w:val="22"/>
        </w:rPr>
        <w:t xml:space="preserve"> achieved </w:t>
      </w:r>
      <w:r w:rsidR="009571FA">
        <w:rPr>
          <w:bCs/>
          <w:sz w:val="22"/>
        </w:rPr>
        <w:t xml:space="preserve">sex parity in </w:t>
      </w:r>
      <w:r w:rsidR="002C3769">
        <w:rPr>
          <w:bCs/>
          <w:sz w:val="22"/>
        </w:rPr>
        <w:t xml:space="preserve">P </w:t>
      </w:r>
      <w:r w:rsidR="009571FA">
        <w:rPr>
          <w:bCs/>
          <w:sz w:val="22"/>
        </w:rPr>
        <w:t>staffing</w:t>
      </w:r>
      <w:r w:rsidR="002C3769">
        <w:rPr>
          <w:bCs/>
          <w:sz w:val="22"/>
        </w:rPr>
        <w:t xml:space="preserve"> at </w:t>
      </w:r>
      <w:r w:rsidR="009571FA">
        <w:rPr>
          <w:bCs/>
          <w:sz w:val="22"/>
        </w:rPr>
        <w:t xml:space="preserve">HQ level, challenges remain in attaining parity at country level and in </w:t>
      </w:r>
      <w:r w:rsidR="002C3769">
        <w:rPr>
          <w:bCs/>
          <w:sz w:val="22"/>
        </w:rPr>
        <w:t xml:space="preserve">some </w:t>
      </w:r>
      <w:r w:rsidR="009571FA">
        <w:rPr>
          <w:bCs/>
          <w:sz w:val="22"/>
        </w:rPr>
        <w:t>P</w:t>
      </w:r>
      <w:r w:rsidR="002C3769">
        <w:rPr>
          <w:bCs/>
          <w:sz w:val="22"/>
        </w:rPr>
        <w:t xml:space="preserve"> </w:t>
      </w:r>
      <w:r w:rsidR="009571FA">
        <w:rPr>
          <w:bCs/>
          <w:sz w:val="22"/>
        </w:rPr>
        <w:t xml:space="preserve">categories. </w:t>
      </w:r>
      <w:r w:rsidR="009571FA">
        <w:rPr>
          <w:b/>
          <w:sz w:val="22"/>
          <w:szCs w:val="22"/>
        </w:rPr>
        <w:t xml:space="preserve">P4 stands out as the most unequal </w:t>
      </w:r>
      <w:r w:rsidR="002C3769">
        <w:rPr>
          <w:b/>
          <w:sz w:val="22"/>
          <w:szCs w:val="22"/>
        </w:rPr>
        <w:t>P grade</w:t>
      </w:r>
      <w:r w:rsidR="00EE051B">
        <w:rPr>
          <w:b/>
          <w:sz w:val="22"/>
          <w:szCs w:val="22"/>
        </w:rPr>
        <w:t xml:space="preserve">, </w:t>
      </w:r>
      <w:r w:rsidR="00EE051B" w:rsidRPr="00EE051B">
        <w:rPr>
          <w:sz w:val="22"/>
          <w:szCs w:val="22"/>
        </w:rPr>
        <w:t xml:space="preserve">issue </w:t>
      </w:r>
      <w:r w:rsidR="005F1B3F" w:rsidRPr="00EE051B">
        <w:rPr>
          <w:sz w:val="22"/>
          <w:szCs w:val="22"/>
        </w:rPr>
        <w:t xml:space="preserve">of </w:t>
      </w:r>
      <w:r w:rsidR="002C3769" w:rsidRPr="00EE051B">
        <w:rPr>
          <w:sz w:val="22"/>
          <w:szCs w:val="22"/>
        </w:rPr>
        <w:t>utmost</w:t>
      </w:r>
      <w:r w:rsidR="002C3769" w:rsidRPr="005F1B3F">
        <w:rPr>
          <w:sz w:val="22"/>
          <w:szCs w:val="22"/>
        </w:rPr>
        <w:t xml:space="preserve"> importance for sex parity since </w:t>
      </w:r>
      <w:r w:rsidR="005F1B3F">
        <w:rPr>
          <w:sz w:val="22"/>
          <w:szCs w:val="22"/>
        </w:rPr>
        <w:t xml:space="preserve">this </w:t>
      </w:r>
      <w:r w:rsidR="00EE051B">
        <w:rPr>
          <w:sz w:val="22"/>
          <w:szCs w:val="22"/>
        </w:rPr>
        <w:t xml:space="preserve">P4 </w:t>
      </w:r>
      <w:r w:rsidR="005F1B3F">
        <w:rPr>
          <w:sz w:val="22"/>
          <w:szCs w:val="22"/>
        </w:rPr>
        <w:t xml:space="preserve">grade </w:t>
      </w:r>
      <w:r w:rsidR="002C3769" w:rsidRPr="005F1B3F">
        <w:rPr>
          <w:sz w:val="22"/>
          <w:szCs w:val="22"/>
        </w:rPr>
        <w:t xml:space="preserve">comprises half of all P staff and represents the main pool for promotion at managerial levels. </w:t>
      </w:r>
    </w:p>
    <w:p w:rsidR="005F1B3F" w:rsidRDefault="005F1B3F" w:rsidP="00F96587">
      <w:pPr>
        <w:ind w:right="-540"/>
        <w:rPr>
          <w:rFonts w:cs="Arial"/>
          <w:bCs/>
          <w:sz w:val="22"/>
          <w:szCs w:val="22"/>
        </w:rPr>
      </w:pPr>
      <w:r>
        <w:rPr>
          <w:bCs/>
          <w:sz w:val="22"/>
        </w:rPr>
        <w:t xml:space="preserve">   </w:t>
      </w:r>
      <w:r w:rsidR="00CB49D0">
        <w:rPr>
          <w:bCs/>
          <w:sz w:val="22"/>
        </w:rPr>
        <w:t xml:space="preserve"> </w:t>
      </w:r>
      <w:r w:rsidR="006C4795">
        <w:rPr>
          <w:bCs/>
          <w:sz w:val="22"/>
        </w:rPr>
        <w:t xml:space="preserve">5. </w:t>
      </w:r>
      <w:r>
        <w:rPr>
          <w:bCs/>
          <w:sz w:val="22"/>
        </w:rPr>
        <w:t>The wide variation in the use</w:t>
      </w:r>
      <w:r>
        <w:rPr>
          <w:sz w:val="22"/>
          <w:szCs w:val="20"/>
        </w:rPr>
        <w:t xml:space="preserve"> and promotion of SDD </w:t>
      </w:r>
      <w:r>
        <w:rPr>
          <w:rFonts w:cs="Arial"/>
          <w:bCs/>
          <w:sz w:val="22"/>
          <w:szCs w:val="22"/>
        </w:rPr>
        <w:t>and gender analysis in the</w:t>
      </w:r>
      <w:r>
        <w:rPr>
          <w:sz w:val="22"/>
          <w:szCs w:val="20"/>
        </w:rPr>
        <w:t xml:space="preserve"> </w:t>
      </w:r>
      <w:r>
        <w:rPr>
          <w:rFonts w:cs="Arial"/>
          <w:bCs/>
          <w:sz w:val="22"/>
          <w:szCs w:val="22"/>
        </w:rPr>
        <w:t>key sampled documents and Director’s presentations</w:t>
      </w:r>
      <w:r w:rsidR="006C4795">
        <w:rPr>
          <w:rFonts w:cs="Arial"/>
          <w:bCs/>
          <w:sz w:val="22"/>
          <w:szCs w:val="22"/>
        </w:rPr>
        <w:t xml:space="preserve">, </w:t>
      </w:r>
      <w:r w:rsidR="00CB49D0">
        <w:rPr>
          <w:rFonts w:cs="Arial"/>
          <w:bCs/>
          <w:sz w:val="22"/>
          <w:szCs w:val="22"/>
        </w:rPr>
        <w:t xml:space="preserve">constitutes </w:t>
      </w:r>
      <w:r w:rsidR="006C4795">
        <w:rPr>
          <w:rFonts w:cs="Arial"/>
          <w:bCs/>
          <w:sz w:val="22"/>
          <w:szCs w:val="22"/>
        </w:rPr>
        <w:t xml:space="preserve">a reflection of </w:t>
      </w:r>
      <w:r>
        <w:rPr>
          <w:rFonts w:cs="Arial"/>
          <w:bCs/>
          <w:sz w:val="22"/>
          <w:szCs w:val="22"/>
        </w:rPr>
        <w:t>the varying degrees of gender integration in the manage</w:t>
      </w:r>
      <w:r w:rsidR="0045026E">
        <w:rPr>
          <w:rFonts w:cs="Arial"/>
          <w:bCs/>
          <w:sz w:val="22"/>
          <w:szCs w:val="22"/>
        </w:rPr>
        <w:t>ria</w:t>
      </w:r>
      <w:r w:rsidR="00EF3E78">
        <w:rPr>
          <w:rFonts w:cs="Arial"/>
          <w:bCs/>
          <w:sz w:val="22"/>
          <w:szCs w:val="22"/>
        </w:rPr>
        <w:t>l</w:t>
      </w:r>
      <w:r>
        <w:rPr>
          <w:rFonts w:cs="Arial"/>
          <w:bCs/>
          <w:sz w:val="22"/>
          <w:szCs w:val="22"/>
        </w:rPr>
        <w:t xml:space="preserve"> and </w:t>
      </w:r>
      <w:r w:rsidR="00CB49D0">
        <w:rPr>
          <w:rFonts w:cs="Arial"/>
          <w:bCs/>
          <w:sz w:val="22"/>
          <w:szCs w:val="22"/>
        </w:rPr>
        <w:t xml:space="preserve">technical </w:t>
      </w:r>
      <w:r>
        <w:rPr>
          <w:rFonts w:cs="Arial"/>
          <w:bCs/>
          <w:sz w:val="22"/>
          <w:szCs w:val="22"/>
        </w:rPr>
        <w:t xml:space="preserve">work of the different </w:t>
      </w:r>
      <w:r w:rsidR="00CB49D0">
        <w:rPr>
          <w:rFonts w:cs="Arial"/>
          <w:bCs/>
          <w:sz w:val="22"/>
          <w:szCs w:val="22"/>
        </w:rPr>
        <w:t xml:space="preserve">regional </w:t>
      </w:r>
      <w:r>
        <w:rPr>
          <w:rFonts w:cs="Arial"/>
          <w:bCs/>
          <w:sz w:val="22"/>
          <w:szCs w:val="22"/>
        </w:rPr>
        <w:t>units and country offices</w:t>
      </w:r>
      <w:r w:rsidR="00CB49D0">
        <w:rPr>
          <w:rFonts w:cs="Arial"/>
          <w:bCs/>
          <w:sz w:val="22"/>
          <w:szCs w:val="22"/>
        </w:rPr>
        <w:t>.</w:t>
      </w:r>
      <w:r>
        <w:rPr>
          <w:rFonts w:cs="Arial"/>
          <w:bCs/>
          <w:sz w:val="22"/>
          <w:szCs w:val="22"/>
        </w:rPr>
        <w:t xml:space="preserve"> </w:t>
      </w:r>
    </w:p>
    <w:p w:rsidR="005F1B3F" w:rsidRDefault="006C4795" w:rsidP="00F96587">
      <w:pPr>
        <w:ind w:right="-540"/>
        <w:rPr>
          <w:rFonts w:cs="Arial"/>
          <w:bCs/>
          <w:sz w:val="22"/>
          <w:szCs w:val="22"/>
        </w:rPr>
      </w:pPr>
      <w:r>
        <w:rPr>
          <w:rFonts w:cs="Arial"/>
          <w:bCs/>
          <w:sz w:val="22"/>
          <w:szCs w:val="22"/>
        </w:rPr>
        <w:t xml:space="preserve"> </w:t>
      </w:r>
      <w:r w:rsidR="00CB49D0">
        <w:rPr>
          <w:rFonts w:cs="Arial"/>
          <w:bCs/>
          <w:sz w:val="22"/>
          <w:szCs w:val="22"/>
        </w:rPr>
        <w:t xml:space="preserve"> </w:t>
      </w:r>
      <w:r>
        <w:rPr>
          <w:rFonts w:cs="Arial"/>
          <w:bCs/>
          <w:sz w:val="22"/>
          <w:szCs w:val="22"/>
        </w:rPr>
        <w:t xml:space="preserve">  6. </w:t>
      </w:r>
      <w:r w:rsidR="005F1B3F">
        <w:rPr>
          <w:rFonts w:cs="Arial"/>
          <w:bCs/>
          <w:sz w:val="22"/>
          <w:szCs w:val="22"/>
        </w:rPr>
        <w:t xml:space="preserve">The role of the </w:t>
      </w:r>
      <w:r w:rsidR="00D34BEC">
        <w:rPr>
          <w:rFonts w:cs="Arial"/>
          <w:bCs/>
          <w:sz w:val="22"/>
          <w:szCs w:val="22"/>
        </w:rPr>
        <w:t xml:space="preserve">PAHO </w:t>
      </w:r>
      <w:r w:rsidR="0041450A">
        <w:rPr>
          <w:rFonts w:cs="Arial"/>
          <w:bCs/>
          <w:sz w:val="22"/>
          <w:szCs w:val="22"/>
        </w:rPr>
        <w:t>Gender network (R</w:t>
      </w:r>
      <w:r w:rsidR="005F1B3F">
        <w:rPr>
          <w:rFonts w:cs="Arial"/>
          <w:bCs/>
          <w:sz w:val="22"/>
          <w:szCs w:val="22"/>
        </w:rPr>
        <w:t xml:space="preserve">egional Unit and country focal points) </w:t>
      </w:r>
      <w:r w:rsidR="00CB49D0">
        <w:rPr>
          <w:rFonts w:cs="Arial"/>
          <w:bCs/>
          <w:sz w:val="22"/>
          <w:szCs w:val="22"/>
        </w:rPr>
        <w:t xml:space="preserve">appeared </w:t>
      </w:r>
      <w:r w:rsidR="005F1B3F">
        <w:rPr>
          <w:rFonts w:cs="Arial"/>
          <w:bCs/>
          <w:sz w:val="22"/>
          <w:szCs w:val="22"/>
        </w:rPr>
        <w:t>central to the mainstreaming process</w:t>
      </w:r>
      <w:r w:rsidR="00D34BEC">
        <w:rPr>
          <w:rFonts w:cs="Arial"/>
          <w:bCs/>
          <w:sz w:val="22"/>
          <w:szCs w:val="22"/>
        </w:rPr>
        <w:t xml:space="preserve">. Not only it was explicitly acknowledged by surveyed and interviewed staff, but its </w:t>
      </w:r>
      <w:r w:rsidR="005F1B3F">
        <w:rPr>
          <w:rFonts w:cs="Arial"/>
          <w:bCs/>
          <w:sz w:val="22"/>
          <w:szCs w:val="22"/>
        </w:rPr>
        <w:t xml:space="preserve">influence was evident through the </w:t>
      </w:r>
      <w:r w:rsidR="0041450A">
        <w:rPr>
          <w:rFonts w:cs="Arial"/>
          <w:bCs/>
          <w:sz w:val="22"/>
          <w:szCs w:val="22"/>
        </w:rPr>
        <w:t xml:space="preserve">analyzed </w:t>
      </w:r>
      <w:r w:rsidR="005F1B3F">
        <w:rPr>
          <w:rFonts w:cs="Arial"/>
          <w:bCs/>
          <w:sz w:val="22"/>
          <w:szCs w:val="22"/>
        </w:rPr>
        <w:t>CCS</w:t>
      </w:r>
      <w:r w:rsidR="00D34BEC">
        <w:rPr>
          <w:rFonts w:cs="Arial"/>
          <w:bCs/>
          <w:sz w:val="22"/>
          <w:szCs w:val="22"/>
        </w:rPr>
        <w:t>s</w:t>
      </w:r>
      <w:r w:rsidR="005F1B3F">
        <w:rPr>
          <w:rFonts w:cs="Arial"/>
          <w:bCs/>
          <w:sz w:val="22"/>
          <w:szCs w:val="22"/>
        </w:rPr>
        <w:t>, work plans and key documents in whose preparation th</w:t>
      </w:r>
      <w:r w:rsidR="00D34BEC">
        <w:rPr>
          <w:rFonts w:cs="Arial"/>
          <w:bCs/>
          <w:sz w:val="22"/>
          <w:szCs w:val="22"/>
        </w:rPr>
        <w:t xml:space="preserve">is </w:t>
      </w:r>
      <w:r w:rsidR="00CB49D0">
        <w:rPr>
          <w:rFonts w:cs="Arial"/>
          <w:bCs/>
          <w:sz w:val="22"/>
          <w:szCs w:val="22"/>
        </w:rPr>
        <w:t xml:space="preserve">network </w:t>
      </w:r>
      <w:r w:rsidR="005F1B3F">
        <w:rPr>
          <w:rFonts w:cs="Arial"/>
          <w:bCs/>
          <w:sz w:val="22"/>
          <w:szCs w:val="22"/>
        </w:rPr>
        <w:t xml:space="preserve">collaborated. </w:t>
      </w:r>
    </w:p>
    <w:p w:rsidR="0060157C" w:rsidRDefault="00CB49D0" w:rsidP="00F96587">
      <w:pPr>
        <w:ind w:right="-540"/>
        <w:rPr>
          <w:bCs/>
          <w:sz w:val="22"/>
        </w:rPr>
      </w:pPr>
      <w:r>
        <w:rPr>
          <w:rFonts w:cs="Arial"/>
          <w:bCs/>
          <w:sz w:val="22"/>
          <w:szCs w:val="22"/>
        </w:rPr>
        <w:t xml:space="preserve">   </w:t>
      </w:r>
      <w:r w:rsidRPr="00CB49D0">
        <w:rPr>
          <w:rFonts w:cs="Arial"/>
          <w:bCs/>
          <w:sz w:val="22"/>
          <w:szCs w:val="22"/>
        </w:rPr>
        <w:t xml:space="preserve">7.  </w:t>
      </w:r>
      <w:r w:rsidR="006C4795">
        <w:rPr>
          <w:rFonts w:cs="Arial"/>
          <w:bCs/>
          <w:sz w:val="22"/>
          <w:szCs w:val="22"/>
        </w:rPr>
        <w:t xml:space="preserve">Overall, </w:t>
      </w:r>
      <w:r w:rsidR="006C4795">
        <w:rPr>
          <w:bCs/>
          <w:sz w:val="22"/>
        </w:rPr>
        <w:t>t</w:t>
      </w:r>
      <w:r w:rsidR="009571FA">
        <w:rPr>
          <w:bCs/>
          <w:sz w:val="22"/>
        </w:rPr>
        <w:t>he results of th</w:t>
      </w:r>
      <w:r w:rsidR="006C4795">
        <w:rPr>
          <w:bCs/>
          <w:sz w:val="22"/>
        </w:rPr>
        <w:t>is assessment (</w:t>
      </w:r>
      <w:r w:rsidR="009571FA">
        <w:rPr>
          <w:bCs/>
          <w:sz w:val="22"/>
        </w:rPr>
        <w:t>in PAHO and of the other regions</w:t>
      </w:r>
      <w:r w:rsidR="006C4795">
        <w:rPr>
          <w:bCs/>
          <w:sz w:val="22"/>
        </w:rPr>
        <w:t>)</w:t>
      </w:r>
      <w:r w:rsidR="009571FA">
        <w:rPr>
          <w:bCs/>
          <w:sz w:val="22"/>
        </w:rPr>
        <w:t xml:space="preserve"> </w:t>
      </w:r>
      <w:r w:rsidR="006C4795">
        <w:rPr>
          <w:bCs/>
          <w:sz w:val="22"/>
        </w:rPr>
        <w:t xml:space="preserve">coincided </w:t>
      </w:r>
      <w:r w:rsidR="007317EB">
        <w:rPr>
          <w:bCs/>
          <w:sz w:val="22"/>
        </w:rPr>
        <w:t>to</w:t>
      </w:r>
      <w:r w:rsidR="0045026E">
        <w:rPr>
          <w:bCs/>
          <w:sz w:val="22"/>
        </w:rPr>
        <w:t xml:space="preserve"> </w:t>
      </w:r>
      <w:r w:rsidR="007317EB">
        <w:rPr>
          <w:bCs/>
          <w:sz w:val="22"/>
        </w:rPr>
        <w:t>indicate</w:t>
      </w:r>
      <w:r w:rsidR="0045026E">
        <w:rPr>
          <w:bCs/>
          <w:sz w:val="22"/>
        </w:rPr>
        <w:t xml:space="preserve"> </w:t>
      </w:r>
      <w:r w:rsidR="006C4795">
        <w:rPr>
          <w:bCs/>
          <w:sz w:val="22"/>
        </w:rPr>
        <w:t xml:space="preserve">that </w:t>
      </w:r>
      <w:r w:rsidR="009571FA">
        <w:rPr>
          <w:bCs/>
          <w:sz w:val="22"/>
        </w:rPr>
        <w:t xml:space="preserve">awareness and even “knowledge” of </w:t>
      </w:r>
      <w:r>
        <w:rPr>
          <w:bCs/>
          <w:sz w:val="22"/>
        </w:rPr>
        <w:t>wide-ranging</w:t>
      </w:r>
      <w:r w:rsidR="006C4795">
        <w:rPr>
          <w:bCs/>
          <w:sz w:val="22"/>
        </w:rPr>
        <w:t xml:space="preserve"> </w:t>
      </w:r>
      <w:r w:rsidR="009571FA">
        <w:rPr>
          <w:bCs/>
          <w:sz w:val="22"/>
        </w:rPr>
        <w:t>gender mandates and concepts</w:t>
      </w:r>
      <w:r w:rsidR="006C4795">
        <w:rPr>
          <w:bCs/>
          <w:sz w:val="22"/>
        </w:rPr>
        <w:t>--</w:t>
      </w:r>
      <w:r w:rsidR="009571FA">
        <w:rPr>
          <w:bCs/>
          <w:sz w:val="22"/>
        </w:rPr>
        <w:t>of the type transmitted through one-time workshops or a set of tools and guidelines</w:t>
      </w:r>
      <w:r w:rsidR="006C4795">
        <w:rPr>
          <w:bCs/>
          <w:sz w:val="22"/>
        </w:rPr>
        <w:t>--</w:t>
      </w:r>
      <w:r w:rsidR="009571FA">
        <w:rPr>
          <w:bCs/>
          <w:sz w:val="22"/>
        </w:rPr>
        <w:t xml:space="preserve">, seemed to act as </w:t>
      </w:r>
      <w:r w:rsidR="0045026E">
        <w:rPr>
          <w:bCs/>
          <w:sz w:val="22"/>
        </w:rPr>
        <w:t>“</w:t>
      </w:r>
      <w:r w:rsidR="009571FA">
        <w:rPr>
          <w:bCs/>
          <w:sz w:val="22"/>
        </w:rPr>
        <w:t>entry points</w:t>
      </w:r>
      <w:r w:rsidR="0045026E">
        <w:rPr>
          <w:bCs/>
          <w:sz w:val="22"/>
        </w:rPr>
        <w:t>”</w:t>
      </w:r>
      <w:r w:rsidR="006C4795">
        <w:rPr>
          <w:bCs/>
          <w:sz w:val="22"/>
        </w:rPr>
        <w:t>,</w:t>
      </w:r>
      <w:r w:rsidR="009571FA">
        <w:rPr>
          <w:bCs/>
          <w:sz w:val="22"/>
        </w:rPr>
        <w:t xml:space="preserve"> at best, but not as drivers of gender mainstreaming. A </w:t>
      </w:r>
      <w:r w:rsidR="006C4795">
        <w:rPr>
          <w:bCs/>
          <w:sz w:val="22"/>
        </w:rPr>
        <w:t xml:space="preserve">need was made clear for </w:t>
      </w:r>
      <w:r w:rsidR="006C4795" w:rsidRPr="006C4795">
        <w:rPr>
          <w:b/>
          <w:bCs/>
          <w:sz w:val="22"/>
        </w:rPr>
        <w:t xml:space="preserve">sustained and </w:t>
      </w:r>
      <w:r w:rsidR="009571FA" w:rsidRPr="006C4795">
        <w:rPr>
          <w:b/>
          <w:bCs/>
          <w:sz w:val="22"/>
        </w:rPr>
        <w:t>tailored</w:t>
      </w:r>
      <w:r w:rsidR="009571FA">
        <w:rPr>
          <w:bCs/>
          <w:sz w:val="22"/>
        </w:rPr>
        <w:t xml:space="preserve"> </w:t>
      </w:r>
      <w:r w:rsidR="009571FA" w:rsidRPr="006C4795">
        <w:rPr>
          <w:b/>
          <w:bCs/>
          <w:sz w:val="22"/>
        </w:rPr>
        <w:t xml:space="preserve">technical collaboration </w:t>
      </w:r>
      <w:r w:rsidR="006C4795" w:rsidRPr="006C4795">
        <w:rPr>
          <w:bCs/>
          <w:sz w:val="22"/>
        </w:rPr>
        <w:t>to</w:t>
      </w:r>
      <w:r w:rsidR="006C4795">
        <w:rPr>
          <w:b/>
          <w:bCs/>
          <w:sz w:val="22"/>
        </w:rPr>
        <w:t xml:space="preserve"> </w:t>
      </w:r>
      <w:r w:rsidR="009571FA">
        <w:rPr>
          <w:bCs/>
          <w:sz w:val="22"/>
        </w:rPr>
        <w:t>build and apply knowledge</w:t>
      </w:r>
      <w:r w:rsidR="006C4795">
        <w:rPr>
          <w:bCs/>
          <w:sz w:val="22"/>
        </w:rPr>
        <w:t xml:space="preserve"> that emphasized </w:t>
      </w:r>
      <w:r w:rsidR="0045026E">
        <w:rPr>
          <w:bCs/>
          <w:sz w:val="22"/>
        </w:rPr>
        <w:t xml:space="preserve">the use of </w:t>
      </w:r>
      <w:r w:rsidR="006C4795">
        <w:rPr>
          <w:bCs/>
          <w:sz w:val="22"/>
        </w:rPr>
        <w:t xml:space="preserve">participatory, </w:t>
      </w:r>
      <w:r w:rsidR="006C4795" w:rsidRPr="006C4795">
        <w:rPr>
          <w:b/>
          <w:bCs/>
          <w:sz w:val="22"/>
        </w:rPr>
        <w:t>bottom-up</w:t>
      </w:r>
      <w:r w:rsidR="006C4795">
        <w:rPr>
          <w:b/>
          <w:bCs/>
          <w:sz w:val="22"/>
        </w:rPr>
        <w:t xml:space="preserve"> </w:t>
      </w:r>
      <w:r w:rsidR="006C4795" w:rsidRPr="006C4795">
        <w:rPr>
          <w:bCs/>
          <w:sz w:val="22"/>
        </w:rPr>
        <w:t xml:space="preserve">rather than </w:t>
      </w:r>
      <w:r w:rsidR="006C4795">
        <w:rPr>
          <w:bCs/>
          <w:sz w:val="22"/>
        </w:rPr>
        <w:t>conventional</w:t>
      </w:r>
      <w:r w:rsidR="006C4795">
        <w:rPr>
          <w:b/>
          <w:bCs/>
          <w:sz w:val="22"/>
        </w:rPr>
        <w:t xml:space="preserve"> top-down </w:t>
      </w:r>
      <w:r w:rsidR="006C4795" w:rsidRPr="006C4795">
        <w:rPr>
          <w:bCs/>
          <w:sz w:val="22"/>
        </w:rPr>
        <w:t>approaches</w:t>
      </w:r>
      <w:r>
        <w:rPr>
          <w:bCs/>
          <w:sz w:val="22"/>
        </w:rPr>
        <w:t xml:space="preserve">. </w:t>
      </w:r>
    </w:p>
    <w:p w:rsidR="009571FA" w:rsidRPr="00EF3E78" w:rsidRDefault="0060157C" w:rsidP="00F96587">
      <w:pPr>
        <w:ind w:right="-540"/>
        <w:rPr>
          <w:rFonts w:cs="Arial"/>
          <w:bCs/>
          <w:sz w:val="10"/>
          <w:szCs w:val="22"/>
        </w:rPr>
      </w:pPr>
      <w:r>
        <w:rPr>
          <w:bCs/>
          <w:sz w:val="22"/>
        </w:rPr>
        <w:t xml:space="preserve">   8. </w:t>
      </w:r>
      <w:r w:rsidR="00CB49D0">
        <w:rPr>
          <w:bCs/>
          <w:sz w:val="22"/>
        </w:rPr>
        <w:t>Most importantly, the re</w:t>
      </w:r>
      <w:r>
        <w:rPr>
          <w:bCs/>
          <w:sz w:val="22"/>
        </w:rPr>
        <w:t xml:space="preserve">sults confirmed that while </w:t>
      </w:r>
      <w:r w:rsidR="00CB49D0">
        <w:rPr>
          <w:bCs/>
          <w:sz w:val="22"/>
        </w:rPr>
        <w:t xml:space="preserve">knowledge </w:t>
      </w:r>
      <w:r w:rsidR="00B22E6E">
        <w:rPr>
          <w:bCs/>
          <w:sz w:val="22"/>
        </w:rPr>
        <w:t>is</w:t>
      </w:r>
      <w:r w:rsidR="0045026E">
        <w:rPr>
          <w:bCs/>
          <w:sz w:val="22"/>
        </w:rPr>
        <w:t xml:space="preserve"> obviously </w:t>
      </w:r>
      <w:r w:rsidR="00CB49D0">
        <w:rPr>
          <w:bCs/>
          <w:sz w:val="22"/>
        </w:rPr>
        <w:t xml:space="preserve">necessary, the </w:t>
      </w:r>
      <w:r w:rsidR="009571FA">
        <w:rPr>
          <w:bCs/>
          <w:sz w:val="22"/>
        </w:rPr>
        <w:t xml:space="preserve">commitment and </w:t>
      </w:r>
      <w:r w:rsidR="00CB49D0">
        <w:rPr>
          <w:bCs/>
          <w:sz w:val="22"/>
        </w:rPr>
        <w:t xml:space="preserve">active </w:t>
      </w:r>
      <w:r w:rsidR="009571FA">
        <w:rPr>
          <w:bCs/>
          <w:sz w:val="22"/>
        </w:rPr>
        <w:t xml:space="preserve">support of managers </w:t>
      </w:r>
      <w:r w:rsidR="00B22E6E">
        <w:rPr>
          <w:bCs/>
          <w:sz w:val="22"/>
        </w:rPr>
        <w:t>is</w:t>
      </w:r>
      <w:r w:rsidR="009571FA">
        <w:rPr>
          <w:bCs/>
          <w:sz w:val="22"/>
        </w:rPr>
        <w:t xml:space="preserve"> </w:t>
      </w:r>
      <w:r w:rsidR="00CB49D0">
        <w:rPr>
          <w:bCs/>
          <w:sz w:val="22"/>
        </w:rPr>
        <w:t xml:space="preserve">essential to drive the </w:t>
      </w:r>
      <w:r w:rsidR="007317EB">
        <w:rPr>
          <w:bCs/>
          <w:sz w:val="22"/>
        </w:rPr>
        <w:t xml:space="preserve">mainstreaming </w:t>
      </w:r>
      <w:r w:rsidR="00CB49D0">
        <w:rPr>
          <w:bCs/>
          <w:sz w:val="22"/>
        </w:rPr>
        <w:t xml:space="preserve">process and </w:t>
      </w:r>
      <w:r w:rsidR="009571FA">
        <w:rPr>
          <w:bCs/>
          <w:sz w:val="22"/>
        </w:rPr>
        <w:t xml:space="preserve">ensure </w:t>
      </w:r>
      <w:r>
        <w:rPr>
          <w:bCs/>
          <w:sz w:val="22"/>
        </w:rPr>
        <w:t>its sustainability and accountability</w:t>
      </w:r>
      <w:r w:rsidR="00CB49D0">
        <w:rPr>
          <w:bCs/>
          <w:sz w:val="22"/>
        </w:rPr>
        <w:t>.</w:t>
      </w:r>
      <w:r w:rsidR="009571FA">
        <w:rPr>
          <w:bCs/>
          <w:sz w:val="22"/>
        </w:rPr>
        <w:t xml:space="preserve"> </w:t>
      </w:r>
    </w:p>
    <w:p w:rsidR="00B22E6E" w:rsidRDefault="00B22E6E" w:rsidP="00F96587">
      <w:pPr>
        <w:ind w:right="-540"/>
        <w:rPr>
          <w:rFonts w:cs="Arial"/>
          <w:b/>
          <w:bCs/>
          <w:sz w:val="22"/>
          <w:szCs w:val="22"/>
        </w:rPr>
      </w:pPr>
    </w:p>
    <w:p w:rsidR="007317EB" w:rsidRDefault="0045026E" w:rsidP="00F96587">
      <w:pPr>
        <w:ind w:right="-540"/>
        <w:rPr>
          <w:b/>
          <w:sz w:val="22"/>
        </w:rPr>
      </w:pPr>
      <w:r>
        <w:rPr>
          <w:rFonts w:cs="Arial"/>
          <w:b/>
          <w:bCs/>
          <w:sz w:val="22"/>
          <w:szCs w:val="22"/>
        </w:rPr>
        <w:t xml:space="preserve">Main </w:t>
      </w:r>
      <w:r w:rsidR="00AC25ED">
        <w:rPr>
          <w:rFonts w:cs="Arial"/>
          <w:b/>
          <w:bCs/>
          <w:sz w:val="22"/>
          <w:szCs w:val="22"/>
        </w:rPr>
        <w:t>r</w:t>
      </w:r>
      <w:r w:rsidR="009571FA" w:rsidRPr="008637A0">
        <w:rPr>
          <w:rFonts w:cs="Arial"/>
          <w:b/>
          <w:bCs/>
          <w:sz w:val="22"/>
          <w:szCs w:val="22"/>
        </w:rPr>
        <w:t>ec</w:t>
      </w:r>
      <w:r w:rsidR="009571FA" w:rsidRPr="008637A0">
        <w:rPr>
          <w:rFonts w:cs="Arial"/>
          <w:b/>
          <w:sz w:val="22"/>
          <w:szCs w:val="22"/>
        </w:rPr>
        <w:t>ommendations</w:t>
      </w:r>
      <w:r w:rsidR="00AC25ED">
        <w:rPr>
          <w:rFonts w:cs="Arial"/>
          <w:b/>
          <w:sz w:val="22"/>
          <w:szCs w:val="22"/>
        </w:rPr>
        <w:t xml:space="preserve"> </w:t>
      </w:r>
      <w:r w:rsidR="00CB49D0" w:rsidRPr="00AC25ED">
        <w:rPr>
          <w:b/>
          <w:sz w:val="22"/>
        </w:rPr>
        <w:t xml:space="preserve"> </w:t>
      </w:r>
    </w:p>
    <w:p w:rsidR="007317EB" w:rsidRPr="007317EB" w:rsidRDefault="007317EB" w:rsidP="00F96587">
      <w:pPr>
        <w:ind w:right="-540"/>
        <w:rPr>
          <w:b/>
          <w:sz w:val="8"/>
        </w:rPr>
      </w:pPr>
    </w:p>
    <w:p w:rsidR="009571FA" w:rsidRDefault="00E82C3E" w:rsidP="00F96587">
      <w:pPr>
        <w:ind w:right="-540"/>
        <w:rPr>
          <w:sz w:val="22"/>
          <w:lang w:val="en-US"/>
        </w:rPr>
      </w:pPr>
      <w:r>
        <w:rPr>
          <w:sz w:val="22"/>
        </w:rPr>
        <w:t xml:space="preserve">   </w:t>
      </w:r>
      <w:r w:rsidR="00027D50">
        <w:rPr>
          <w:sz w:val="22"/>
        </w:rPr>
        <w:t xml:space="preserve"> </w:t>
      </w:r>
      <w:r w:rsidR="00CB49D0">
        <w:rPr>
          <w:sz w:val="22"/>
        </w:rPr>
        <w:t xml:space="preserve">1. </w:t>
      </w:r>
      <w:r w:rsidR="009571FA">
        <w:rPr>
          <w:sz w:val="22"/>
          <w:lang w:val="en-US"/>
        </w:rPr>
        <w:t>Build</w:t>
      </w:r>
      <w:r w:rsidR="00631813">
        <w:rPr>
          <w:sz w:val="22"/>
          <w:lang w:val="en-US"/>
        </w:rPr>
        <w:t xml:space="preserve"> </w:t>
      </w:r>
      <w:r w:rsidR="009571FA">
        <w:rPr>
          <w:sz w:val="22"/>
          <w:lang w:val="en-US"/>
        </w:rPr>
        <w:t xml:space="preserve">capacity </w:t>
      </w:r>
      <w:r w:rsidR="00CB49D0">
        <w:rPr>
          <w:sz w:val="22"/>
          <w:lang w:val="en-US"/>
        </w:rPr>
        <w:t xml:space="preserve">through processes that go </w:t>
      </w:r>
      <w:r w:rsidR="009571FA">
        <w:rPr>
          <w:sz w:val="22"/>
          <w:lang w:val="en-US"/>
        </w:rPr>
        <w:t xml:space="preserve">beyond </w:t>
      </w:r>
      <w:r w:rsidR="001C5381" w:rsidRPr="0041450A">
        <w:rPr>
          <w:i/>
          <w:sz w:val="22"/>
          <w:lang w:val="en-US"/>
        </w:rPr>
        <w:t>across-the-board</w:t>
      </w:r>
      <w:r w:rsidR="00027D50">
        <w:rPr>
          <w:sz w:val="22"/>
          <w:lang w:val="en-US"/>
        </w:rPr>
        <w:t xml:space="preserve"> </w:t>
      </w:r>
      <w:r w:rsidR="009571FA">
        <w:rPr>
          <w:sz w:val="22"/>
          <w:lang w:val="en-US"/>
        </w:rPr>
        <w:t xml:space="preserve">gender </w:t>
      </w:r>
      <w:r w:rsidR="00027D50">
        <w:rPr>
          <w:sz w:val="22"/>
          <w:lang w:val="en-US"/>
        </w:rPr>
        <w:t>“</w:t>
      </w:r>
      <w:r w:rsidR="009571FA">
        <w:rPr>
          <w:sz w:val="22"/>
          <w:lang w:val="en-US"/>
        </w:rPr>
        <w:t>training</w:t>
      </w:r>
      <w:r w:rsidR="00027D50">
        <w:rPr>
          <w:sz w:val="22"/>
          <w:lang w:val="en-US"/>
        </w:rPr>
        <w:t>”, towards</w:t>
      </w:r>
      <w:r w:rsidR="009571FA">
        <w:rPr>
          <w:sz w:val="22"/>
          <w:lang w:val="en-US"/>
        </w:rPr>
        <w:t xml:space="preserve"> </w:t>
      </w:r>
      <w:r w:rsidR="00027D50" w:rsidRPr="0045026E">
        <w:rPr>
          <w:b/>
          <w:sz w:val="22"/>
          <w:lang w:val="en-US"/>
        </w:rPr>
        <w:t>participatory</w:t>
      </w:r>
      <w:r w:rsidR="001C5381">
        <w:rPr>
          <w:sz w:val="22"/>
          <w:lang w:val="en-US"/>
        </w:rPr>
        <w:t xml:space="preserve"> assembling</w:t>
      </w:r>
      <w:r w:rsidR="00027D50">
        <w:rPr>
          <w:sz w:val="22"/>
        </w:rPr>
        <w:t xml:space="preserve"> of conceptual frameworks, evidence and tools</w:t>
      </w:r>
      <w:r w:rsidR="00027D50" w:rsidRPr="0045026E">
        <w:rPr>
          <w:b/>
          <w:sz w:val="22"/>
        </w:rPr>
        <w:t xml:space="preserve"> </w:t>
      </w:r>
      <w:r w:rsidR="0060157C" w:rsidRPr="0060157C">
        <w:rPr>
          <w:sz w:val="22"/>
        </w:rPr>
        <w:t>that are</w:t>
      </w:r>
      <w:r w:rsidR="0060157C">
        <w:rPr>
          <w:b/>
          <w:sz w:val="22"/>
        </w:rPr>
        <w:t xml:space="preserve"> </w:t>
      </w:r>
      <w:r w:rsidR="00EF3E78">
        <w:rPr>
          <w:b/>
          <w:sz w:val="22"/>
        </w:rPr>
        <w:t>focused</w:t>
      </w:r>
      <w:r w:rsidR="00EF3E78" w:rsidRPr="00EF3E78">
        <w:rPr>
          <w:sz w:val="22"/>
        </w:rPr>
        <w:t xml:space="preserve"> on</w:t>
      </w:r>
      <w:r w:rsidR="00EF3E78">
        <w:rPr>
          <w:b/>
          <w:sz w:val="22"/>
        </w:rPr>
        <w:t xml:space="preserve"> </w:t>
      </w:r>
      <w:r w:rsidR="00027D50">
        <w:rPr>
          <w:sz w:val="22"/>
        </w:rPr>
        <w:t xml:space="preserve">specific work areas. </w:t>
      </w:r>
      <w:r w:rsidR="009E062A">
        <w:rPr>
          <w:sz w:val="22"/>
        </w:rPr>
        <w:t xml:space="preserve">Collaborative work with the other PAHO six cross-cutting themes </w:t>
      </w:r>
      <w:r w:rsidR="0060157C">
        <w:rPr>
          <w:sz w:val="22"/>
        </w:rPr>
        <w:t>should</w:t>
      </w:r>
      <w:r w:rsidR="009E062A">
        <w:rPr>
          <w:sz w:val="22"/>
        </w:rPr>
        <w:t xml:space="preserve"> have a multiplier effect.  </w:t>
      </w:r>
      <w:r w:rsidR="00EF3E78">
        <w:rPr>
          <w:sz w:val="22"/>
        </w:rPr>
        <w:t>Specific</w:t>
      </w:r>
      <w:r w:rsidR="009571FA">
        <w:rPr>
          <w:sz w:val="22"/>
          <w:lang w:val="en-US"/>
        </w:rPr>
        <w:t xml:space="preserve"> training for managers in HQ and CO </w:t>
      </w:r>
      <w:r w:rsidR="00305594">
        <w:rPr>
          <w:sz w:val="22"/>
          <w:lang w:val="en-US"/>
        </w:rPr>
        <w:t>seems critical</w:t>
      </w:r>
      <w:r w:rsidR="00EF3E78">
        <w:rPr>
          <w:sz w:val="22"/>
          <w:lang w:val="en-US"/>
        </w:rPr>
        <w:t>.</w:t>
      </w:r>
    </w:p>
    <w:p w:rsidR="00E82C3E" w:rsidRDefault="00E82C3E" w:rsidP="00F96587">
      <w:pPr>
        <w:pStyle w:val="ListParagraph"/>
        <w:ind w:left="0" w:right="-540"/>
        <w:rPr>
          <w:sz w:val="22"/>
        </w:rPr>
      </w:pPr>
      <w:r>
        <w:rPr>
          <w:sz w:val="22"/>
          <w:lang w:val="en-US"/>
        </w:rPr>
        <w:t xml:space="preserve">    </w:t>
      </w:r>
      <w:r w:rsidR="00027D50">
        <w:rPr>
          <w:sz w:val="22"/>
          <w:lang w:val="en-US"/>
        </w:rPr>
        <w:t xml:space="preserve">2. </w:t>
      </w:r>
      <w:r w:rsidR="001C5381">
        <w:rPr>
          <w:sz w:val="22"/>
          <w:lang w:val="en-US"/>
        </w:rPr>
        <w:t xml:space="preserve">Strengthen collaboration </w:t>
      </w:r>
      <w:r w:rsidR="0045026E">
        <w:rPr>
          <w:sz w:val="22"/>
          <w:lang w:val="en-US"/>
        </w:rPr>
        <w:t xml:space="preserve">between the Gender Network and </w:t>
      </w:r>
      <w:r w:rsidR="001C5381">
        <w:rPr>
          <w:sz w:val="22"/>
          <w:lang w:val="en-US"/>
        </w:rPr>
        <w:t xml:space="preserve">key </w:t>
      </w:r>
      <w:r w:rsidR="009571FA">
        <w:rPr>
          <w:sz w:val="22"/>
          <w:lang w:val="en-US"/>
        </w:rPr>
        <w:t xml:space="preserve">PAHO </w:t>
      </w:r>
      <w:r w:rsidR="009571FA" w:rsidRPr="00481E8D">
        <w:rPr>
          <w:sz w:val="22"/>
          <w:lang w:val="en-US"/>
        </w:rPr>
        <w:t>Office</w:t>
      </w:r>
      <w:r w:rsidR="001C5381">
        <w:rPr>
          <w:sz w:val="22"/>
          <w:lang w:val="en-US"/>
        </w:rPr>
        <w:t xml:space="preserve">s, </w:t>
      </w:r>
      <w:r w:rsidR="0060157C">
        <w:rPr>
          <w:sz w:val="22"/>
          <w:lang w:val="en-US"/>
        </w:rPr>
        <w:t xml:space="preserve">among them, </w:t>
      </w:r>
      <w:r w:rsidR="001C5381" w:rsidRPr="0060157C">
        <w:rPr>
          <w:rFonts w:cs="Arial"/>
          <w:bCs/>
          <w:i/>
          <w:sz w:val="22"/>
          <w:szCs w:val="20"/>
        </w:rPr>
        <w:t>Planning and P</w:t>
      </w:r>
      <w:r w:rsidR="007306F1" w:rsidRPr="0060157C">
        <w:rPr>
          <w:rFonts w:cs="Arial"/>
          <w:bCs/>
          <w:i/>
          <w:sz w:val="22"/>
          <w:szCs w:val="20"/>
        </w:rPr>
        <w:t xml:space="preserve">rogram Budget, Country Support, </w:t>
      </w:r>
      <w:r w:rsidR="009571FA" w:rsidRPr="0060157C">
        <w:rPr>
          <w:i/>
          <w:sz w:val="24"/>
          <w:lang w:val="en-US"/>
        </w:rPr>
        <w:t xml:space="preserve"> </w:t>
      </w:r>
      <w:r w:rsidR="007306F1" w:rsidRPr="0060157C">
        <w:rPr>
          <w:i/>
          <w:sz w:val="22"/>
          <w:lang w:val="en-US"/>
        </w:rPr>
        <w:t xml:space="preserve">Human Resources Management, </w:t>
      </w:r>
      <w:r w:rsidR="002B56BA" w:rsidRPr="0060157C">
        <w:rPr>
          <w:i/>
          <w:sz w:val="22"/>
          <w:lang w:val="en-US"/>
        </w:rPr>
        <w:t xml:space="preserve">Governing Bodies, </w:t>
      </w:r>
      <w:r w:rsidR="002B02A6" w:rsidRPr="0060157C">
        <w:rPr>
          <w:i/>
          <w:sz w:val="22"/>
          <w:lang w:val="en-US"/>
        </w:rPr>
        <w:t>Health Analysis</w:t>
      </w:r>
      <w:r w:rsidR="009B36F4" w:rsidRPr="0060157C">
        <w:rPr>
          <w:i/>
          <w:sz w:val="22"/>
          <w:lang w:val="en-US"/>
        </w:rPr>
        <w:t>,</w:t>
      </w:r>
      <w:r w:rsidR="002B02A6" w:rsidRPr="0060157C">
        <w:rPr>
          <w:i/>
          <w:sz w:val="22"/>
          <w:lang w:val="en-US"/>
        </w:rPr>
        <w:t xml:space="preserve"> </w:t>
      </w:r>
      <w:r w:rsidR="00D615CA" w:rsidRPr="0060157C">
        <w:rPr>
          <w:sz w:val="22"/>
          <w:lang w:val="en-US"/>
        </w:rPr>
        <w:t>and the</w:t>
      </w:r>
      <w:r w:rsidR="00D615CA" w:rsidRPr="0060157C">
        <w:rPr>
          <w:i/>
          <w:sz w:val="22"/>
          <w:lang w:val="en-US"/>
        </w:rPr>
        <w:t xml:space="preserve"> Assistant </w:t>
      </w:r>
      <w:r w:rsidR="00D615CA" w:rsidRPr="0060157C">
        <w:rPr>
          <w:sz w:val="22"/>
          <w:lang w:val="en-US"/>
        </w:rPr>
        <w:t>and</w:t>
      </w:r>
      <w:r w:rsidR="00D615CA" w:rsidRPr="0060157C">
        <w:rPr>
          <w:i/>
          <w:sz w:val="22"/>
          <w:lang w:val="en-US"/>
        </w:rPr>
        <w:t xml:space="preserve"> Deputy Director</w:t>
      </w:r>
      <w:r w:rsidRPr="0060157C">
        <w:rPr>
          <w:i/>
          <w:sz w:val="22"/>
          <w:lang w:val="en-US"/>
        </w:rPr>
        <w:t>’s,</w:t>
      </w:r>
      <w:r>
        <w:rPr>
          <w:b/>
          <w:sz w:val="22"/>
          <w:lang w:val="en-US"/>
        </w:rPr>
        <w:t xml:space="preserve"> </w:t>
      </w:r>
      <w:r w:rsidRPr="002B56BA">
        <w:rPr>
          <w:sz w:val="22"/>
          <w:lang w:val="en-US"/>
        </w:rPr>
        <w:t xml:space="preserve">for </w:t>
      </w:r>
      <w:r w:rsidR="007306F1">
        <w:rPr>
          <w:sz w:val="22"/>
          <w:lang w:val="en-US"/>
        </w:rPr>
        <w:t xml:space="preserve"> the purpose</w:t>
      </w:r>
      <w:r w:rsidR="009B36F4">
        <w:rPr>
          <w:sz w:val="22"/>
          <w:lang w:val="en-US"/>
        </w:rPr>
        <w:t>s</w:t>
      </w:r>
      <w:r w:rsidR="007306F1">
        <w:rPr>
          <w:sz w:val="22"/>
          <w:lang w:val="en-US"/>
        </w:rPr>
        <w:t xml:space="preserve"> of designing </w:t>
      </w:r>
      <w:r w:rsidR="00965FB2">
        <w:rPr>
          <w:sz w:val="22"/>
          <w:lang w:val="en-US"/>
        </w:rPr>
        <w:t xml:space="preserve">and applying </w:t>
      </w:r>
      <w:r w:rsidR="007306F1">
        <w:rPr>
          <w:sz w:val="22"/>
          <w:lang w:val="en-US"/>
        </w:rPr>
        <w:t xml:space="preserve">gender-sensitive </w:t>
      </w:r>
      <w:r w:rsidR="007306F1" w:rsidRPr="00965FB2">
        <w:rPr>
          <w:b/>
          <w:sz w:val="22"/>
          <w:lang w:val="en-US"/>
        </w:rPr>
        <w:t xml:space="preserve">guidelines </w:t>
      </w:r>
      <w:r w:rsidR="00EF3E78" w:rsidRPr="00EF3E78">
        <w:rPr>
          <w:sz w:val="22"/>
          <w:lang w:val="en-US"/>
        </w:rPr>
        <w:t>to</w:t>
      </w:r>
      <w:r w:rsidR="007306F1" w:rsidRPr="00EF3E78">
        <w:rPr>
          <w:sz w:val="22"/>
          <w:lang w:val="en-US"/>
        </w:rPr>
        <w:t xml:space="preserve"> </w:t>
      </w:r>
      <w:r w:rsidR="007306F1">
        <w:rPr>
          <w:sz w:val="22"/>
          <w:lang w:val="en-US"/>
        </w:rPr>
        <w:t>planning</w:t>
      </w:r>
      <w:r w:rsidR="00965FB2">
        <w:rPr>
          <w:sz w:val="22"/>
          <w:lang w:val="en-US"/>
        </w:rPr>
        <w:t>,</w:t>
      </w:r>
      <w:r w:rsidR="002B56BA">
        <w:rPr>
          <w:sz w:val="22"/>
          <w:lang w:val="en-US"/>
        </w:rPr>
        <w:t xml:space="preserve"> </w:t>
      </w:r>
      <w:r w:rsidR="007306F1">
        <w:rPr>
          <w:sz w:val="22"/>
          <w:lang w:val="en-US"/>
        </w:rPr>
        <w:t>evaluation</w:t>
      </w:r>
      <w:r w:rsidR="00965FB2">
        <w:rPr>
          <w:sz w:val="22"/>
          <w:lang w:val="en-US"/>
        </w:rPr>
        <w:t xml:space="preserve"> and document </w:t>
      </w:r>
      <w:r w:rsidR="002B56BA">
        <w:rPr>
          <w:sz w:val="22"/>
          <w:lang w:val="en-US"/>
        </w:rPr>
        <w:t>production</w:t>
      </w:r>
      <w:r w:rsidR="00965FB2">
        <w:rPr>
          <w:sz w:val="22"/>
          <w:lang w:val="en-US"/>
        </w:rPr>
        <w:t xml:space="preserve">, </w:t>
      </w:r>
      <w:r w:rsidR="007306F1">
        <w:rPr>
          <w:sz w:val="22"/>
          <w:lang w:val="en-US"/>
        </w:rPr>
        <w:t xml:space="preserve">as well as effective </w:t>
      </w:r>
      <w:r w:rsidR="007306F1" w:rsidRPr="00965FB2">
        <w:rPr>
          <w:b/>
          <w:sz w:val="22"/>
          <w:lang w:val="en-US"/>
        </w:rPr>
        <w:t>incentives</w:t>
      </w:r>
      <w:r w:rsidR="0041450A">
        <w:rPr>
          <w:b/>
          <w:sz w:val="22"/>
          <w:lang w:val="en-US"/>
        </w:rPr>
        <w:t>, feedback</w:t>
      </w:r>
      <w:r w:rsidR="007306F1" w:rsidRPr="00965FB2">
        <w:rPr>
          <w:b/>
          <w:sz w:val="22"/>
          <w:lang w:val="en-US"/>
        </w:rPr>
        <w:t xml:space="preserve"> </w:t>
      </w:r>
      <w:r w:rsidR="007306F1">
        <w:rPr>
          <w:sz w:val="22"/>
          <w:lang w:val="en-US"/>
        </w:rPr>
        <w:t xml:space="preserve">and </w:t>
      </w:r>
      <w:r w:rsidR="007306F1" w:rsidRPr="00965FB2">
        <w:rPr>
          <w:b/>
          <w:sz w:val="22"/>
          <w:lang w:val="en-US"/>
        </w:rPr>
        <w:t>accountability mechanisms</w:t>
      </w:r>
      <w:r>
        <w:rPr>
          <w:sz w:val="22"/>
          <w:lang w:val="en-US"/>
        </w:rPr>
        <w:t xml:space="preserve"> for gender </w:t>
      </w:r>
      <w:r w:rsidR="00965FB2">
        <w:rPr>
          <w:sz w:val="22"/>
          <w:lang w:val="en-US"/>
        </w:rPr>
        <w:t>integration</w:t>
      </w:r>
      <w:r>
        <w:rPr>
          <w:sz w:val="22"/>
          <w:lang w:val="en-US"/>
        </w:rPr>
        <w:t>.</w:t>
      </w:r>
      <w:r w:rsidR="002B56BA">
        <w:rPr>
          <w:sz w:val="22"/>
        </w:rPr>
        <w:t xml:space="preserve"> </w:t>
      </w:r>
      <w:r>
        <w:rPr>
          <w:sz w:val="22"/>
        </w:rPr>
        <w:t xml:space="preserve">  </w:t>
      </w:r>
    </w:p>
    <w:p w:rsidR="009571FA" w:rsidRPr="00BE7668" w:rsidRDefault="009571FA" w:rsidP="00F96587">
      <w:pPr>
        <w:pStyle w:val="ListParagraph"/>
        <w:ind w:left="0" w:right="-540"/>
        <w:rPr>
          <w:sz w:val="2"/>
          <w:szCs w:val="22"/>
        </w:rPr>
      </w:pPr>
      <w:r>
        <w:rPr>
          <w:sz w:val="22"/>
        </w:rPr>
        <w:t xml:space="preserve">    </w:t>
      </w:r>
      <w:r>
        <w:rPr>
          <w:sz w:val="22"/>
          <w:lang w:val="en-US"/>
        </w:rPr>
        <w:t xml:space="preserve">   </w:t>
      </w:r>
      <w:r w:rsidRPr="00DA218E">
        <w:rPr>
          <w:sz w:val="2"/>
          <w:lang w:val="en-US"/>
        </w:rPr>
        <w:t xml:space="preserve">    </w:t>
      </w:r>
    </w:p>
    <w:p w:rsidR="00E82C3E" w:rsidRDefault="00E82C3E" w:rsidP="00F96587">
      <w:pPr>
        <w:ind w:right="-540"/>
        <w:rPr>
          <w:sz w:val="22"/>
          <w:lang w:val="en-US"/>
        </w:rPr>
      </w:pPr>
      <w:r>
        <w:rPr>
          <w:sz w:val="22"/>
        </w:rPr>
        <w:t xml:space="preserve">    3. </w:t>
      </w:r>
      <w:r w:rsidR="009571FA">
        <w:rPr>
          <w:sz w:val="22"/>
          <w:lang w:val="en-US"/>
        </w:rPr>
        <w:t xml:space="preserve">Ensure the active participation of the GE network </w:t>
      </w:r>
      <w:r w:rsidR="002B56BA">
        <w:rPr>
          <w:sz w:val="22"/>
          <w:lang w:val="en-US"/>
        </w:rPr>
        <w:t xml:space="preserve">(regional and country focal points) </w:t>
      </w:r>
      <w:r w:rsidR="009571FA">
        <w:rPr>
          <w:sz w:val="22"/>
          <w:lang w:val="en-US"/>
        </w:rPr>
        <w:t>in the planning and monitoring/evaluation phase</w:t>
      </w:r>
      <w:r w:rsidR="009E062A">
        <w:rPr>
          <w:sz w:val="22"/>
          <w:lang w:val="en-US"/>
        </w:rPr>
        <w:t>s</w:t>
      </w:r>
      <w:r w:rsidR="009571FA">
        <w:rPr>
          <w:sz w:val="22"/>
          <w:lang w:val="en-US"/>
        </w:rPr>
        <w:t xml:space="preserve"> o</w:t>
      </w:r>
      <w:r w:rsidR="002B56BA">
        <w:rPr>
          <w:sz w:val="22"/>
          <w:lang w:val="en-US"/>
        </w:rPr>
        <w:t>f the programming cycle. A</w:t>
      </w:r>
      <w:r w:rsidR="002B02A6">
        <w:rPr>
          <w:sz w:val="22"/>
          <w:lang w:val="en-US"/>
        </w:rPr>
        <w:t>nd aim--</w:t>
      </w:r>
      <w:r w:rsidR="009571FA">
        <w:rPr>
          <w:sz w:val="22"/>
          <w:lang w:val="en-US"/>
        </w:rPr>
        <w:t xml:space="preserve">through different avenues-- to broaden the </w:t>
      </w:r>
      <w:r w:rsidR="002B02A6">
        <w:rPr>
          <w:sz w:val="22"/>
          <w:lang w:val="en-US"/>
        </w:rPr>
        <w:t xml:space="preserve">availability of gender expertise </w:t>
      </w:r>
      <w:r w:rsidR="009571FA">
        <w:rPr>
          <w:sz w:val="22"/>
          <w:lang w:val="en-US"/>
        </w:rPr>
        <w:t xml:space="preserve">throughout the Organization. </w:t>
      </w:r>
    </w:p>
    <w:p w:rsidR="00E82C3E" w:rsidRDefault="0060157C" w:rsidP="00F96587">
      <w:pPr>
        <w:ind w:right="-540"/>
        <w:rPr>
          <w:sz w:val="22"/>
          <w:lang w:val="en-US"/>
        </w:rPr>
      </w:pPr>
      <w:r>
        <w:rPr>
          <w:sz w:val="22"/>
          <w:lang w:val="en-US"/>
        </w:rPr>
        <w:t xml:space="preserve">    4. Engage </w:t>
      </w:r>
      <w:r w:rsidR="009571FA">
        <w:rPr>
          <w:sz w:val="22"/>
          <w:lang w:val="en-US"/>
        </w:rPr>
        <w:t xml:space="preserve">the Staff Association </w:t>
      </w:r>
      <w:r w:rsidR="00514022">
        <w:rPr>
          <w:sz w:val="22"/>
          <w:lang w:val="en-US"/>
        </w:rPr>
        <w:t>in plac</w:t>
      </w:r>
      <w:r w:rsidR="00EF3E78">
        <w:rPr>
          <w:sz w:val="22"/>
          <w:lang w:val="en-US"/>
        </w:rPr>
        <w:t>ing</w:t>
      </w:r>
      <w:r w:rsidR="00514022">
        <w:rPr>
          <w:sz w:val="22"/>
          <w:lang w:val="en-US"/>
        </w:rPr>
        <w:t xml:space="preserve"> gender mainstreaming </w:t>
      </w:r>
      <w:r w:rsidR="009571FA">
        <w:rPr>
          <w:sz w:val="22"/>
          <w:lang w:val="en-US"/>
        </w:rPr>
        <w:t>in the context of administrative concerns and internal human resources policies.</w:t>
      </w:r>
    </w:p>
    <w:p w:rsidR="00305594" w:rsidRDefault="00E82C3E" w:rsidP="00F96587">
      <w:pPr>
        <w:ind w:right="-540"/>
        <w:rPr>
          <w:sz w:val="22"/>
          <w:szCs w:val="22"/>
        </w:rPr>
      </w:pPr>
      <w:r>
        <w:rPr>
          <w:sz w:val="22"/>
          <w:lang w:val="en-US"/>
        </w:rPr>
        <w:t xml:space="preserve">    5. </w:t>
      </w:r>
      <w:r w:rsidR="009571FA">
        <w:rPr>
          <w:sz w:val="22"/>
          <w:szCs w:val="22"/>
        </w:rPr>
        <w:t>Give special consideration to the recruitment and promotion of women into the P4 grade</w:t>
      </w:r>
      <w:r w:rsidR="002B02A6">
        <w:rPr>
          <w:sz w:val="22"/>
          <w:szCs w:val="22"/>
        </w:rPr>
        <w:t xml:space="preserve"> within the context of</w:t>
      </w:r>
      <w:r w:rsidR="00514022">
        <w:rPr>
          <w:sz w:val="22"/>
          <w:szCs w:val="22"/>
        </w:rPr>
        <w:t xml:space="preserve"> C</w:t>
      </w:r>
      <w:r w:rsidR="002B02A6">
        <w:rPr>
          <w:sz w:val="22"/>
          <w:szCs w:val="22"/>
        </w:rPr>
        <w:t xml:space="preserve">areer </w:t>
      </w:r>
      <w:r w:rsidR="00514022">
        <w:rPr>
          <w:sz w:val="22"/>
          <w:szCs w:val="22"/>
        </w:rPr>
        <w:t>D</w:t>
      </w:r>
      <w:r w:rsidR="002B02A6">
        <w:rPr>
          <w:sz w:val="22"/>
          <w:szCs w:val="22"/>
        </w:rPr>
        <w:t xml:space="preserve">evelopment </w:t>
      </w:r>
      <w:r w:rsidR="00514022">
        <w:rPr>
          <w:sz w:val="22"/>
          <w:szCs w:val="22"/>
        </w:rPr>
        <w:t>in the Human Resources Development P</w:t>
      </w:r>
      <w:r w:rsidR="002B02A6">
        <w:rPr>
          <w:sz w:val="22"/>
          <w:szCs w:val="22"/>
        </w:rPr>
        <w:t>lan.</w:t>
      </w:r>
      <w:r w:rsidR="009571FA">
        <w:rPr>
          <w:sz w:val="22"/>
          <w:szCs w:val="22"/>
        </w:rPr>
        <w:t xml:space="preserve"> </w:t>
      </w:r>
    </w:p>
    <w:p w:rsidR="009571FA" w:rsidRDefault="00305594" w:rsidP="002B02A6">
      <w:pPr>
        <w:ind w:right="-540"/>
        <w:rPr>
          <w:rFonts w:cs="Arial"/>
          <w:b/>
          <w:bCs/>
          <w:sz w:val="22"/>
          <w:szCs w:val="22"/>
        </w:rPr>
      </w:pPr>
      <w:r>
        <w:rPr>
          <w:sz w:val="22"/>
          <w:szCs w:val="22"/>
        </w:rPr>
        <w:t xml:space="preserve"> </w:t>
      </w:r>
      <w:r w:rsidR="009571FA">
        <w:rPr>
          <w:rFonts w:cs="Arial"/>
          <w:b/>
          <w:bCs/>
          <w:sz w:val="22"/>
          <w:szCs w:val="22"/>
        </w:rPr>
        <w:br w:type="page"/>
        <w:t xml:space="preserve"> </w:t>
      </w:r>
      <w:r w:rsidR="00C53FE1">
        <w:rPr>
          <w:rFonts w:cs="Arial"/>
          <w:b/>
          <w:bCs/>
          <w:sz w:val="22"/>
          <w:szCs w:val="22"/>
        </w:rPr>
        <w:t xml:space="preserve">I. </w:t>
      </w:r>
      <w:r w:rsidR="009571FA" w:rsidRPr="00635770">
        <w:rPr>
          <w:rFonts w:cs="Arial"/>
          <w:b/>
          <w:bCs/>
          <w:sz w:val="24"/>
          <w:szCs w:val="22"/>
        </w:rPr>
        <w:t>INTRODUCTION</w:t>
      </w:r>
    </w:p>
    <w:p w:rsidR="009571FA" w:rsidRDefault="009571FA" w:rsidP="001D2729">
      <w:pPr>
        <w:rPr>
          <w:rFonts w:cs="Arial"/>
          <w:b/>
          <w:bCs/>
          <w:sz w:val="22"/>
          <w:szCs w:val="22"/>
        </w:rPr>
      </w:pPr>
    </w:p>
    <w:p w:rsidR="009571FA" w:rsidRDefault="009571FA" w:rsidP="004A6B15">
      <w:pPr>
        <w:ind w:left="14" w:right="-360" w:firstLine="14"/>
        <w:jc w:val="both"/>
        <w:rPr>
          <w:rFonts w:cs="Arial"/>
          <w:sz w:val="22"/>
          <w:szCs w:val="22"/>
        </w:rPr>
      </w:pPr>
      <w:r w:rsidRPr="00B701E1">
        <w:rPr>
          <w:rFonts w:cs="Arial"/>
          <w:bCs/>
          <w:sz w:val="22"/>
          <w:szCs w:val="22"/>
        </w:rPr>
        <w:t>This report presents the baseline assessment of the extent to which gender is integrated into the work of the Pan American Health Organization (PAHO). This assessment was carried out as part of the W</w:t>
      </w:r>
      <w:r>
        <w:rPr>
          <w:rFonts w:cs="Arial"/>
          <w:bCs/>
          <w:sz w:val="22"/>
          <w:szCs w:val="22"/>
        </w:rPr>
        <w:t>orld Health Organizatio</w:t>
      </w:r>
      <w:r w:rsidRPr="00B701E1">
        <w:rPr>
          <w:rFonts w:cs="Arial"/>
          <w:bCs/>
          <w:sz w:val="22"/>
          <w:szCs w:val="22"/>
        </w:rPr>
        <w:t>n</w:t>
      </w:r>
      <w:r>
        <w:rPr>
          <w:rFonts w:cs="Arial"/>
          <w:bCs/>
          <w:sz w:val="22"/>
          <w:szCs w:val="22"/>
        </w:rPr>
        <w:t xml:space="preserve"> (WHO)</w:t>
      </w:r>
      <w:r w:rsidRPr="00B701E1">
        <w:rPr>
          <w:rFonts w:cs="Arial"/>
          <w:bCs/>
          <w:sz w:val="22"/>
          <w:szCs w:val="22"/>
        </w:rPr>
        <w:t xml:space="preserve"> coordinated effort to set evaluation and monitoring parameters for its recently approved Gender Integration Strategy (2008-2013). </w:t>
      </w:r>
      <w:r>
        <w:rPr>
          <w:rFonts w:cs="Arial"/>
          <w:sz w:val="22"/>
          <w:szCs w:val="22"/>
        </w:rPr>
        <w:t>The assessment forms part of a long term plan for evaluating the progress of mainstreaming gender within all the offices of WHO: Headquarters (HQ), as well as its four regional offices: of the Americas (AMRO/PAHO), Europe (EURO), Africa (AFRO), Asia Pacific (APRO), and Western Pacific (WPRO). The evaluation includes three phases: the baseline to be finalized in 2009, a midterm assessment in 2010, and the final evaluation in 2013.</w:t>
      </w:r>
    </w:p>
    <w:p w:rsidR="009571FA" w:rsidRPr="00AE77AE" w:rsidRDefault="009571FA" w:rsidP="004A6B15">
      <w:pPr>
        <w:ind w:firstLine="14"/>
        <w:rPr>
          <w:rFonts w:cs="Arial"/>
          <w:bCs/>
          <w:sz w:val="14"/>
          <w:szCs w:val="22"/>
        </w:rPr>
      </w:pPr>
    </w:p>
    <w:p w:rsidR="009571FA" w:rsidRDefault="009571FA" w:rsidP="008C6D6D">
      <w:pPr>
        <w:ind w:right="-360" w:firstLine="14"/>
        <w:rPr>
          <w:rFonts w:cs="Arial"/>
          <w:bCs/>
          <w:sz w:val="22"/>
          <w:szCs w:val="22"/>
        </w:rPr>
      </w:pPr>
      <w:r w:rsidRPr="00B701E1">
        <w:rPr>
          <w:rFonts w:cs="Arial"/>
          <w:bCs/>
          <w:sz w:val="22"/>
          <w:szCs w:val="22"/>
        </w:rPr>
        <w:t>For PAHO, this baseline has the added value of providing the evaluation and monitoring basis for</w:t>
      </w:r>
      <w:r>
        <w:rPr>
          <w:rFonts w:cs="Arial"/>
          <w:bCs/>
          <w:sz w:val="22"/>
          <w:szCs w:val="22"/>
        </w:rPr>
        <w:t xml:space="preserve"> </w:t>
      </w:r>
      <w:r w:rsidR="00AE77AE">
        <w:rPr>
          <w:rFonts w:cs="Arial"/>
          <w:bCs/>
          <w:sz w:val="22"/>
          <w:szCs w:val="22"/>
        </w:rPr>
        <w:t xml:space="preserve">the implementation of </w:t>
      </w:r>
      <w:r>
        <w:rPr>
          <w:rFonts w:cs="Arial"/>
          <w:bCs/>
          <w:sz w:val="22"/>
          <w:szCs w:val="22"/>
        </w:rPr>
        <w:t>its own Gender Equality Policy</w:t>
      </w:r>
      <w:r w:rsidR="00AE77AE">
        <w:rPr>
          <w:rFonts w:cs="Arial"/>
          <w:bCs/>
          <w:sz w:val="22"/>
          <w:szCs w:val="22"/>
        </w:rPr>
        <w:t xml:space="preserve">, </w:t>
      </w:r>
      <w:r>
        <w:rPr>
          <w:rFonts w:cs="Arial"/>
          <w:bCs/>
          <w:sz w:val="22"/>
          <w:szCs w:val="22"/>
        </w:rPr>
        <w:t xml:space="preserve">approved by its Member </w:t>
      </w:r>
      <w:r w:rsidR="00AE77AE">
        <w:rPr>
          <w:rFonts w:cs="Arial"/>
          <w:bCs/>
          <w:sz w:val="22"/>
          <w:szCs w:val="22"/>
        </w:rPr>
        <w:t>St</w:t>
      </w:r>
      <w:r>
        <w:rPr>
          <w:rFonts w:cs="Arial"/>
          <w:bCs/>
          <w:sz w:val="22"/>
          <w:szCs w:val="22"/>
        </w:rPr>
        <w:t xml:space="preserve">ates in 2005, </w:t>
      </w:r>
      <w:r w:rsidRPr="00B701E1">
        <w:rPr>
          <w:rFonts w:cs="Arial"/>
          <w:bCs/>
          <w:sz w:val="22"/>
          <w:szCs w:val="22"/>
        </w:rPr>
        <w:t xml:space="preserve">as well as key elements to guide its proposed </w:t>
      </w:r>
      <w:r w:rsidR="00AE77AE">
        <w:rPr>
          <w:rFonts w:cs="Arial"/>
          <w:bCs/>
          <w:sz w:val="22"/>
          <w:szCs w:val="22"/>
        </w:rPr>
        <w:t>action</w:t>
      </w:r>
      <w:r w:rsidRPr="00B701E1">
        <w:rPr>
          <w:rFonts w:cs="Arial"/>
          <w:bCs/>
          <w:sz w:val="22"/>
          <w:szCs w:val="22"/>
        </w:rPr>
        <w:t xml:space="preserve"> plan</w:t>
      </w:r>
      <w:r>
        <w:rPr>
          <w:rFonts w:cs="Arial"/>
          <w:bCs/>
          <w:sz w:val="22"/>
          <w:szCs w:val="22"/>
        </w:rPr>
        <w:t xml:space="preserve"> (2009 – 2013)</w:t>
      </w:r>
      <w:r w:rsidRPr="00B701E1">
        <w:rPr>
          <w:rFonts w:cs="Arial"/>
          <w:bCs/>
          <w:sz w:val="22"/>
          <w:szCs w:val="22"/>
        </w:rPr>
        <w:t xml:space="preserve">.   </w:t>
      </w:r>
      <w:r>
        <w:rPr>
          <w:rFonts w:cs="Arial"/>
          <w:bCs/>
          <w:sz w:val="22"/>
          <w:szCs w:val="22"/>
        </w:rPr>
        <w:t>This policy forms part of the WHO gender policy and mainstreaming strategy.</w:t>
      </w:r>
    </w:p>
    <w:p w:rsidR="009571FA" w:rsidRPr="00AE77AE" w:rsidRDefault="009571FA" w:rsidP="008C6D6D">
      <w:pPr>
        <w:ind w:right="-360" w:firstLine="14"/>
        <w:rPr>
          <w:rFonts w:cs="Arial"/>
          <w:bCs/>
          <w:sz w:val="12"/>
          <w:szCs w:val="22"/>
        </w:rPr>
      </w:pPr>
    </w:p>
    <w:p w:rsidR="00AE77AE" w:rsidRDefault="009571FA" w:rsidP="008C6D6D">
      <w:pPr>
        <w:ind w:right="-360"/>
        <w:rPr>
          <w:rFonts w:cs="Arial"/>
          <w:color w:val="000000"/>
          <w:sz w:val="22"/>
          <w:szCs w:val="22"/>
        </w:rPr>
      </w:pPr>
      <w:r>
        <w:rPr>
          <w:rFonts w:cs="Arial"/>
          <w:bCs/>
          <w:sz w:val="22"/>
          <w:szCs w:val="22"/>
        </w:rPr>
        <w:t>PAHO</w:t>
      </w:r>
      <w:r w:rsidRPr="00B701E1">
        <w:rPr>
          <w:rFonts w:cs="Arial"/>
          <w:bCs/>
          <w:sz w:val="22"/>
          <w:szCs w:val="22"/>
        </w:rPr>
        <w:t xml:space="preserve">, founded in 1902, is the oldest international public health agency in the world. It performs the double role of serving as </w:t>
      </w:r>
      <w:r w:rsidRPr="00B701E1">
        <w:rPr>
          <w:rFonts w:cs="Arial"/>
          <w:color w:val="000000"/>
          <w:sz w:val="22"/>
          <w:szCs w:val="22"/>
        </w:rPr>
        <w:t xml:space="preserve">the Regional Office for the Americas (AMRO) of the World Health Organization within the United Nations system, and the specialized agency for health within the Inter-American System. </w:t>
      </w:r>
    </w:p>
    <w:p w:rsidR="00AE77AE" w:rsidRPr="00AE77AE" w:rsidRDefault="00AE77AE" w:rsidP="008C6D6D">
      <w:pPr>
        <w:ind w:right="-360"/>
        <w:rPr>
          <w:rFonts w:cs="Arial"/>
          <w:color w:val="000000"/>
          <w:sz w:val="12"/>
          <w:szCs w:val="22"/>
        </w:rPr>
      </w:pPr>
    </w:p>
    <w:p w:rsidR="009571FA" w:rsidRPr="00B701E1" w:rsidRDefault="009571FA" w:rsidP="008C6D6D">
      <w:pPr>
        <w:ind w:right="-360"/>
        <w:rPr>
          <w:sz w:val="22"/>
          <w:szCs w:val="22"/>
        </w:rPr>
      </w:pPr>
      <w:r w:rsidRPr="00B701E1">
        <w:rPr>
          <w:sz w:val="22"/>
          <w:szCs w:val="22"/>
        </w:rPr>
        <w:t>The PAHO Regio</w:t>
      </w:r>
      <w:r>
        <w:rPr>
          <w:sz w:val="22"/>
          <w:szCs w:val="22"/>
        </w:rPr>
        <w:t xml:space="preserve">n is composed of 46 </w:t>
      </w:r>
      <w:r w:rsidRPr="00B701E1">
        <w:rPr>
          <w:sz w:val="22"/>
          <w:szCs w:val="22"/>
        </w:rPr>
        <w:t>countries and territories encompassing North, Central and South America as well as</w:t>
      </w:r>
      <w:r>
        <w:rPr>
          <w:sz w:val="22"/>
          <w:szCs w:val="22"/>
        </w:rPr>
        <w:t xml:space="preserve"> the</w:t>
      </w:r>
      <w:r w:rsidRPr="00B701E1">
        <w:rPr>
          <w:sz w:val="22"/>
          <w:szCs w:val="22"/>
        </w:rPr>
        <w:t xml:space="preserve"> Caribbean Islands. As of December 31</w:t>
      </w:r>
      <w:r w:rsidR="00AE77AE">
        <w:rPr>
          <w:sz w:val="22"/>
          <w:szCs w:val="22"/>
        </w:rPr>
        <w:t>,</w:t>
      </w:r>
      <w:r w:rsidRPr="00B701E1">
        <w:rPr>
          <w:sz w:val="22"/>
          <w:szCs w:val="22"/>
        </w:rPr>
        <w:t xml:space="preserve"> 2007, the total number of all PAHO staff was 889, of which 527 were women. </w:t>
      </w:r>
      <w:r w:rsidRPr="00B701E1">
        <w:rPr>
          <w:rFonts w:cs="Arial"/>
          <w:bCs/>
          <w:sz w:val="22"/>
          <w:szCs w:val="22"/>
        </w:rPr>
        <w:t xml:space="preserve">From its headquarters in Washington, D.C., PAHO directs the scientific and technical efforts of experts in 27 country offices and in seven scientific centers. PAHO's annual budget for its core programs totals about $180 million, largely from assessed contributions paid by Member Governments. In addition, PAHO receives financial support from WHO/Geneva, other contributing countries, foundations and the private sector. </w:t>
      </w:r>
      <w:r w:rsidRPr="00B701E1">
        <w:rPr>
          <w:rFonts w:cs="Arial"/>
          <w:sz w:val="22"/>
          <w:szCs w:val="22"/>
        </w:rPr>
        <w:t>PAHO’s Governing Bodies</w:t>
      </w:r>
      <w:r>
        <w:rPr>
          <w:rFonts w:cs="Arial"/>
          <w:sz w:val="22"/>
          <w:szCs w:val="22"/>
        </w:rPr>
        <w:t xml:space="preserve"> comprise </w:t>
      </w:r>
      <w:hyperlink r:id="rId8" w:history="1">
        <w:r>
          <w:rPr>
            <w:rStyle w:val="Hyperlink"/>
            <w:rFonts w:cs="Arial"/>
            <w:color w:val="auto"/>
            <w:sz w:val="22"/>
            <w:szCs w:val="22"/>
          </w:rPr>
          <w:t>t</w:t>
        </w:r>
        <w:r w:rsidRPr="00B701E1">
          <w:rPr>
            <w:rStyle w:val="Hyperlink"/>
            <w:rFonts w:cs="Arial"/>
            <w:color w:val="auto"/>
            <w:sz w:val="22"/>
            <w:szCs w:val="22"/>
          </w:rPr>
          <w:t>he Pan American Sanitary Conference</w:t>
        </w:r>
      </w:hyperlink>
      <w:r w:rsidRPr="00B701E1">
        <w:rPr>
          <w:rFonts w:cs="Arial"/>
          <w:sz w:val="22"/>
          <w:szCs w:val="22"/>
        </w:rPr>
        <w:t xml:space="preserve">, </w:t>
      </w:r>
      <w:hyperlink r:id="rId9" w:history="1">
        <w:r w:rsidRPr="00B701E1">
          <w:rPr>
            <w:rStyle w:val="Hyperlink"/>
            <w:rFonts w:cs="Arial"/>
            <w:color w:val="auto"/>
            <w:sz w:val="22"/>
            <w:szCs w:val="22"/>
          </w:rPr>
          <w:t>the Directing Council</w:t>
        </w:r>
      </w:hyperlink>
      <w:r w:rsidRPr="00B701E1">
        <w:rPr>
          <w:rFonts w:cs="Arial"/>
          <w:sz w:val="22"/>
          <w:szCs w:val="22"/>
        </w:rPr>
        <w:t xml:space="preserve">, and the </w:t>
      </w:r>
      <w:hyperlink r:id="rId10" w:history="1">
        <w:r w:rsidRPr="00B701E1">
          <w:rPr>
            <w:rStyle w:val="Hyperlink"/>
            <w:rFonts w:cs="Arial"/>
            <w:color w:val="auto"/>
            <w:sz w:val="22"/>
            <w:szCs w:val="22"/>
          </w:rPr>
          <w:t>Executive Committee</w:t>
        </w:r>
      </w:hyperlink>
      <w:r>
        <w:rPr>
          <w:sz w:val="22"/>
          <w:szCs w:val="22"/>
        </w:rPr>
        <w:t>, all composed by representatives of its 46 Member States.</w:t>
      </w:r>
    </w:p>
    <w:p w:rsidR="009571FA" w:rsidRPr="00B701E1" w:rsidRDefault="009571FA" w:rsidP="008C6D6D">
      <w:pPr>
        <w:ind w:right="-360"/>
        <w:rPr>
          <w:sz w:val="22"/>
          <w:szCs w:val="22"/>
        </w:rPr>
      </w:pPr>
    </w:p>
    <w:p w:rsidR="009571FA" w:rsidRPr="00554DF4" w:rsidRDefault="009571FA" w:rsidP="008C6D6D">
      <w:pPr>
        <w:ind w:right="-360"/>
        <w:jc w:val="both"/>
        <w:rPr>
          <w:rFonts w:cs="Arial"/>
          <w:b/>
          <w:bCs/>
          <w:sz w:val="28"/>
          <w:szCs w:val="22"/>
        </w:rPr>
      </w:pPr>
      <w:r w:rsidRPr="00554DF4">
        <w:rPr>
          <w:rFonts w:cs="Arial"/>
          <w:b/>
          <w:bCs/>
          <w:sz w:val="22"/>
          <w:szCs w:val="22"/>
        </w:rPr>
        <w:t>1.   P</w:t>
      </w:r>
      <w:r w:rsidR="00494F9A">
        <w:rPr>
          <w:rFonts w:cs="Arial"/>
          <w:b/>
          <w:bCs/>
          <w:sz w:val="22"/>
          <w:szCs w:val="22"/>
        </w:rPr>
        <w:t>urpose and o</w:t>
      </w:r>
      <w:r w:rsidR="00494F9A" w:rsidRPr="00554DF4">
        <w:rPr>
          <w:rFonts w:cs="Arial"/>
          <w:b/>
          <w:bCs/>
          <w:sz w:val="22"/>
          <w:szCs w:val="22"/>
        </w:rPr>
        <w:t xml:space="preserve">bjectives </w:t>
      </w:r>
      <w:r w:rsidR="00494F9A">
        <w:rPr>
          <w:rFonts w:cs="Arial"/>
          <w:b/>
          <w:bCs/>
          <w:sz w:val="22"/>
          <w:szCs w:val="22"/>
        </w:rPr>
        <w:t>of t</w:t>
      </w:r>
      <w:r w:rsidR="00494F9A" w:rsidRPr="00554DF4">
        <w:rPr>
          <w:rFonts w:cs="Arial"/>
          <w:b/>
          <w:bCs/>
          <w:sz w:val="22"/>
          <w:szCs w:val="22"/>
        </w:rPr>
        <w:t xml:space="preserve">he Baseline </w:t>
      </w:r>
    </w:p>
    <w:p w:rsidR="009571FA" w:rsidRPr="00AA4533" w:rsidRDefault="009571FA" w:rsidP="008C6D6D">
      <w:pPr>
        <w:ind w:left="360" w:right="-360"/>
        <w:jc w:val="both"/>
        <w:rPr>
          <w:rFonts w:cs="Arial"/>
          <w:b/>
          <w:bCs/>
          <w:sz w:val="12"/>
          <w:szCs w:val="22"/>
        </w:rPr>
      </w:pPr>
    </w:p>
    <w:p w:rsidR="009571FA" w:rsidRDefault="009571FA" w:rsidP="008C6D6D">
      <w:pPr>
        <w:ind w:right="-360"/>
        <w:jc w:val="both"/>
        <w:rPr>
          <w:rFonts w:cs="Arial"/>
          <w:sz w:val="22"/>
          <w:szCs w:val="22"/>
        </w:rPr>
      </w:pPr>
      <w:r>
        <w:rPr>
          <w:rFonts w:cs="Arial"/>
          <w:sz w:val="22"/>
          <w:szCs w:val="22"/>
        </w:rPr>
        <w:t xml:space="preserve">The purpose of the baseline assessment is to collect a minimum data set which reflects the current status for implementing the four strategic directions (SD) of the WHO Gender Strategy (2008-2013). </w:t>
      </w:r>
    </w:p>
    <w:p w:rsidR="009571FA" w:rsidRPr="00AE77AE" w:rsidRDefault="009571FA" w:rsidP="008C6D6D">
      <w:pPr>
        <w:ind w:right="-360"/>
        <w:jc w:val="both"/>
        <w:rPr>
          <w:rFonts w:cs="Arial"/>
          <w:sz w:val="4"/>
          <w:szCs w:val="22"/>
        </w:rPr>
      </w:pPr>
    </w:p>
    <w:p w:rsidR="009571FA" w:rsidRDefault="009571FA" w:rsidP="008C6D6D">
      <w:pPr>
        <w:ind w:left="720" w:right="-360"/>
        <w:jc w:val="both"/>
        <w:rPr>
          <w:rFonts w:cs="Arial"/>
          <w:sz w:val="22"/>
          <w:szCs w:val="22"/>
        </w:rPr>
      </w:pPr>
      <w:r>
        <w:rPr>
          <w:rFonts w:cs="Arial"/>
          <w:sz w:val="22"/>
          <w:szCs w:val="22"/>
        </w:rPr>
        <w:t>SD 1: Building the capacity for gender analysis and planning</w:t>
      </w:r>
    </w:p>
    <w:p w:rsidR="009571FA" w:rsidRDefault="009571FA" w:rsidP="008C6D6D">
      <w:pPr>
        <w:ind w:left="720" w:right="-360"/>
        <w:jc w:val="both"/>
        <w:rPr>
          <w:rFonts w:cs="Arial"/>
          <w:sz w:val="22"/>
          <w:szCs w:val="22"/>
        </w:rPr>
      </w:pPr>
      <w:r>
        <w:rPr>
          <w:rFonts w:cs="Arial"/>
          <w:sz w:val="22"/>
          <w:szCs w:val="22"/>
        </w:rPr>
        <w:t>SD 2: Bringing gender into the mainstream of WHO’s programme management</w:t>
      </w:r>
    </w:p>
    <w:p w:rsidR="009571FA" w:rsidRDefault="009571FA" w:rsidP="008C6D6D">
      <w:pPr>
        <w:ind w:left="720" w:right="-360"/>
        <w:jc w:val="both"/>
        <w:rPr>
          <w:rFonts w:cs="Arial"/>
          <w:sz w:val="22"/>
          <w:szCs w:val="22"/>
        </w:rPr>
      </w:pPr>
      <w:r>
        <w:rPr>
          <w:rFonts w:cs="Arial"/>
          <w:sz w:val="22"/>
          <w:szCs w:val="22"/>
        </w:rPr>
        <w:t>SD 3: Promot</w:t>
      </w:r>
      <w:r w:rsidR="00AE77AE">
        <w:rPr>
          <w:rFonts w:cs="Arial"/>
          <w:sz w:val="22"/>
          <w:szCs w:val="22"/>
        </w:rPr>
        <w:t>ing</w:t>
      </w:r>
      <w:r>
        <w:rPr>
          <w:rFonts w:cs="Arial"/>
          <w:sz w:val="22"/>
          <w:szCs w:val="22"/>
        </w:rPr>
        <w:t xml:space="preserve"> the use of sex-disaggregated data and gender analysis</w:t>
      </w:r>
    </w:p>
    <w:p w:rsidR="009571FA" w:rsidRDefault="009571FA" w:rsidP="008C6D6D">
      <w:pPr>
        <w:ind w:left="720" w:right="-360"/>
        <w:jc w:val="both"/>
        <w:rPr>
          <w:rFonts w:cs="Arial"/>
          <w:sz w:val="22"/>
          <w:szCs w:val="22"/>
        </w:rPr>
      </w:pPr>
      <w:r>
        <w:rPr>
          <w:rFonts w:cs="Arial"/>
          <w:sz w:val="22"/>
          <w:szCs w:val="22"/>
        </w:rPr>
        <w:t xml:space="preserve">SD 4: </w:t>
      </w:r>
      <w:r w:rsidR="00AE77AE">
        <w:rPr>
          <w:rFonts w:cs="Arial"/>
          <w:sz w:val="22"/>
          <w:szCs w:val="22"/>
        </w:rPr>
        <w:t>Establishing a</w:t>
      </w:r>
      <w:r>
        <w:rPr>
          <w:rFonts w:cs="Arial"/>
          <w:sz w:val="22"/>
          <w:szCs w:val="22"/>
        </w:rPr>
        <w:t>ccountability</w:t>
      </w:r>
    </w:p>
    <w:p w:rsidR="009571FA" w:rsidRPr="00D26585" w:rsidRDefault="009571FA" w:rsidP="008C6D6D">
      <w:pPr>
        <w:ind w:right="-360"/>
        <w:jc w:val="both"/>
        <w:rPr>
          <w:rFonts w:cs="Arial"/>
          <w:sz w:val="16"/>
          <w:szCs w:val="22"/>
        </w:rPr>
      </w:pPr>
    </w:p>
    <w:p w:rsidR="009571FA" w:rsidRDefault="009571FA" w:rsidP="008C6D6D">
      <w:pPr>
        <w:ind w:right="-360"/>
        <w:jc w:val="both"/>
        <w:rPr>
          <w:rFonts w:cs="Arial"/>
          <w:sz w:val="22"/>
          <w:szCs w:val="22"/>
        </w:rPr>
      </w:pPr>
      <w:r>
        <w:rPr>
          <w:rFonts w:cs="Arial"/>
          <w:sz w:val="22"/>
          <w:szCs w:val="22"/>
        </w:rPr>
        <w:t xml:space="preserve">It is the preliminary step in identifying where strategic actions to strengthen the implementation of the Gender Strategy are needed and for measuring progress throughout the strategy period.  </w:t>
      </w:r>
      <w:r w:rsidR="00494F9A">
        <w:rPr>
          <w:rFonts w:cs="Arial"/>
          <w:sz w:val="22"/>
          <w:szCs w:val="22"/>
        </w:rPr>
        <w:t xml:space="preserve">Its specific </w:t>
      </w:r>
      <w:r w:rsidR="00494F9A" w:rsidRPr="00494F9A">
        <w:rPr>
          <w:rFonts w:cs="Arial"/>
          <w:b/>
          <w:sz w:val="22"/>
          <w:szCs w:val="22"/>
        </w:rPr>
        <w:t>objectives</w:t>
      </w:r>
      <w:r w:rsidR="00494F9A">
        <w:rPr>
          <w:rFonts w:cs="Arial"/>
          <w:sz w:val="22"/>
          <w:szCs w:val="22"/>
        </w:rPr>
        <w:t xml:space="preserve"> </w:t>
      </w:r>
      <w:r>
        <w:rPr>
          <w:rFonts w:cs="Arial"/>
          <w:sz w:val="22"/>
          <w:szCs w:val="22"/>
        </w:rPr>
        <w:t>are:</w:t>
      </w:r>
    </w:p>
    <w:p w:rsidR="00065BB7" w:rsidRPr="00065BB7" w:rsidRDefault="00065BB7" w:rsidP="008C6D6D">
      <w:pPr>
        <w:ind w:right="-360"/>
        <w:jc w:val="both"/>
        <w:rPr>
          <w:rFonts w:cs="Arial"/>
          <w:sz w:val="10"/>
          <w:szCs w:val="22"/>
        </w:rPr>
      </w:pPr>
    </w:p>
    <w:p w:rsidR="009571FA" w:rsidRPr="00AE77AE" w:rsidRDefault="009571FA" w:rsidP="008C6D6D">
      <w:pPr>
        <w:ind w:right="-360"/>
        <w:jc w:val="both"/>
        <w:rPr>
          <w:rFonts w:cs="Arial"/>
          <w:sz w:val="4"/>
          <w:szCs w:val="22"/>
        </w:rPr>
      </w:pPr>
    </w:p>
    <w:p w:rsidR="009571FA" w:rsidRDefault="009571FA" w:rsidP="00581596">
      <w:pPr>
        <w:numPr>
          <w:ilvl w:val="0"/>
          <w:numId w:val="29"/>
        </w:numPr>
        <w:ind w:left="568" w:right="-360" w:hanging="288"/>
        <w:jc w:val="both"/>
        <w:rPr>
          <w:rFonts w:cs="Arial"/>
          <w:sz w:val="22"/>
          <w:szCs w:val="22"/>
        </w:rPr>
      </w:pPr>
      <w:r w:rsidRPr="005B624E">
        <w:rPr>
          <w:rFonts w:cs="Arial"/>
          <w:sz w:val="22"/>
          <w:szCs w:val="22"/>
        </w:rPr>
        <w:t>To assess the institution wide capacity for gender analysis and actions (SD1).</w:t>
      </w:r>
    </w:p>
    <w:p w:rsidR="009571FA" w:rsidRPr="005B624E" w:rsidRDefault="009571FA" w:rsidP="00581596">
      <w:pPr>
        <w:numPr>
          <w:ilvl w:val="0"/>
          <w:numId w:val="29"/>
        </w:numPr>
        <w:ind w:left="568" w:right="-360" w:hanging="288"/>
        <w:jc w:val="both"/>
        <w:rPr>
          <w:rFonts w:cs="Arial"/>
          <w:sz w:val="22"/>
          <w:szCs w:val="22"/>
        </w:rPr>
      </w:pPr>
      <w:r w:rsidRPr="005B624E">
        <w:rPr>
          <w:rFonts w:cs="Arial"/>
          <w:sz w:val="22"/>
          <w:szCs w:val="22"/>
        </w:rPr>
        <w:t xml:space="preserve">To </w:t>
      </w:r>
      <w:r w:rsidR="00AE77AE">
        <w:rPr>
          <w:rFonts w:cs="Arial"/>
          <w:sz w:val="22"/>
          <w:szCs w:val="22"/>
        </w:rPr>
        <w:t>determine</w:t>
      </w:r>
      <w:r w:rsidRPr="005B624E">
        <w:rPr>
          <w:rFonts w:cs="Arial"/>
          <w:sz w:val="22"/>
          <w:szCs w:val="22"/>
        </w:rPr>
        <w:t xml:space="preserve"> the extent to which PAHO/WHO’s management has integrated gender (SD2)</w:t>
      </w:r>
      <w:r>
        <w:rPr>
          <w:rFonts w:cs="Arial"/>
          <w:sz w:val="22"/>
          <w:szCs w:val="22"/>
        </w:rPr>
        <w:t xml:space="preserve"> in the following areas: (a) </w:t>
      </w:r>
      <w:r w:rsidRPr="005B624E">
        <w:rPr>
          <w:rFonts w:cs="Arial"/>
          <w:sz w:val="22"/>
          <w:szCs w:val="22"/>
        </w:rPr>
        <w:t>strategic and operational planning and programme cy</w:t>
      </w:r>
      <w:r>
        <w:rPr>
          <w:rFonts w:cs="Arial"/>
          <w:sz w:val="22"/>
          <w:szCs w:val="22"/>
        </w:rPr>
        <w:t>cle processes;</w:t>
      </w:r>
      <w:r w:rsidRPr="005B624E">
        <w:rPr>
          <w:rFonts w:cs="Arial"/>
          <w:sz w:val="22"/>
          <w:szCs w:val="22"/>
        </w:rPr>
        <w:t xml:space="preserve"> </w:t>
      </w:r>
      <w:r>
        <w:rPr>
          <w:rFonts w:cs="Arial"/>
          <w:sz w:val="22"/>
          <w:szCs w:val="22"/>
        </w:rPr>
        <w:t xml:space="preserve">(b) </w:t>
      </w:r>
      <w:r w:rsidRPr="005B624E">
        <w:rPr>
          <w:rFonts w:cs="Arial"/>
          <w:bCs/>
          <w:sz w:val="22"/>
          <w:szCs w:val="22"/>
        </w:rPr>
        <w:t>Country Cooperation Strategy (CCS) documents and country work plans</w:t>
      </w:r>
      <w:r>
        <w:rPr>
          <w:rFonts w:cs="Arial"/>
          <w:bCs/>
          <w:sz w:val="22"/>
          <w:szCs w:val="22"/>
        </w:rPr>
        <w:t>;</w:t>
      </w:r>
      <w:r w:rsidRPr="005B624E">
        <w:rPr>
          <w:rFonts w:cs="Arial"/>
          <w:bCs/>
          <w:sz w:val="22"/>
          <w:szCs w:val="22"/>
        </w:rPr>
        <w:t xml:space="preserve"> </w:t>
      </w:r>
      <w:r>
        <w:rPr>
          <w:rFonts w:cs="Arial"/>
          <w:sz w:val="22"/>
          <w:szCs w:val="22"/>
        </w:rPr>
        <w:t xml:space="preserve">and </w:t>
      </w:r>
      <w:r>
        <w:rPr>
          <w:rFonts w:cs="Arial"/>
          <w:bCs/>
          <w:sz w:val="22"/>
          <w:szCs w:val="22"/>
        </w:rPr>
        <w:t>(c)</w:t>
      </w:r>
      <w:r w:rsidRPr="005B624E">
        <w:rPr>
          <w:rFonts w:cs="Arial"/>
          <w:bCs/>
          <w:sz w:val="22"/>
          <w:szCs w:val="22"/>
        </w:rPr>
        <w:t xml:space="preserve"> </w:t>
      </w:r>
      <w:r w:rsidRPr="005B624E">
        <w:rPr>
          <w:rFonts w:cs="Arial"/>
          <w:sz w:val="22"/>
          <w:szCs w:val="22"/>
        </w:rPr>
        <w:t>achiev</w:t>
      </w:r>
      <w:r>
        <w:rPr>
          <w:rFonts w:cs="Arial"/>
          <w:sz w:val="22"/>
          <w:szCs w:val="22"/>
        </w:rPr>
        <w:t>ement of</w:t>
      </w:r>
      <w:r w:rsidRPr="005B624E">
        <w:rPr>
          <w:rFonts w:cs="Arial"/>
          <w:sz w:val="22"/>
          <w:szCs w:val="22"/>
        </w:rPr>
        <w:t xml:space="preserve"> sex parity in staffing in 2007</w:t>
      </w:r>
      <w:r>
        <w:rPr>
          <w:rFonts w:cs="Arial"/>
          <w:sz w:val="22"/>
          <w:szCs w:val="22"/>
        </w:rPr>
        <w:t xml:space="preserve">. </w:t>
      </w:r>
    </w:p>
    <w:p w:rsidR="009571FA" w:rsidRDefault="009571FA" w:rsidP="00581596">
      <w:pPr>
        <w:numPr>
          <w:ilvl w:val="0"/>
          <w:numId w:val="29"/>
        </w:numPr>
        <w:suppressAutoHyphens/>
        <w:ind w:left="568" w:right="-360" w:hanging="288"/>
        <w:rPr>
          <w:rFonts w:cs="Arial"/>
          <w:sz w:val="22"/>
          <w:szCs w:val="22"/>
        </w:rPr>
      </w:pPr>
      <w:r>
        <w:rPr>
          <w:rFonts w:cs="Arial"/>
          <w:sz w:val="22"/>
          <w:szCs w:val="22"/>
        </w:rPr>
        <w:t xml:space="preserve">To map the extent to which key PAHO/WHO publications-- including tools and guidance documents, Governing Bodies publications, and evidence-based publications-- promote and use sex disaggregated data (SDD) and gender analysis (SD3).  </w:t>
      </w:r>
    </w:p>
    <w:p w:rsidR="009571FA" w:rsidRPr="00B85C9E" w:rsidRDefault="009571FA" w:rsidP="00581596">
      <w:pPr>
        <w:numPr>
          <w:ilvl w:val="0"/>
          <w:numId w:val="29"/>
        </w:numPr>
        <w:suppressAutoHyphens/>
        <w:ind w:left="568" w:right="-360" w:hanging="288"/>
        <w:rPr>
          <w:rFonts w:cs="Arial"/>
          <w:sz w:val="22"/>
          <w:szCs w:val="22"/>
        </w:rPr>
      </w:pPr>
      <w:r w:rsidRPr="00B85C9E">
        <w:rPr>
          <w:rFonts w:cs="Arial"/>
          <w:bCs/>
          <w:sz w:val="22"/>
          <w:szCs w:val="22"/>
        </w:rPr>
        <w:t xml:space="preserve">To </w:t>
      </w:r>
      <w:r w:rsidR="00AE77AE">
        <w:rPr>
          <w:rFonts w:cs="Arial"/>
          <w:bCs/>
          <w:sz w:val="22"/>
          <w:szCs w:val="22"/>
        </w:rPr>
        <w:t>assess</w:t>
      </w:r>
      <w:r w:rsidRPr="00B85C9E">
        <w:rPr>
          <w:rFonts w:cs="Arial"/>
          <w:bCs/>
          <w:sz w:val="22"/>
          <w:szCs w:val="22"/>
        </w:rPr>
        <w:t xml:space="preserve"> the accountability of senior management (e.g. Director General/Regional Directors) in PAHO/WHO to supporting gender equality, by examining whether their speeches reflect commitment to gender equality (SD4).</w:t>
      </w:r>
    </w:p>
    <w:p w:rsidR="009571FA" w:rsidRPr="001F614F" w:rsidRDefault="009571FA" w:rsidP="008C6D6D">
      <w:pPr>
        <w:ind w:right="-360"/>
        <w:rPr>
          <w:rFonts w:cs="Arial"/>
          <w:bCs/>
          <w:sz w:val="28"/>
          <w:szCs w:val="22"/>
        </w:rPr>
      </w:pPr>
    </w:p>
    <w:p w:rsidR="009571FA" w:rsidRPr="001F614F" w:rsidRDefault="009571FA" w:rsidP="00581596">
      <w:pPr>
        <w:numPr>
          <w:ilvl w:val="0"/>
          <w:numId w:val="15"/>
        </w:numPr>
        <w:suppressAutoHyphens/>
        <w:ind w:right="-360"/>
        <w:rPr>
          <w:rFonts w:cs="Arial"/>
          <w:b/>
          <w:bCs/>
          <w:sz w:val="28"/>
          <w:szCs w:val="22"/>
        </w:rPr>
      </w:pPr>
      <w:r>
        <w:rPr>
          <w:rFonts w:cs="Arial"/>
          <w:b/>
          <w:bCs/>
          <w:sz w:val="24"/>
          <w:szCs w:val="22"/>
        </w:rPr>
        <w:t xml:space="preserve">  I</w:t>
      </w:r>
      <w:r w:rsidRPr="001F614F">
        <w:rPr>
          <w:rFonts w:cs="Arial"/>
          <w:b/>
          <w:bCs/>
          <w:sz w:val="24"/>
          <w:szCs w:val="22"/>
        </w:rPr>
        <w:t>ntended audience of the report</w:t>
      </w:r>
    </w:p>
    <w:p w:rsidR="009571FA" w:rsidRPr="00AE77AE" w:rsidRDefault="009571FA" w:rsidP="008C6D6D">
      <w:pPr>
        <w:ind w:right="-360"/>
        <w:rPr>
          <w:rFonts w:cs="Arial"/>
          <w:sz w:val="10"/>
          <w:szCs w:val="22"/>
        </w:rPr>
      </w:pPr>
      <w:r>
        <w:rPr>
          <w:rFonts w:cs="Arial"/>
          <w:sz w:val="22"/>
          <w:szCs w:val="22"/>
        </w:rPr>
        <w:t xml:space="preserve"> </w:t>
      </w:r>
    </w:p>
    <w:p w:rsidR="009571FA" w:rsidRDefault="009571FA" w:rsidP="008C6D6D">
      <w:pPr>
        <w:ind w:right="-360"/>
        <w:rPr>
          <w:rFonts w:cs="Arial"/>
          <w:sz w:val="22"/>
          <w:szCs w:val="22"/>
        </w:rPr>
      </w:pPr>
      <w:r>
        <w:rPr>
          <w:rFonts w:cs="Arial"/>
          <w:sz w:val="22"/>
          <w:szCs w:val="22"/>
        </w:rPr>
        <w:t>This report is intended to support the Director General to report back on the WHO Gender Strategy to the World Health Assembly in May 2009, as well as to provide baseline information for those who are accountable for the implementation of the WHO Gender Strategy, that includes the PAHO Gender Equality Policy and its Plan of Action. This pertains to the Regi</w:t>
      </w:r>
      <w:r w:rsidR="00494F9A">
        <w:rPr>
          <w:rFonts w:cs="Arial"/>
          <w:sz w:val="22"/>
          <w:szCs w:val="22"/>
        </w:rPr>
        <w:t xml:space="preserve">onal Directors, ADGs, Managers </w:t>
      </w:r>
      <w:r>
        <w:rPr>
          <w:rFonts w:cs="Arial"/>
          <w:sz w:val="22"/>
          <w:szCs w:val="22"/>
        </w:rPr>
        <w:t xml:space="preserve">of WHO and PAHO programmes and units, the </w:t>
      </w:r>
      <w:r w:rsidR="00494F9A">
        <w:rPr>
          <w:rFonts w:cs="Arial"/>
          <w:sz w:val="22"/>
          <w:szCs w:val="22"/>
        </w:rPr>
        <w:t xml:space="preserve">global </w:t>
      </w:r>
      <w:r>
        <w:rPr>
          <w:rFonts w:cs="Arial"/>
          <w:sz w:val="22"/>
          <w:szCs w:val="22"/>
        </w:rPr>
        <w:t>Gender,</w:t>
      </w:r>
      <w:r w:rsidR="00494F9A">
        <w:rPr>
          <w:rFonts w:cs="Arial"/>
          <w:sz w:val="22"/>
          <w:szCs w:val="22"/>
        </w:rPr>
        <w:t xml:space="preserve"> Women and Health (GWH) network, and the PAHO Gender network at regional and country levels--</w:t>
      </w:r>
      <w:r>
        <w:rPr>
          <w:rFonts w:cs="Arial"/>
          <w:sz w:val="22"/>
          <w:szCs w:val="22"/>
        </w:rPr>
        <w:t xml:space="preserve">to help them take appropriate actions. In the interests of transparency, as well as of providing general information, this report will be made available to all WHO and PAHO staff. </w:t>
      </w:r>
    </w:p>
    <w:p w:rsidR="009571FA" w:rsidRDefault="009571FA" w:rsidP="008C6D6D">
      <w:pPr>
        <w:ind w:right="-360"/>
        <w:rPr>
          <w:rFonts w:cs="Arial"/>
          <w:sz w:val="22"/>
          <w:szCs w:val="22"/>
        </w:rPr>
      </w:pPr>
    </w:p>
    <w:p w:rsidR="004B35AE" w:rsidRDefault="004B35AE" w:rsidP="008C6D6D">
      <w:pPr>
        <w:ind w:right="-360"/>
        <w:rPr>
          <w:rFonts w:cs="Arial"/>
          <w:b/>
          <w:sz w:val="24"/>
          <w:szCs w:val="28"/>
        </w:rPr>
      </w:pPr>
    </w:p>
    <w:p w:rsidR="009571FA" w:rsidRPr="00C53FE1" w:rsidRDefault="009571FA" w:rsidP="008C6D6D">
      <w:pPr>
        <w:ind w:right="-360"/>
        <w:rPr>
          <w:rFonts w:cs="Arial"/>
          <w:b/>
          <w:sz w:val="24"/>
          <w:szCs w:val="28"/>
        </w:rPr>
      </w:pPr>
      <w:r w:rsidRPr="00C53FE1">
        <w:rPr>
          <w:rFonts w:cs="Arial"/>
          <w:b/>
          <w:sz w:val="24"/>
          <w:szCs w:val="28"/>
        </w:rPr>
        <w:t>II</w:t>
      </w:r>
      <w:r w:rsidR="00494F9A" w:rsidRPr="00C53FE1">
        <w:rPr>
          <w:rFonts w:cs="Arial"/>
          <w:b/>
          <w:sz w:val="24"/>
          <w:szCs w:val="28"/>
        </w:rPr>
        <w:t>.</w:t>
      </w:r>
      <w:r w:rsidRPr="00C53FE1">
        <w:rPr>
          <w:rFonts w:cs="Arial"/>
          <w:b/>
          <w:sz w:val="24"/>
          <w:szCs w:val="28"/>
        </w:rPr>
        <w:t xml:space="preserve"> METHODOLOGY</w:t>
      </w:r>
    </w:p>
    <w:p w:rsidR="009571FA" w:rsidRPr="00494F9A" w:rsidRDefault="009571FA" w:rsidP="008C6D6D">
      <w:pPr>
        <w:ind w:right="-360"/>
        <w:rPr>
          <w:rFonts w:cs="Arial"/>
          <w:b/>
          <w:bCs/>
          <w:sz w:val="10"/>
          <w:szCs w:val="22"/>
        </w:rPr>
      </w:pPr>
    </w:p>
    <w:p w:rsidR="009571FA" w:rsidRPr="001F614F" w:rsidRDefault="009571FA" w:rsidP="00581596">
      <w:pPr>
        <w:numPr>
          <w:ilvl w:val="0"/>
          <w:numId w:val="37"/>
        </w:numPr>
        <w:suppressAutoHyphens/>
        <w:rPr>
          <w:rFonts w:cs="Arial"/>
          <w:b/>
          <w:bCs/>
          <w:sz w:val="32"/>
          <w:szCs w:val="22"/>
        </w:rPr>
      </w:pPr>
      <w:r>
        <w:rPr>
          <w:rFonts w:cs="Arial"/>
          <w:b/>
          <w:bCs/>
          <w:sz w:val="24"/>
          <w:szCs w:val="22"/>
        </w:rPr>
        <w:t xml:space="preserve"> </w:t>
      </w:r>
      <w:r w:rsidRPr="001F614F">
        <w:rPr>
          <w:rFonts w:cs="Arial"/>
          <w:b/>
          <w:bCs/>
          <w:sz w:val="24"/>
          <w:szCs w:val="22"/>
        </w:rPr>
        <w:t xml:space="preserve"> Assessment design</w:t>
      </w:r>
    </w:p>
    <w:p w:rsidR="009571FA" w:rsidRPr="00E60F49" w:rsidRDefault="009571FA" w:rsidP="008C6D6D">
      <w:pPr>
        <w:ind w:left="720" w:right="-360"/>
        <w:rPr>
          <w:rFonts w:cs="Arial"/>
          <w:b/>
          <w:bCs/>
          <w:sz w:val="8"/>
          <w:szCs w:val="22"/>
        </w:rPr>
      </w:pPr>
    </w:p>
    <w:p w:rsidR="009571FA" w:rsidRDefault="009571FA" w:rsidP="008C6D6D">
      <w:pPr>
        <w:ind w:right="-360"/>
        <w:rPr>
          <w:rFonts w:cs="Arial"/>
          <w:sz w:val="22"/>
          <w:szCs w:val="22"/>
        </w:rPr>
      </w:pPr>
      <w:r>
        <w:rPr>
          <w:rFonts w:cs="Arial"/>
          <w:sz w:val="22"/>
          <w:szCs w:val="22"/>
        </w:rPr>
        <w:t>The baseline assessment measures</w:t>
      </w:r>
      <w:r w:rsidR="00494F9A">
        <w:rPr>
          <w:rFonts w:cs="Arial"/>
          <w:sz w:val="22"/>
          <w:szCs w:val="22"/>
        </w:rPr>
        <w:t xml:space="preserve"> where PAHO/WHO currently stand</w:t>
      </w:r>
      <w:r>
        <w:rPr>
          <w:rFonts w:cs="Arial"/>
          <w:sz w:val="22"/>
          <w:szCs w:val="22"/>
        </w:rPr>
        <w:t xml:space="preserve"> in integrating gender analysis and actions into </w:t>
      </w:r>
      <w:r w:rsidR="00494F9A">
        <w:rPr>
          <w:rFonts w:cs="Arial"/>
          <w:sz w:val="22"/>
          <w:szCs w:val="22"/>
        </w:rPr>
        <w:t>their</w:t>
      </w:r>
      <w:r>
        <w:rPr>
          <w:rFonts w:cs="Arial"/>
          <w:sz w:val="22"/>
          <w:szCs w:val="22"/>
        </w:rPr>
        <w:t xml:space="preserve"> work, with respect to the four strategic directions outlined in the WHO gender strategy.  The methodology employed a mix of qualitative and quantitative methods including an all staff </w:t>
      </w:r>
      <w:r w:rsidR="00494F9A">
        <w:rPr>
          <w:rFonts w:cs="Arial"/>
          <w:sz w:val="22"/>
          <w:szCs w:val="22"/>
        </w:rPr>
        <w:t>E-</w:t>
      </w:r>
      <w:r w:rsidR="008A2843">
        <w:rPr>
          <w:rFonts w:cs="Arial"/>
          <w:sz w:val="22"/>
          <w:szCs w:val="22"/>
        </w:rPr>
        <w:t>survey;</w:t>
      </w:r>
      <w:r>
        <w:rPr>
          <w:rFonts w:cs="Arial"/>
          <w:sz w:val="22"/>
          <w:szCs w:val="22"/>
        </w:rPr>
        <w:t xml:space="preserve"> interviews with planning focal points from selected departments</w:t>
      </w:r>
      <w:r w:rsidR="008A2843">
        <w:rPr>
          <w:rFonts w:cs="Arial"/>
          <w:sz w:val="22"/>
          <w:szCs w:val="22"/>
        </w:rPr>
        <w:t>;</w:t>
      </w:r>
      <w:r>
        <w:rPr>
          <w:rFonts w:cs="Arial"/>
          <w:sz w:val="22"/>
          <w:szCs w:val="22"/>
        </w:rPr>
        <w:t xml:space="preserve"> and content analysis of key PAHO/WHO publications, work plans and Director’s speeches.  A summary of the sampling methods and instruments used to gather and analyze data are summarized below by each strategic direction and detailed in the report’s annexes, along with the ethical </w:t>
      </w:r>
      <w:r w:rsidR="008A2843">
        <w:rPr>
          <w:rFonts w:cs="Arial"/>
          <w:sz w:val="22"/>
          <w:szCs w:val="22"/>
        </w:rPr>
        <w:t>c</w:t>
      </w:r>
      <w:r>
        <w:rPr>
          <w:rFonts w:cs="Arial"/>
          <w:sz w:val="22"/>
          <w:szCs w:val="22"/>
        </w:rPr>
        <w:t>onsiderations and methodological limitations of the methodology,</w:t>
      </w:r>
    </w:p>
    <w:p w:rsidR="009571FA" w:rsidRPr="00494F9A" w:rsidRDefault="009571FA" w:rsidP="008C6D6D">
      <w:pPr>
        <w:ind w:right="-360"/>
        <w:rPr>
          <w:rFonts w:cs="Arial"/>
          <w:sz w:val="14"/>
          <w:szCs w:val="22"/>
        </w:rPr>
      </w:pPr>
    </w:p>
    <w:p w:rsidR="009571FA" w:rsidRPr="00B701E1" w:rsidRDefault="009571FA" w:rsidP="008C6D6D">
      <w:pPr>
        <w:ind w:right="-360"/>
        <w:rPr>
          <w:rFonts w:cs="Arial"/>
          <w:sz w:val="22"/>
        </w:rPr>
      </w:pPr>
      <w:r w:rsidRPr="00B701E1">
        <w:rPr>
          <w:rFonts w:cs="Arial"/>
          <w:sz w:val="22"/>
        </w:rPr>
        <w:t>The tools for data collection and analysis were pre-tested in the PAHO regional office in January-February 2008 and the results of the pre-test were used to refine them. The consultants participated in a week long orientation workshop held at WHO Headquarters</w:t>
      </w:r>
      <w:r>
        <w:rPr>
          <w:rFonts w:cs="Arial"/>
          <w:sz w:val="22"/>
        </w:rPr>
        <w:t>, with</w:t>
      </w:r>
      <w:r w:rsidRPr="00B701E1">
        <w:rPr>
          <w:rFonts w:cs="Arial"/>
          <w:sz w:val="22"/>
        </w:rPr>
        <w:t xml:space="preserve"> </w:t>
      </w:r>
      <w:r>
        <w:rPr>
          <w:rFonts w:cs="Arial"/>
          <w:sz w:val="22"/>
        </w:rPr>
        <w:t xml:space="preserve">members of GWH network and </w:t>
      </w:r>
      <w:r w:rsidRPr="00B701E1">
        <w:rPr>
          <w:rFonts w:cs="Arial"/>
          <w:sz w:val="22"/>
        </w:rPr>
        <w:t>Gender Regional Advisors (RA)</w:t>
      </w:r>
      <w:r>
        <w:rPr>
          <w:rFonts w:cs="Arial"/>
          <w:sz w:val="22"/>
        </w:rPr>
        <w:t xml:space="preserve"> who</w:t>
      </w:r>
      <w:r w:rsidRPr="0052586F">
        <w:rPr>
          <w:rFonts w:cs="Arial"/>
          <w:sz w:val="22"/>
        </w:rPr>
        <w:t xml:space="preserve"> </w:t>
      </w:r>
      <w:r w:rsidRPr="00B701E1">
        <w:rPr>
          <w:rFonts w:cs="Arial"/>
          <w:sz w:val="22"/>
        </w:rPr>
        <w:t>played a key role in helping the consultants understand the role and contributions they make to facilitating gender mainstreaming in</w:t>
      </w:r>
      <w:r>
        <w:rPr>
          <w:rFonts w:cs="Arial"/>
          <w:sz w:val="22"/>
        </w:rPr>
        <w:t xml:space="preserve"> </w:t>
      </w:r>
      <w:r w:rsidRPr="00B701E1">
        <w:rPr>
          <w:rFonts w:cs="Arial"/>
          <w:sz w:val="22"/>
        </w:rPr>
        <w:t xml:space="preserve">their region, how they collaborate with the various </w:t>
      </w:r>
      <w:r>
        <w:rPr>
          <w:rFonts w:cs="Arial"/>
          <w:sz w:val="22"/>
        </w:rPr>
        <w:t xml:space="preserve">technical areas and </w:t>
      </w:r>
      <w:r w:rsidRPr="00B701E1">
        <w:rPr>
          <w:rFonts w:cs="Arial"/>
          <w:sz w:val="22"/>
        </w:rPr>
        <w:t>country offices.</w:t>
      </w:r>
    </w:p>
    <w:p w:rsidR="009571FA" w:rsidRDefault="009571FA" w:rsidP="008C6D6D">
      <w:pPr>
        <w:ind w:right="-360"/>
        <w:rPr>
          <w:rFonts w:cs="Arial"/>
          <w:sz w:val="22"/>
          <w:szCs w:val="22"/>
        </w:rPr>
      </w:pPr>
    </w:p>
    <w:p w:rsidR="009571FA" w:rsidRDefault="009571FA" w:rsidP="008C6D6D">
      <w:pPr>
        <w:pStyle w:val="BodyText2"/>
        <w:ind w:right="-360"/>
        <w:rPr>
          <w:rFonts w:ascii="Arial" w:hAnsi="Arial" w:cs="Arial"/>
          <w:b/>
          <w:szCs w:val="22"/>
        </w:rPr>
      </w:pPr>
      <w:r>
        <w:rPr>
          <w:rFonts w:ascii="Arial" w:hAnsi="Arial" w:cs="Arial"/>
          <w:b/>
          <w:szCs w:val="22"/>
        </w:rPr>
        <w:t xml:space="preserve">SD 1: Building the capacity for gender analysis and planning: </w:t>
      </w:r>
    </w:p>
    <w:p w:rsidR="00494F9A" w:rsidRPr="00494F9A" w:rsidRDefault="00494F9A" w:rsidP="008C6D6D">
      <w:pPr>
        <w:ind w:right="-360"/>
        <w:rPr>
          <w:rFonts w:cs="Arial"/>
          <w:bCs/>
          <w:sz w:val="6"/>
          <w:szCs w:val="22"/>
        </w:rPr>
      </w:pPr>
    </w:p>
    <w:p w:rsidR="009571FA" w:rsidRDefault="009571FA" w:rsidP="008C6D6D">
      <w:pPr>
        <w:ind w:right="-360"/>
        <w:rPr>
          <w:rFonts w:cs="Arial"/>
          <w:sz w:val="22"/>
          <w:szCs w:val="22"/>
        </w:rPr>
      </w:pPr>
      <w:r>
        <w:rPr>
          <w:rFonts w:cs="Arial"/>
          <w:bCs/>
          <w:sz w:val="22"/>
          <w:szCs w:val="22"/>
        </w:rPr>
        <w:t>An online survey was conducted to measure SD1 with indicators: 1.1, 1.2, 1.3 described below.</w:t>
      </w:r>
      <w:r>
        <w:rPr>
          <w:rFonts w:cs="Arial"/>
          <w:sz w:val="22"/>
          <w:szCs w:val="22"/>
        </w:rPr>
        <w:t xml:space="preserve">  This survey included questions to assess staff knowledge, awareness and practice of gender analysis and actions in their daily work, and was sent to all PAHO/WHO staff in countries, headquarters and special programmes or inter-country team offices via email notifications sent from the PAHO Director.</w:t>
      </w:r>
    </w:p>
    <w:p w:rsidR="009571FA" w:rsidRPr="00E60F49" w:rsidRDefault="009571FA" w:rsidP="008C6D6D">
      <w:pPr>
        <w:ind w:left="720" w:right="-360"/>
        <w:rPr>
          <w:rFonts w:ascii="Times New Roman" w:hAnsi="Times New Roman"/>
          <w:sz w:val="14"/>
        </w:rPr>
      </w:pPr>
    </w:p>
    <w:tbl>
      <w:tblPr>
        <w:tblW w:w="927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0"/>
        <w:gridCol w:w="4140"/>
        <w:gridCol w:w="4590"/>
      </w:tblGrid>
      <w:tr w:rsidR="009571FA" w:rsidTr="00BC6050">
        <w:tc>
          <w:tcPr>
            <w:tcW w:w="540" w:type="dxa"/>
          </w:tcPr>
          <w:p w:rsidR="009571FA" w:rsidRDefault="009571FA" w:rsidP="00BC6050">
            <w:pPr>
              <w:suppressAutoHyphens/>
              <w:rPr>
                <w:sz w:val="24"/>
                <w:lang w:eastAsia="ar-SA"/>
              </w:rPr>
            </w:pPr>
          </w:p>
        </w:tc>
        <w:tc>
          <w:tcPr>
            <w:tcW w:w="4140" w:type="dxa"/>
            <w:shd w:val="clear" w:color="auto" w:fill="EEECE1"/>
          </w:tcPr>
          <w:p w:rsidR="009571FA" w:rsidRDefault="009571FA" w:rsidP="00BC6050">
            <w:pPr>
              <w:jc w:val="center"/>
              <w:rPr>
                <w:b/>
                <w:sz w:val="24"/>
                <w:lang w:eastAsia="ar-SA"/>
              </w:rPr>
            </w:pPr>
          </w:p>
          <w:p w:rsidR="009571FA" w:rsidRDefault="009571FA" w:rsidP="00BC6050">
            <w:pPr>
              <w:suppressAutoHyphens/>
              <w:jc w:val="center"/>
              <w:rPr>
                <w:b/>
                <w:sz w:val="24"/>
                <w:lang w:eastAsia="ar-SA"/>
              </w:rPr>
            </w:pPr>
            <w:r>
              <w:rPr>
                <w:b/>
                <w:szCs w:val="22"/>
              </w:rPr>
              <w:t>Indicator</w:t>
            </w:r>
          </w:p>
        </w:tc>
        <w:tc>
          <w:tcPr>
            <w:tcW w:w="4590" w:type="dxa"/>
            <w:shd w:val="clear" w:color="auto" w:fill="EEECE1"/>
          </w:tcPr>
          <w:p w:rsidR="009571FA" w:rsidRDefault="009571FA" w:rsidP="00BC6050">
            <w:pPr>
              <w:jc w:val="center"/>
              <w:rPr>
                <w:b/>
                <w:sz w:val="24"/>
                <w:lang w:eastAsia="ar-SA"/>
              </w:rPr>
            </w:pPr>
          </w:p>
          <w:p w:rsidR="009571FA" w:rsidRDefault="009571FA" w:rsidP="00BC6050">
            <w:pPr>
              <w:suppressAutoHyphens/>
              <w:jc w:val="center"/>
              <w:rPr>
                <w:b/>
                <w:sz w:val="24"/>
                <w:lang w:eastAsia="ar-SA"/>
              </w:rPr>
            </w:pPr>
            <w:r>
              <w:rPr>
                <w:b/>
                <w:szCs w:val="22"/>
              </w:rPr>
              <w:t>Definitions &amp; notes</w:t>
            </w:r>
          </w:p>
        </w:tc>
      </w:tr>
      <w:tr w:rsidR="009571FA" w:rsidTr="00BC6050">
        <w:tc>
          <w:tcPr>
            <w:tcW w:w="540" w:type="dxa"/>
          </w:tcPr>
          <w:p w:rsidR="009571FA" w:rsidRDefault="009571FA" w:rsidP="00BC6050">
            <w:pPr>
              <w:rPr>
                <w:sz w:val="24"/>
                <w:lang w:eastAsia="ar-SA"/>
              </w:rPr>
            </w:pPr>
          </w:p>
          <w:p w:rsidR="009571FA" w:rsidRDefault="009571FA" w:rsidP="00BC6050">
            <w:pPr>
              <w:suppressAutoHyphens/>
              <w:rPr>
                <w:sz w:val="24"/>
                <w:lang w:eastAsia="ar-SA"/>
              </w:rPr>
            </w:pPr>
            <w:r>
              <w:t>1.1</w:t>
            </w:r>
          </w:p>
        </w:tc>
        <w:tc>
          <w:tcPr>
            <w:tcW w:w="4140" w:type="dxa"/>
            <w:shd w:val="clear" w:color="auto" w:fill="DBE5F1"/>
          </w:tcPr>
          <w:p w:rsidR="009571FA" w:rsidRPr="00AA4533" w:rsidRDefault="009571FA" w:rsidP="00BC6050">
            <w:pPr>
              <w:rPr>
                <w:szCs w:val="20"/>
                <w:lang w:eastAsia="ar-SA"/>
              </w:rPr>
            </w:pPr>
          </w:p>
          <w:p w:rsidR="009571FA" w:rsidRPr="00AA4533" w:rsidRDefault="009571FA" w:rsidP="00BC6050">
            <w:pPr>
              <w:rPr>
                <w:szCs w:val="20"/>
              </w:rPr>
            </w:pPr>
            <w:r w:rsidRPr="00AA4533">
              <w:rPr>
                <w:szCs w:val="20"/>
              </w:rPr>
              <w:t>Level of staff</w:t>
            </w:r>
            <w:r w:rsidRPr="00AA4533">
              <w:rPr>
                <w:b/>
                <w:szCs w:val="20"/>
              </w:rPr>
              <w:t xml:space="preserve"> understanding</w:t>
            </w:r>
            <w:r w:rsidRPr="00AA4533">
              <w:rPr>
                <w:szCs w:val="20"/>
              </w:rPr>
              <w:t xml:space="preserve"> of gender</w:t>
            </w:r>
          </w:p>
          <w:p w:rsidR="009571FA" w:rsidRPr="00AA4533" w:rsidRDefault="009571FA" w:rsidP="00BC6050">
            <w:pPr>
              <w:rPr>
                <w:szCs w:val="20"/>
              </w:rPr>
            </w:pPr>
          </w:p>
          <w:p w:rsidR="009571FA" w:rsidRPr="00AA4533" w:rsidRDefault="009571FA" w:rsidP="00BC6050">
            <w:pPr>
              <w:rPr>
                <w:szCs w:val="20"/>
              </w:rPr>
            </w:pPr>
            <w:r w:rsidRPr="00AA4533">
              <w:rPr>
                <w:i/>
                <w:szCs w:val="20"/>
              </w:rPr>
              <w:t>Overall indicator</w:t>
            </w:r>
            <w:r w:rsidRPr="00AA4533">
              <w:rPr>
                <w:szCs w:val="20"/>
              </w:rPr>
              <w:t xml:space="preserve">: Percentage of all PAHO/WHO staff (by sex, </w:t>
            </w:r>
            <w:r w:rsidRPr="00AA4533">
              <w:rPr>
                <w:bCs/>
                <w:szCs w:val="20"/>
              </w:rPr>
              <w:t>WHO category (P, D, G), WHO level (HQ, Regional Office, Country Offices</w:t>
            </w:r>
            <w:r>
              <w:rPr>
                <w:rStyle w:val="EndnoteReference"/>
                <w:bCs/>
                <w:szCs w:val="20"/>
              </w:rPr>
              <w:endnoteReference w:id="2"/>
            </w:r>
            <w:r w:rsidRPr="00AA4533">
              <w:rPr>
                <w:bCs/>
                <w:szCs w:val="20"/>
              </w:rPr>
              <w:t xml:space="preserve">) </w:t>
            </w:r>
            <w:r w:rsidRPr="00AA4533">
              <w:rPr>
                <w:szCs w:val="20"/>
              </w:rPr>
              <w:t>who have a basic understanding of gender and health;</w:t>
            </w:r>
          </w:p>
          <w:p w:rsidR="009571FA" w:rsidRPr="00AA4533" w:rsidRDefault="009571FA" w:rsidP="00BC6050">
            <w:pPr>
              <w:rPr>
                <w:szCs w:val="20"/>
              </w:rPr>
            </w:pPr>
          </w:p>
          <w:p w:rsidR="009571FA" w:rsidRPr="00AA4533" w:rsidRDefault="009571FA" w:rsidP="00BC6050">
            <w:pPr>
              <w:rPr>
                <w:i/>
                <w:iCs/>
                <w:color w:val="000000"/>
                <w:szCs w:val="20"/>
              </w:rPr>
            </w:pPr>
            <w:r w:rsidRPr="00AA4533">
              <w:rPr>
                <w:i/>
                <w:iCs/>
                <w:color w:val="000000"/>
                <w:szCs w:val="20"/>
              </w:rPr>
              <w:t xml:space="preserve">Sub Indicators: </w:t>
            </w:r>
          </w:p>
          <w:p w:rsidR="009571FA" w:rsidRPr="00AA4533" w:rsidRDefault="009571FA" w:rsidP="00BC6050">
            <w:pPr>
              <w:rPr>
                <w:i/>
                <w:iCs/>
                <w:color w:val="000000"/>
                <w:szCs w:val="20"/>
              </w:rPr>
            </w:pPr>
          </w:p>
          <w:p w:rsidR="009571FA" w:rsidRPr="00AA4533" w:rsidRDefault="009571FA" w:rsidP="00BC6050">
            <w:pPr>
              <w:rPr>
                <w:szCs w:val="20"/>
              </w:rPr>
            </w:pPr>
            <w:r w:rsidRPr="00AA4533">
              <w:rPr>
                <w:color w:val="000000"/>
                <w:szCs w:val="20"/>
              </w:rPr>
              <w:t xml:space="preserve"> </w:t>
            </w:r>
            <w:r w:rsidRPr="00AA4533">
              <w:rPr>
                <w:szCs w:val="20"/>
              </w:rPr>
              <w:t xml:space="preserve">i. Percentage of all PAHO/WHO staff who report awareness of </w:t>
            </w:r>
            <w:r w:rsidRPr="00AA4533">
              <w:rPr>
                <w:b/>
                <w:bCs/>
                <w:szCs w:val="20"/>
              </w:rPr>
              <w:t xml:space="preserve">at least one </w:t>
            </w:r>
            <w:r w:rsidRPr="00AA4533">
              <w:rPr>
                <w:szCs w:val="20"/>
              </w:rPr>
              <w:t xml:space="preserve">WHO gender policy or strategy </w:t>
            </w:r>
          </w:p>
          <w:p w:rsidR="009571FA" w:rsidRPr="008A2843" w:rsidRDefault="009571FA" w:rsidP="00BC6050">
            <w:pPr>
              <w:rPr>
                <w:sz w:val="14"/>
                <w:szCs w:val="20"/>
              </w:rPr>
            </w:pPr>
          </w:p>
          <w:p w:rsidR="009571FA" w:rsidRPr="00AA4533" w:rsidRDefault="009571FA" w:rsidP="00BC6050">
            <w:pPr>
              <w:rPr>
                <w:szCs w:val="20"/>
              </w:rPr>
            </w:pPr>
            <w:r w:rsidRPr="00AA4533">
              <w:rPr>
                <w:szCs w:val="20"/>
              </w:rPr>
              <w:t xml:space="preserve">ii. Percentage of all PAHO/WHO staff who report </w:t>
            </w:r>
            <w:r w:rsidRPr="00AA4533">
              <w:rPr>
                <w:b/>
                <w:bCs/>
                <w:szCs w:val="20"/>
              </w:rPr>
              <w:t>good knowledge</w:t>
            </w:r>
            <w:r w:rsidRPr="00AA4533">
              <w:rPr>
                <w:szCs w:val="20"/>
              </w:rPr>
              <w:t xml:space="preserve"> of gender concepts.</w:t>
            </w:r>
          </w:p>
          <w:p w:rsidR="009571FA" w:rsidRPr="008A2843" w:rsidRDefault="009571FA" w:rsidP="00BC6050">
            <w:pPr>
              <w:rPr>
                <w:sz w:val="12"/>
                <w:szCs w:val="20"/>
              </w:rPr>
            </w:pPr>
          </w:p>
          <w:p w:rsidR="009571FA" w:rsidRPr="00AA4533" w:rsidRDefault="009571FA" w:rsidP="00BC6050">
            <w:pPr>
              <w:rPr>
                <w:szCs w:val="20"/>
              </w:rPr>
            </w:pPr>
            <w:r w:rsidRPr="00AA4533">
              <w:rPr>
                <w:szCs w:val="20"/>
              </w:rPr>
              <w:t xml:space="preserve">iii. Percentage of all PAHO/WHO staff who says </w:t>
            </w:r>
            <w:r w:rsidRPr="00AA4533">
              <w:rPr>
                <w:b/>
                <w:bCs/>
                <w:szCs w:val="20"/>
              </w:rPr>
              <w:t>yes that gender is relevant to the work of unit</w:t>
            </w:r>
            <w:r w:rsidRPr="00AA4533">
              <w:rPr>
                <w:szCs w:val="20"/>
              </w:rPr>
              <w:t>.</w:t>
            </w:r>
          </w:p>
          <w:p w:rsidR="009571FA" w:rsidRPr="008A2843" w:rsidRDefault="009571FA" w:rsidP="00BC6050">
            <w:pPr>
              <w:rPr>
                <w:sz w:val="14"/>
                <w:szCs w:val="20"/>
              </w:rPr>
            </w:pPr>
          </w:p>
          <w:p w:rsidR="009571FA" w:rsidRDefault="009571FA" w:rsidP="00BC6050">
            <w:pPr>
              <w:suppressAutoHyphens/>
              <w:rPr>
                <w:b/>
                <w:bCs/>
                <w:szCs w:val="20"/>
              </w:rPr>
            </w:pPr>
            <w:r w:rsidRPr="00AA4533">
              <w:rPr>
                <w:szCs w:val="20"/>
              </w:rPr>
              <w:t xml:space="preserve">iv. Percentage of all PAHO/WHO staff who says </w:t>
            </w:r>
            <w:r w:rsidRPr="00AA4533">
              <w:rPr>
                <w:b/>
                <w:bCs/>
                <w:szCs w:val="20"/>
              </w:rPr>
              <w:t xml:space="preserve">yes that gender is relevant to their own work.  </w:t>
            </w:r>
          </w:p>
          <w:p w:rsidR="008A2843" w:rsidRPr="008A2843" w:rsidRDefault="008A2843" w:rsidP="00BC6050">
            <w:pPr>
              <w:suppressAutoHyphens/>
              <w:rPr>
                <w:sz w:val="14"/>
                <w:szCs w:val="20"/>
                <w:lang w:eastAsia="ar-SA"/>
              </w:rPr>
            </w:pPr>
          </w:p>
        </w:tc>
        <w:tc>
          <w:tcPr>
            <w:tcW w:w="4590" w:type="dxa"/>
          </w:tcPr>
          <w:p w:rsidR="009571FA" w:rsidRPr="00AA4533" w:rsidRDefault="009571FA" w:rsidP="00BC6050">
            <w:pPr>
              <w:rPr>
                <w:b/>
                <w:lang w:eastAsia="ar-SA"/>
              </w:rPr>
            </w:pPr>
          </w:p>
          <w:p w:rsidR="009571FA" w:rsidRPr="00AA4533" w:rsidRDefault="009571FA" w:rsidP="00BC6050">
            <w:r w:rsidRPr="00AA4533">
              <w:rPr>
                <w:b/>
                <w:szCs w:val="22"/>
              </w:rPr>
              <w:t xml:space="preserve">Basic understanding </w:t>
            </w:r>
            <w:r w:rsidRPr="00AA4533">
              <w:rPr>
                <w:szCs w:val="22"/>
              </w:rPr>
              <w:t>of gender and health is defined along three dimensions:</w:t>
            </w:r>
          </w:p>
          <w:p w:rsidR="009571FA" w:rsidRPr="00AA4533" w:rsidRDefault="009571FA" w:rsidP="00BC6050"/>
          <w:p w:rsidR="009571FA" w:rsidRPr="00AA4533" w:rsidRDefault="009571FA" w:rsidP="00BC6050">
            <w:r w:rsidRPr="00AA4533">
              <w:rPr>
                <w:b/>
                <w:szCs w:val="22"/>
              </w:rPr>
              <w:t>a.</w:t>
            </w:r>
            <w:r w:rsidRPr="00AA4533">
              <w:rPr>
                <w:szCs w:val="22"/>
              </w:rPr>
              <w:t xml:space="preserve"> </w:t>
            </w:r>
            <w:r w:rsidRPr="00AA4533">
              <w:rPr>
                <w:b/>
                <w:szCs w:val="22"/>
              </w:rPr>
              <w:t xml:space="preserve">Awareness </w:t>
            </w:r>
            <w:r w:rsidRPr="00AA4533">
              <w:rPr>
                <w:szCs w:val="22"/>
              </w:rPr>
              <w:t>of at least one WHO gender policy or strategy of at least one of the four WHO gender policies or strategies identified in the all staff survey questions (see annex 1 for details).</w:t>
            </w:r>
          </w:p>
          <w:p w:rsidR="009571FA" w:rsidRPr="00AA4533" w:rsidRDefault="009571FA" w:rsidP="00BC6050"/>
          <w:p w:rsidR="009571FA" w:rsidRPr="00AA4533" w:rsidRDefault="009571FA" w:rsidP="00BC6050">
            <w:r w:rsidRPr="00AA4533">
              <w:rPr>
                <w:b/>
                <w:bCs/>
                <w:szCs w:val="22"/>
              </w:rPr>
              <w:t>b. Knowledge of gender concepts</w:t>
            </w:r>
            <w:r w:rsidRPr="00AA4533">
              <w:rPr>
                <w:szCs w:val="22"/>
              </w:rPr>
              <w:t xml:space="preserve"> classified as no knowledge, some knowledge and good knowledge based on scores to the 4 knowledge questions in the all staff survey.  A score of 3 or 4 (i.e. correctly answering at least 3 out of 4 knowledge questions) is considered as having good knowledge. </w:t>
            </w:r>
          </w:p>
          <w:p w:rsidR="009571FA" w:rsidRPr="00AA4533" w:rsidRDefault="009571FA" w:rsidP="00BC6050"/>
          <w:p w:rsidR="009571FA" w:rsidRPr="00AA4533" w:rsidRDefault="009571FA" w:rsidP="00BC6050">
            <w:r w:rsidRPr="00AA4533">
              <w:rPr>
                <w:b/>
                <w:bCs/>
                <w:szCs w:val="22"/>
              </w:rPr>
              <w:t xml:space="preserve">c. Relevance of gender </w:t>
            </w:r>
            <w:r w:rsidRPr="00AA4533">
              <w:rPr>
                <w:szCs w:val="22"/>
              </w:rPr>
              <w:t>to their own work and to the work of their unit classified into yes, no and don't know in response to two questions in the all staff survey.</w:t>
            </w:r>
          </w:p>
          <w:p w:rsidR="009571FA" w:rsidRPr="00AA4533" w:rsidRDefault="009571FA" w:rsidP="00BC6050">
            <w:pPr>
              <w:suppressAutoHyphens/>
              <w:rPr>
                <w:lang w:eastAsia="ar-SA"/>
              </w:rPr>
            </w:pPr>
          </w:p>
        </w:tc>
      </w:tr>
      <w:tr w:rsidR="009571FA" w:rsidTr="00BC6050">
        <w:tc>
          <w:tcPr>
            <w:tcW w:w="540" w:type="dxa"/>
          </w:tcPr>
          <w:p w:rsidR="009571FA" w:rsidRDefault="009571FA" w:rsidP="00BC6050">
            <w:pPr>
              <w:suppressAutoHyphens/>
              <w:rPr>
                <w:sz w:val="24"/>
                <w:lang w:eastAsia="ar-SA"/>
              </w:rPr>
            </w:pPr>
            <w:r>
              <w:t>1.2</w:t>
            </w:r>
          </w:p>
        </w:tc>
        <w:tc>
          <w:tcPr>
            <w:tcW w:w="4140" w:type="dxa"/>
            <w:shd w:val="clear" w:color="auto" w:fill="DBE5F1"/>
          </w:tcPr>
          <w:p w:rsidR="009571FA" w:rsidRPr="00AA4533" w:rsidRDefault="009571FA" w:rsidP="00BC6050">
            <w:pPr>
              <w:rPr>
                <w:szCs w:val="20"/>
                <w:lang w:val="en-GB" w:eastAsia="ar-SA"/>
              </w:rPr>
            </w:pPr>
            <w:r w:rsidRPr="00AA4533">
              <w:rPr>
                <w:szCs w:val="20"/>
                <w:lang w:val="en-GB"/>
              </w:rPr>
              <w:t xml:space="preserve">Application of gender analysis and actions to staff work </w:t>
            </w:r>
          </w:p>
          <w:p w:rsidR="009571FA" w:rsidRPr="008A2843" w:rsidRDefault="009571FA" w:rsidP="00BC6050">
            <w:pPr>
              <w:ind w:left="360"/>
              <w:rPr>
                <w:color w:val="000000"/>
                <w:sz w:val="12"/>
                <w:szCs w:val="20"/>
                <w:lang w:val="en-US"/>
              </w:rPr>
            </w:pPr>
          </w:p>
          <w:p w:rsidR="009571FA" w:rsidRPr="00AA4533" w:rsidRDefault="009571FA" w:rsidP="00BC6050">
            <w:pPr>
              <w:rPr>
                <w:bCs/>
                <w:szCs w:val="20"/>
              </w:rPr>
            </w:pPr>
            <w:r w:rsidRPr="00AA4533">
              <w:rPr>
                <w:i/>
                <w:color w:val="000000"/>
                <w:szCs w:val="20"/>
              </w:rPr>
              <w:t>Indicator:</w:t>
            </w:r>
            <w:r w:rsidRPr="00AA4533">
              <w:rPr>
                <w:color w:val="000000"/>
                <w:szCs w:val="20"/>
              </w:rPr>
              <w:t xml:space="preserve"> </w:t>
            </w:r>
            <w:r w:rsidRPr="00AA4533">
              <w:rPr>
                <w:bCs/>
                <w:szCs w:val="20"/>
              </w:rPr>
              <w:t xml:space="preserve">Percentage of all PAHO/WHO staff who is </w:t>
            </w:r>
            <w:r w:rsidRPr="00AA4533">
              <w:rPr>
                <w:b/>
                <w:szCs w:val="20"/>
              </w:rPr>
              <w:t xml:space="preserve">at least moderately applying gender analysis and actions </w:t>
            </w:r>
            <w:r w:rsidRPr="00AA4533">
              <w:rPr>
                <w:bCs/>
                <w:szCs w:val="20"/>
              </w:rPr>
              <w:t xml:space="preserve">in their work (disaggregated by sex, WHO grade, WHO level &amp; WHO region).  </w:t>
            </w:r>
          </w:p>
          <w:p w:rsidR="009571FA" w:rsidRPr="008A2843" w:rsidRDefault="009571FA" w:rsidP="00BC6050">
            <w:pPr>
              <w:suppressAutoHyphens/>
              <w:rPr>
                <w:sz w:val="12"/>
                <w:szCs w:val="20"/>
                <w:lang w:eastAsia="ar-SA"/>
              </w:rPr>
            </w:pPr>
          </w:p>
        </w:tc>
        <w:tc>
          <w:tcPr>
            <w:tcW w:w="4590" w:type="dxa"/>
          </w:tcPr>
          <w:p w:rsidR="009571FA" w:rsidRPr="00AA4533" w:rsidRDefault="009571FA" w:rsidP="00BC6050">
            <w:pPr>
              <w:suppressAutoHyphens/>
              <w:rPr>
                <w:szCs w:val="20"/>
                <w:lang w:eastAsia="ar-SA"/>
              </w:rPr>
            </w:pPr>
            <w:r w:rsidRPr="00AA4533">
              <w:rPr>
                <w:szCs w:val="20"/>
              </w:rPr>
              <w:t>Application of skills in gender analysis to his or her work is measured on a scale of none, some, and moderately strong application.  These are based on 11 questions (see annex 1 for more details) with scores ranging from 0 to 11. Those who score 6 to 11 points are classified as at least moderately applying gender analysis.</w:t>
            </w:r>
          </w:p>
        </w:tc>
      </w:tr>
      <w:tr w:rsidR="009571FA" w:rsidTr="00BC6050">
        <w:tc>
          <w:tcPr>
            <w:tcW w:w="540" w:type="dxa"/>
          </w:tcPr>
          <w:p w:rsidR="009571FA" w:rsidRDefault="009571FA" w:rsidP="00BC6050">
            <w:pPr>
              <w:suppressAutoHyphens/>
              <w:rPr>
                <w:sz w:val="24"/>
                <w:lang w:eastAsia="ar-SA"/>
              </w:rPr>
            </w:pPr>
            <w:r>
              <w:t>1.3</w:t>
            </w:r>
          </w:p>
        </w:tc>
        <w:tc>
          <w:tcPr>
            <w:tcW w:w="4140" w:type="dxa"/>
            <w:shd w:val="clear" w:color="auto" w:fill="DBE5F1"/>
          </w:tcPr>
          <w:p w:rsidR="009571FA" w:rsidRPr="00AA4533" w:rsidRDefault="009571FA" w:rsidP="00BC6050">
            <w:pPr>
              <w:rPr>
                <w:iCs/>
                <w:color w:val="000000"/>
                <w:szCs w:val="20"/>
                <w:lang w:eastAsia="ar-SA"/>
              </w:rPr>
            </w:pPr>
            <w:r w:rsidRPr="00AA4533">
              <w:rPr>
                <w:iCs/>
                <w:color w:val="000000"/>
                <w:szCs w:val="20"/>
              </w:rPr>
              <w:t xml:space="preserve">Level of Institutional support for gender mainstreaming  </w:t>
            </w:r>
          </w:p>
          <w:p w:rsidR="009571FA" w:rsidRPr="008A2843" w:rsidRDefault="009571FA" w:rsidP="00BC6050">
            <w:pPr>
              <w:ind w:left="360"/>
              <w:rPr>
                <w:i/>
                <w:color w:val="000000"/>
                <w:sz w:val="12"/>
                <w:szCs w:val="20"/>
              </w:rPr>
            </w:pPr>
          </w:p>
          <w:p w:rsidR="009571FA" w:rsidRPr="00AA4533" w:rsidRDefault="009571FA" w:rsidP="00BC6050">
            <w:pPr>
              <w:suppressAutoHyphens/>
              <w:rPr>
                <w:szCs w:val="20"/>
                <w:lang w:eastAsia="ar-SA"/>
              </w:rPr>
            </w:pPr>
            <w:r w:rsidRPr="00AA4533">
              <w:rPr>
                <w:i/>
                <w:color w:val="000000"/>
                <w:szCs w:val="20"/>
              </w:rPr>
              <w:t>Indicator:</w:t>
            </w:r>
            <w:r w:rsidRPr="00AA4533">
              <w:rPr>
                <w:color w:val="000000"/>
                <w:szCs w:val="20"/>
              </w:rPr>
              <w:t xml:space="preserve"> Percentage of PAHO/WHO staff who </w:t>
            </w:r>
            <w:r w:rsidRPr="00AA4533">
              <w:rPr>
                <w:b/>
                <w:bCs/>
                <w:color w:val="000000"/>
                <w:szCs w:val="20"/>
              </w:rPr>
              <w:t xml:space="preserve">reports at least some institutional support </w:t>
            </w:r>
            <w:r w:rsidRPr="00AA4533">
              <w:rPr>
                <w:color w:val="000000"/>
                <w:szCs w:val="20"/>
              </w:rPr>
              <w:t>for integrating gender into their work (disaggregated by sex,</w:t>
            </w:r>
            <w:r w:rsidRPr="00AA4533">
              <w:rPr>
                <w:bCs/>
                <w:szCs w:val="20"/>
              </w:rPr>
              <w:t xml:space="preserve"> WHO grade, WHO level &amp; WHO region).  </w:t>
            </w:r>
          </w:p>
        </w:tc>
        <w:tc>
          <w:tcPr>
            <w:tcW w:w="4590" w:type="dxa"/>
          </w:tcPr>
          <w:p w:rsidR="009571FA" w:rsidRPr="00AA4533" w:rsidRDefault="009571FA" w:rsidP="00BC6050">
            <w:pPr>
              <w:suppressAutoHyphens/>
              <w:rPr>
                <w:szCs w:val="20"/>
                <w:lang w:eastAsia="ar-SA"/>
              </w:rPr>
            </w:pPr>
            <w:r w:rsidRPr="00AA4533">
              <w:rPr>
                <w:szCs w:val="20"/>
              </w:rPr>
              <w:t>Institutional support is measured on a scale of none</w:t>
            </w:r>
            <w:r w:rsidR="006F643D" w:rsidRPr="00AA4533">
              <w:rPr>
                <w:szCs w:val="20"/>
              </w:rPr>
              <w:t>, some, and</w:t>
            </w:r>
            <w:r w:rsidRPr="00AA4533">
              <w:rPr>
                <w:szCs w:val="20"/>
              </w:rPr>
              <w:t xml:space="preserve"> strong institutional support. This is based on 4 questions (see annex 1 for more details) with scores ranging from 0 to 4.  Those who score 1 to 4 points are categorized as reporting at least some institutional support.</w:t>
            </w:r>
          </w:p>
        </w:tc>
      </w:tr>
    </w:tbl>
    <w:p w:rsidR="009571FA" w:rsidRDefault="009571FA" w:rsidP="00E57D0F">
      <w:pPr>
        <w:pStyle w:val="BodyText2"/>
        <w:ind w:firstLine="720"/>
        <w:rPr>
          <w:i w:val="0"/>
          <w:iCs w:val="0"/>
        </w:rPr>
      </w:pPr>
      <w:r>
        <w:rPr>
          <w:i w:val="0"/>
          <w:iCs w:val="0"/>
        </w:rPr>
        <w:t>(See Annex 1 for details)</w:t>
      </w:r>
    </w:p>
    <w:p w:rsidR="009571FA" w:rsidRDefault="009571FA" w:rsidP="00E57D0F"/>
    <w:p w:rsidR="009571FA" w:rsidRPr="00E60F49" w:rsidRDefault="009571FA" w:rsidP="00E57D0F">
      <w:pPr>
        <w:rPr>
          <w:b/>
          <w:sz w:val="6"/>
        </w:rPr>
      </w:pPr>
    </w:p>
    <w:p w:rsidR="009571FA" w:rsidRPr="00AC129A" w:rsidRDefault="009571FA" w:rsidP="00E57D0F">
      <w:pPr>
        <w:rPr>
          <w:rFonts w:cs="Arial"/>
          <w:b/>
          <w:i/>
          <w:iCs/>
          <w:sz w:val="22"/>
        </w:rPr>
      </w:pPr>
      <w:r w:rsidRPr="00AC129A">
        <w:rPr>
          <w:rFonts w:cs="Arial"/>
          <w:b/>
          <w:i/>
          <w:iCs/>
          <w:sz w:val="22"/>
        </w:rPr>
        <w:t xml:space="preserve">SD 2: Bringing gender into the mainstream of PAHO/WHO’s programme management </w:t>
      </w:r>
    </w:p>
    <w:p w:rsidR="009571FA" w:rsidRPr="00494F9A" w:rsidRDefault="009571FA" w:rsidP="00E57D0F">
      <w:pPr>
        <w:tabs>
          <w:tab w:val="left" w:pos="2255"/>
        </w:tabs>
        <w:rPr>
          <w:rFonts w:ascii="Times New Roman" w:hAnsi="Times New Roman"/>
          <w:sz w:val="12"/>
        </w:rPr>
      </w:pPr>
    </w:p>
    <w:p w:rsidR="009571FA" w:rsidRDefault="009571FA" w:rsidP="008C6D6D">
      <w:pPr>
        <w:ind w:right="-180"/>
        <w:rPr>
          <w:rFonts w:cs="Arial"/>
          <w:bCs/>
          <w:sz w:val="22"/>
          <w:szCs w:val="22"/>
        </w:rPr>
      </w:pPr>
      <w:r>
        <w:rPr>
          <w:rFonts w:cs="Arial"/>
          <w:bCs/>
          <w:sz w:val="22"/>
          <w:szCs w:val="22"/>
        </w:rPr>
        <w:t>To gauge to what extent Planning Staff included gender in planning instruments, face-to-face and phone interviews were conducted with 21 selected planning focal points</w:t>
      </w:r>
      <w:r>
        <w:rPr>
          <w:rStyle w:val="FootnoteReference"/>
          <w:rFonts w:cs="Arial"/>
          <w:bCs/>
          <w:sz w:val="22"/>
          <w:szCs w:val="22"/>
        </w:rPr>
        <w:footnoteReference w:id="2"/>
      </w:r>
      <w:r>
        <w:rPr>
          <w:rFonts w:cs="Arial"/>
          <w:bCs/>
          <w:sz w:val="22"/>
          <w:szCs w:val="22"/>
        </w:rPr>
        <w:t xml:space="preserve"> . These 30 – 60 minute interviews were conducted to measure indicators 2.2 and 3.3 below, and </w:t>
      </w:r>
      <w:r>
        <w:rPr>
          <w:rFonts w:cs="Arial"/>
          <w:sz w:val="22"/>
          <w:szCs w:val="22"/>
        </w:rPr>
        <w:t xml:space="preserve"> focused on how gender was incorporated during the operational planning for the Medium Term Strategic Plan (2008-2013), the implementation of the</w:t>
      </w:r>
      <w:r>
        <w:rPr>
          <w:rFonts w:cs="Arial"/>
          <w:bCs/>
          <w:sz w:val="22"/>
          <w:szCs w:val="22"/>
        </w:rPr>
        <w:t xml:space="preserve"> </w:t>
      </w:r>
      <w:r>
        <w:rPr>
          <w:rFonts w:cs="Arial"/>
          <w:sz w:val="22"/>
          <w:szCs w:val="22"/>
        </w:rPr>
        <w:t xml:space="preserve">2006-2007 biennial work plan, and the monitoring and evaluation of work plans for 2006-2007. </w:t>
      </w:r>
      <w:r>
        <w:rPr>
          <w:rFonts w:cs="Arial"/>
          <w:bCs/>
          <w:sz w:val="22"/>
          <w:szCs w:val="22"/>
        </w:rPr>
        <w:t xml:space="preserve"> PFP were selected among PAHO managers at HQ and two were selected PAHO Country Representatives (PWR).</w:t>
      </w:r>
    </w:p>
    <w:p w:rsidR="009571FA" w:rsidRDefault="009571FA" w:rsidP="008C6D6D">
      <w:pPr>
        <w:ind w:right="-180"/>
        <w:rPr>
          <w:rFonts w:cs="Arial"/>
          <w:sz w:val="10"/>
          <w:szCs w:val="22"/>
        </w:rPr>
      </w:pPr>
    </w:p>
    <w:p w:rsidR="009571FA" w:rsidRDefault="009571FA" w:rsidP="008C6D6D">
      <w:pPr>
        <w:ind w:right="-180"/>
        <w:rPr>
          <w:rFonts w:cs="Arial"/>
          <w:sz w:val="22"/>
          <w:szCs w:val="22"/>
        </w:rPr>
      </w:pPr>
      <w:r>
        <w:rPr>
          <w:rFonts w:cs="Arial"/>
          <w:sz w:val="22"/>
          <w:szCs w:val="22"/>
        </w:rPr>
        <w:t xml:space="preserve">Indicators for sex parity in staffing are detailed </w:t>
      </w:r>
      <w:r w:rsidRPr="00FC47DB">
        <w:rPr>
          <w:rFonts w:cs="Arial"/>
          <w:sz w:val="22"/>
          <w:szCs w:val="22"/>
        </w:rPr>
        <w:t xml:space="preserve">in 2.4 and 2.5 in the table </w:t>
      </w:r>
      <w:r>
        <w:rPr>
          <w:rFonts w:cs="Arial"/>
          <w:sz w:val="22"/>
          <w:szCs w:val="22"/>
        </w:rPr>
        <w:t>below</w:t>
      </w:r>
      <w:r w:rsidRPr="00FC47DB">
        <w:rPr>
          <w:rFonts w:cs="Arial"/>
          <w:sz w:val="22"/>
          <w:szCs w:val="22"/>
        </w:rPr>
        <w:t>. Data to</w:t>
      </w:r>
      <w:r>
        <w:rPr>
          <w:rFonts w:cs="Arial"/>
          <w:sz w:val="22"/>
          <w:szCs w:val="22"/>
        </w:rPr>
        <w:t xml:space="preserve"> measure sex parity was provided by WHO Department of Human Resources and Development (HRD)</w:t>
      </w:r>
      <w:r w:rsidR="006F643D">
        <w:rPr>
          <w:rFonts w:cs="Arial"/>
          <w:sz w:val="22"/>
          <w:szCs w:val="22"/>
        </w:rPr>
        <w:t>; PAHO</w:t>
      </w:r>
      <w:r>
        <w:rPr>
          <w:rFonts w:cs="Arial"/>
          <w:sz w:val="22"/>
          <w:szCs w:val="22"/>
        </w:rPr>
        <w:t xml:space="preserve"> also obtained additional data its own HRD.  Data on sex parity was considered until December 31 2007. </w:t>
      </w:r>
    </w:p>
    <w:p w:rsidR="009571FA" w:rsidRPr="00A91591" w:rsidRDefault="009571FA" w:rsidP="008C6D6D">
      <w:pPr>
        <w:ind w:right="-180"/>
        <w:rPr>
          <w:rFonts w:cs="Arial"/>
          <w:sz w:val="6"/>
          <w:szCs w:val="22"/>
        </w:rPr>
      </w:pPr>
    </w:p>
    <w:p w:rsidR="009571FA" w:rsidRDefault="009571FA" w:rsidP="008C6D6D">
      <w:pPr>
        <w:ind w:right="-180"/>
        <w:rPr>
          <w:rFonts w:cs="Arial"/>
          <w:sz w:val="22"/>
          <w:szCs w:val="22"/>
        </w:rPr>
      </w:pPr>
      <w:r>
        <w:rPr>
          <w:rFonts w:cs="Arial"/>
          <w:sz w:val="22"/>
          <w:szCs w:val="22"/>
        </w:rPr>
        <w:t>To understand how gender was reflected in Country Cooperation Strategies (CCS</w:t>
      </w:r>
      <w:r w:rsidR="006F643D">
        <w:rPr>
          <w:rFonts w:cs="Arial"/>
          <w:sz w:val="22"/>
          <w:szCs w:val="22"/>
        </w:rPr>
        <w:t xml:space="preserve">) </w:t>
      </w:r>
      <w:r>
        <w:rPr>
          <w:rStyle w:val="FootnoteReference"/>
          <w:rFonts w:cs="Arial"/>
          <w:bCs/>
          <w:sz w:val="22"/>
          <w:szCs w:val="22"/>
        </w:rPr>
        <w:t xml:space="preserve"> </w:t>
      </w:r>
      <w:r>
        <w:rPr>
          <w:rFonts w:cs="Arial"/>
          <w:sz w:val="22"/>
          <w:szCs w:val="22"/>
        </w:rPr>
        <w:t xml:space="preserve">and country work plans, content analysis of these two documents was conducted, as described in Annex </w:t>
      </w:r>
      <w:r w:rsidR="00E205AB">
        <w:rPr>
          <w:rFonts w:cs="Arial"/>
          <w:sz w:val="22"/>
          <w:szCs w:val="22"/>
        </w:rPr>
        <w:t>4.</w:t>
      </w:r>
      <w:r>
        <w:rPr>
          <w:rFonts w:cs="Arial"/>
          <w:sz w:val="22"/>
          <w:szCs w:val="22"/>
        </w:rPr>
        <w:t xml:space="preserve">  The CCS serve</w:t>
      </w:r>
      <w:r w:rsidR="008A2843">
        <w:rPr>
          <w:rFonts w:cs="Arial"/>
          <w:sz w:val="22"/>
          <w:szCs w:val="22"/>
        </w:rPr>
        <w:t>s</w:t>
      </w:r>
      <w:r>
        <w:rPr>
          <w:rFonts w:cs="Arial"/>
          <w:sz w:val="22"/>
          <w:szCs w:val="22"/>
        </w:rPr>
        <w:t xml:space="preserve"> as the framework to guide collaborative planning between PAHO/WHO and its Member States.  The country work plans were included as a proxy to capture the extent to which the planning framework is translated into joint operational plans at the country level.  These documents were randomly selected from CCS that had been completed since the approval of PAHO’s Gender equality Policy in 2005, and among countries that did and did not receive regular technical collaboration from the Gender Unit.  </w:t>
      </w:r>
      <w:r w:rsidR="00E205AB">
        <w:rPr>
          <w:rFonts w:cs="Arial"/>
          <w:sz w:val="22"/>
          <w:szCs w:val="22"/>
        </w:rPr>
        <w:t xml:space="preserve">In PAHO, </w:t>
      </w:r>
      <w:r>
        <w:rPr>
          <w:rFonts w:cs="Arial"/>
          <w:sz w:val="22"/>
          <w:szCs w:val="22"/>
        </w:rPr>
        <w:t>Honduras was selected as the former and Trinidad and Tobago as the latter.</w:t>
      </w:r>
    </w:p>
    <w:p w:rsidR="009571FA" w:rsidRPr="00A91591" w:rsidRDefault="009571FA" w:rsidP="00854987">
      <w:pPr>
        <w:pStyle w:val="BodyText2"/>
        <w:rPr>
          <w:rFonts w:ascii="Arial" w:hAnsi="Arial" w:cs="Arial"/>
          <w:sz w:val="20"/>
          <w:szCs w:val="22"/>
        </w:rPr>
      </w:pPr>
    </w:p>
    <w:tbl>
      <w:tblPr>
        <w:tblW w:w="927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0"/>
        <w:gridCol w:w="4140"/>
        <w:gridCol w:w="4590"/>
      </w:tblGrid>
      <w:tr w:rsidR="009571FA" w:rsidTr="00BC6050">
        <w:tc>
          <w:tcPr>
            <w:tcW w:w="540" w:type="dxa"/>
          </w:tcPr>
          <w:p w:rsidR="009571FA" w:rsidRDefault="009571FA" w:rsidP="00BC6050">
            <w:pPr>
              <w:suppressAutoHyphens/>
              <w:rPr>
                <w:sz w:val="24"/>
                <w:lang w:eastAsia="ar-SA"/>
              </w:rPr>
            </w:pPr>
          </w:p>
        </w:tc>
        <w:tc>
          <w:tcPr>
            <w:tcW w:w="4140" w:type="dxa"/>
            <w:shd w:val="clear" w:color="auto" w:fill="EEECE1"/>
          </w:tcPr>
          <w:p w:rsidR="009571FA" w:rsidRDefault="009571FA" w:rsidP="00BC6050">
            <w:pPr>
              <w:suppressAutoHyphens/>
              <w:jc w:val="center"/>
              <w:rPr>
                <w:b/>
                <w:bCs/>
                <w:sz w:val="24"/>
                <w:lang w:eastAsia="ar-SA"/>
              </w:rPr>
            </w:pPr>
            <w:r>
              <w:rPr>
                <w:b/>
                <w:bCs/>
                <w:szCs w:val="22"/>
              </w:rPr>
              <w:t>Indicator</w:t>
            </w:r>
          </w:p>
        </w:tc>
        <w:tc>
          <w:tcPr>
            <w:tcW w:w="4590" w:type="dxa"/>
            <w:shd w:val="clear" w:color="auto" w:fill="EEECE1"/>
          </w:tcPr>
          <w:p w:rsidR="009571FA" w:rsidRDefault="009571FA" w:rsidP="00BC6050">
            <w:pPr>
              <w:suppressAutoHyphens/>
              <w:jc w:val="center"/>
              <w:rPr>
                <w:b/>
                <w:sz w:val="24"/>
                <w:szCs w:val="20"/>
                <w:lang w:eastAsia="ar-SA"/>
              </w:rPr>
            </w:pPr>
            <w:r>
              <w:rPr>
                <w:b/>
                <w:szCs w:val="20"/>
              </w:rPr>
              <w:t>Definition and Notes</w:t>
            </w:r>
          </w:p>
        </w:tc>
      </w:tr>
      <w:tr w:rsidR="009571FA" w:rsidTr="00BC6050">
        <w:tc>
          <w:tcPr>
            <w:tcW w:w="540" w:type="dxa"/>
          </w:tcPr>
          <w:p w:rsidR="009571FA" w:rsidRDefault="009571FA" w:rsidP="00BC6050">
            <w:pPr>
              <w:suppressAutoHyphens/>
              <w:rPr>
                <w:sz w:val="24"/>
                <w:lang w:eastAsia="ar-SA"/>
              </w:rPr>
            </w:pPr>
            <w:r>
              <w:t>2.1</w:t>
            </w:r>
          </w:p>
        </w:tc>
        <w:tc>
          <w:tcPr>
            <w:tcW w:w="4140" w:type="dxa"/>
            <w:shd w:val="clear" w:color="auto" w:fill="DBE5F1"/>
          </w:tcPr>
          <w:p w:rsidR="009571FA" w:rsidRPr="00AA4533" w:rsidRDefault="009571FA" w:rsidP="00BC6050">
            <w:pPr>
              <w:rPr>
                <w:bCs/>
                <w:lang w:eastAsia="ar-SA"/>
              </w:rPr>
            </w:pPr>
            <w:r w:rsidRPr="00AA4533">
              <w:rPr>
                <w:bCs/>
                <w:szCs w:val="22"/>
              </w:rPr>
              <w:t>Extent of gender integration into the operational planning and programme cycle processes.</w:t>
            </w:r>
          </w:p>
          <w:p w:rsidR="009571FA" w:rsidRPr="00AA4533" w:rsidRDefault="009571FA" w:rsidP="00BC6050">
            <w:pPr>
              <w:rPr>
                <w:bCs/>
                <w:sz w:val="10"/>
              </w:rPr>
            </w:pPr>
          </w:p>
          <w:p w:rsidR="009571FA" w:rsidRPr="00AA4533" w:rsidRDefault="009571FA" w:rsidP="00BC6050">
            <w:pPr>
              <w:rPr>
                <w:bCs/>
              </w:rPr>
            </w:pPr>
            <w:r w:rsidRPr="00AA4533">
              <w:rPr>
                <w:bCs/>
                <w:i/>
                <w:iCs/>
                <w:szCs w:val="22"/>
              </w:rPr>
              <w:t xml:space="preserve">Overall indicator: </w:t>
            </w:r>
            <w:r w:rsidRPr="00AA4533">
              <w:rPr>
                <w:bCs/>
                <w:szCs w:val="22"/>
              </w:rPr>
              <w:t xml:space="preserve"> Percentage of planning focal points whose responses reflect "strong" integration of gender during the operational planning and programme cycle, disaggregated by sex, WHO category (P, D, G), WHO level (HQ, Regional Office, Country Offices) and by whether or not there was collaboration with the GWH network. </w:t>
            </w:r>
          </w:p>
          <w:p w:rsidR="009571FA" w:rsidRPr="00AA4533" w:rsidRDefault="009571FA" w:rsidP="00BC6050">
            <w:pPr>
              <w:rPr>
                <w:bCs/>
                <w:sz w:val="12"/>
              </w:rPr>
            </w:pPr>
          </w:p>
          <w:p w:rsidR="009571FA" w:rsidRPr="00AA4533" w:rsidRDefault="009571FA" w:rsidP="00BC6050">
            <w:pPr>
              <w:rPr>
                <w:bCs/>
                <w:i/>
                <w:iCs/>
              </w:rPr>
            </w:pPr>
            <w:r w:rsidRPr="00AA4533">
              <w:rPr>
                <w:bCs/>
                <w:i/>
                <w:iCs/>
                <w:szCs w:val="22"/>
              </w:rPr>
              <w:t xml:space="preserve">Sub-indicators: </w:t>
            </w:r>
          </w:p>
          <w:p w:rsidR="009571FA" w:rsidRPr="00AA4533" w:rsidRDefault="009571FA" w:rsidP="00BC6050">
            <w:pPr>
              <w:rPr>
                <w:bCs/>
              </w:rPr>
            </w:pPr>
            <w:r w:rsidRPr="00AA4533">
              <w:rPr>
                <w:b/>
                <w:bCs/>
                <w:szCs w:val="22"/>
              </w:rPr>
              <w:t>i.</w:t>
            </w:r>
            <w:r w:rsidRPr="00AA4533">
              <w:rPr>
                <w:bCs/>
                <w:szCs w:val="22"/>
              </w:rPr>
              <w:t xml:space="preserve"> Percentage of planning focal points whose responses reflect "strong" integrating gender during the </w:t>
            </w:r>
            <w:r w:rsidRPr="00AA4533">
              <w:rPr>
                <w:b/>
                <w:szCs w:val="22"/>
              </w:rPr>
              <w:t xml:space="preserve">operational planning process </w:t>
            </w:r>
            <w:r w:rsidRPr="00AA4533">
              <w:rPr>
                <w:bCs/>
                <w:szCs w:val="22"/>
              </w:rPr>
              <w:t xml:space="preserve">disaggregated by sex, WHO category (P, D, G), WHO level (HQ, Regional Office, Country Offices) and by whether or not there was collaboration with the GWH network. </w:t>
            </w:r>
          </w:p>
          <w:p w:rsidR="009571FA" w:rsidRPr="00CC0830" w:rsidRDefault="009571FA" w:rsidP="00BC6050">
            <w:pPr>
              <w:rPr>
                <w:bCs/>
                <w:sz w:val="14"/>
              </w:rPr>
            </w:pPr>
          </w:p>
          <w:p w:rsidR="009571FA" w:rsidRPr="00AA4533" w:rsidRDefault="009571FA" w:rsidP="00BC6050">
            <w:pPr>
              <w:rPr>
                <w:bCs/>
              </w:rPr>
            </w:pPr>
            <w:r w:rsidRPr="00AA4533">
              <w:rPr>
                <w:b/>
                <w:bCs/>
                <w:szCs w:val="22"/>
              </w:rPr>
              <w:t>ii.</w:t>
            </w:r>
            <w:r w:rsidRPr="00AA4533">
              <w:rPr>
                <w:bCs/>
                <w:szCs w:val="22"/>
              </w:rPr>
              <w:t xml:space="preserve"> Percentage of planning focal points whose responses reflect "strong" integrating gender during </w:t>
            </w:r>
            <w:r w:rsidRPr="00AA4533">
              <w:rPr>
                <w:b/>
                <w:szCs w:val="22"/>
              </w:rPr>
              <w:t>programme implementation</w:t>
            </w:r>
            <w:r w:rsidRPr="00AA4533">
              <w:rPr>
                <w:bCs/>
                <w:szCs w:val="22"/>
              </w:rPr>
              <w:t xml:space="preserve"> for 2006-2007 biennium disaggregated by sex, WHO category (P D and G), WHO level (HQ, Regional Office, Country Offices) and collaboration with GWH network.</w:t>
            </w:r>
          </w:p>
          <w:p w:rsidR="009571FA" w:rsidRPr="00AA4533" w:rsidRDefault="009571FA" w:rsidP="00BC6050">
            <w:pPr>
              <w:rPr>
                <w:bCs/>
                <w:sz w:val="14"/>
              </w:rPr>
            </w:pPr>
          </w:p>
          <w:p w:rsidR="009571FA" w:rsidRDefault="009571FA" w:rsidP="00BC6050">
            <w:pPr>
              <w:suppressAutoHyphens/>
              <w:rPr>
                <w:sz w:val="24"/>
                <w:lang w:eastAsia="ar-SA"/>
              </w:rPr>
            </w:pPr>
            <w:r w:rsidRPr="00AA4533">
              <w:rPr>
                <w:b/>
                <w:bCs/>
                <w:szCs w:val="22"/>
              </w:rPr>
              <w:t>iii.</w:t>
            </w:r>
            <w:r w:rsidRPr="00AA4533">
              <w:rPr>
                <w:bCs/>
                <w:szCs w:val="22"/>
              </w:rPr>
              <w:t xml:space="preserve"> Percentage of planning focal points whose responses reflect "strong" integrating gender during</w:t>
            </w:r>
            <w:r w:rsidRPr="00AA4533">
              <w:rPr>
                <w:b/>
                <w:szCs w:val="22"/>
              </w:rPr>
              <w:t xml:space="preserve"> programme monitoring and evaluation</w:t>
            </w:r>
            <w:r w:rsidRPr="00AA4533">
              <w:rPr>
                <w:bCs/>
                <w:szCs w:val="22"/>
              </w:rPr>
              <w:t xml:space="preserve"> for 2006-2007 biennium disaggregated by sex, WHO category (P D and G), WHO level (HQ, Regional Office, Country Offices) and collaboration with GWH network.</w:t>
            </w:r>
          </w:p>
        </w:tc>
        <w:tc>
          <w:tcPr>
            <w:tcW w:w="4590" w:type="dxa"/>
          </w:tcPr>
          <w:p w:rsidR="009571FA" w:rsidRPr="00AA4533" w:rsidRDefault="009571FA" w:rsidP="00BC6050">
            <w:pPr>
              <w:rPr>
                <w:szCs w:val="20"/>
                <w:lang w:eastAsia="ar-SA"/>
              </w:rPr>
            </w:pPr>
            <w:r w:rsidRPr="00AA4533">
              <w:rPr>
                <w:szCs w:val="20"/>
              </w:rPr>
              <w:t xml:space="preserve">Gender  integration into </w:t>
            </w:r>
            <w:r w:rsidRPr="00AA4533">
              <w:rPr>
                <w:b/>
                <w:bCs/>
                <w:szCs w:val="20"/>
              </w:rPr>
              <w:t>operational planning process</w:t>
            </w:r>
            <w:r w:rsidRPr="00AA4533">
              <w:rPr>
                <w:szCs w:val="20"/>
              </w:rPr>
              <w:t xml:space="preserve"> is measured on a scale of weak, moderate, and strong, The values for classifying into these three categories are derived as an index score based on questions 11 to 18 in the planning officers interview (see annex 3 for details</w:t>
            </w:r>
            <w:r w:rsidRPr="00312E54">
              <w:rPr>
                <w:szCs w:val="20"/>
              </w:rPr>
              <w:t>), which ranges from 0 to 8 points.  Those who score 7 or 8 are classified as indicating strong integrati</w:t>
            </w:r>
            <w:r w:rsidR="008A2843" w:rsidRPr="00312E54">
              <w:rPr>
                <w:szCs w:val="20"/>
              </w:rPr>
              <w:t xml:space="preserve">on of </w:t>
            </w:r>
            <w:r w:rsidRPr="00312E54">
              <w:rPr>
                <w:szCs w:val="20"/>
              </w:rPr>
              <w:t>gender in the operational planning process.</w:t>
            </w:r>
            <w:r w:rsidRPr="00AA4533">
              <w:rPr>
                <w:szCs w:val="20"/>
              </w:rPr>
              <w:t xml:space="preserve"> </w:t>
            </w:r>
          </w:p>
          <w:p w:rsidR="009571FA" w:rsidRPr="00AA4533" w:rsidRDefault="009571FA" w:rsidP="00BC6050">
            <w:pPr>
              <w:rPr>
                <w:sz w:val="14"/>
                <w:szCs w:val="20"/>
              </w:rPr>
            </w:pPr>
          </w:p>
          <w:p w:rsidR="009571FA" w:rsidRPr="00312E54" w:rsidRDefault="008A2843" w:rsidP="00BC6050">
            <w:pPr>
              <w:rPr>
                <w:szCs w:val="20"/>
              </w:rPr>
            </w:pPr>
            <w:r>
              <w:rPr>
                <w:szCs w:val="20"/>
              </w:rPr>
              <w:t>Strong integration of</w:t>
            </w:r>
            <w:r w:rsidR="009571FA" w:rsidRPr="00AA4533">
              <w:rPr>
                <w:szCs w:val="20"/>
              </w:rPr>
              <w:t xml:space="preserve"> gender in the </w:t>
            </w:r>
            <w:r w:rsidR="009571FA" w:rsidRPr="00AA4533">
              <w:rPr>
                <w:b/>
                <w:bCs/>
                <w:szCs w:val="20"/>
              </w:rPr>
              <w:t>programme implementation process</w:t>
            </w:r>
            <w:r w:rsidR="009571FA" w:rsidRPr="00AA4533">
              <w:rPr>
                <w:szCs w:val="20"/>
              </w:rPr>
              <w:t xml:space="preserve"> is measured on a scale of weak, moderate and strong.  The values for classifying into these three categories are derived as an index score based on questions 21 to 25 in the planning officers interview (see annex 3 for details</w:t>
            </w:r>
            <w:r w:rsidR="009571FA" w:rsidRPr="00312E54">
              <w:rPr>
                <w:szCs w:val="20"/>
              </w:rPr>
              <w:t xml:space="preserve">), which ranges 0 to 12.  Those who score 10-12 are classified as indicating strong integrating gender in the programme implementation process.  </w:t>
            </w:r>
          </w:p>
          <w:p w:rsidR="008A2843" w:rsidRPr="00312E54" w:rsidRDefault="008A2843" w:rsidP="008A2843">
            <w:pPr>
              <w:suppressAutoHyphens/>
              <w:rPr>
                <w:szCs w:val="20"/>
              </w:rPr>
            </w:pPr>
          </w:p>
          <w:p w:rsidR="009571FA" w:rsidRDefault="009571FA" w:rsidP="008A2843">
            <w:pPr>
              <w:suppressAutoHyphens/>
              <w:rPr>
                <w:sz w:val="24"/>
                <w:lang w:eastAsia="ar-SA"/>
              </w:rPr>
            </w:pPr>
            <w:r w:rsidRPr="00312E54">
              <w:rPr>
                <w:szCs w:val="20"/>
              </w:rPr>
              <w:t>Strongly integrating gender in the programme monitoring and evaluation is measured on a</w:t>
            </w:r>
            <w:r w:rsidRPr="00AA4533">
              <w:rPr>
                <w:szCs w:val="20"/>
              </w:rPr>
              <w:t xml:space="preserve"> scale of weak, moderate and strong.  The values for classifying into these three categories are derived as an index score based on questions 28 to 33 from the planning officers interview (see annex 3 for details), which range from 0 to 25.  Those who score 19-25 are classified as having indicated strong </w:t>
            </w:r>
            <w:r w:rsidR="008A2843" w:rsidRPr="00AA4533">
              <w:rPr>
                <w:szCs w:val="20"/>
              </w:rPr>
              <w:t xml:space="preserve">gender </w:t>
            </w:r>
            <w:r w:rsidRPr="00AA4533">
              <w:rPr>
                <w:szCs w:val="20"/>
              </w:rPr>
              <w:t>integrati</w:t>
            </w:r>
            <w:r w:rsidR="008A2843">
              <w:rPr>
                <w:szCs w:val="20"/>
              </w:rPr>
              <w:t>on</w:t>
            </w:r>
            <w:r w:rsidRPr="00AA4533">
              <w:rPr>
                <w:szCs w:val="20"/>
              </w:rPr>
              <w:t xml:space="preserve"> for programme monitoring.    </w:t>
            </w:r>
          </w:p>
        </w:tc>
      </w:tr>
      <w:tr w:rsidR="009571FA" w:rsidTr="00BC6050">
        <w:tc>
          <w:tcPr>
            <w:tcW w:w="540" w:type="dxa"/>
          </w:tcPr>
          <w:p w:rsidR="009571FA" w:rsidRDefault="009571FA" w:rsidP="00BC6050">
            <w:pPr>
              <w:rPr>
                <w:sz w:val="24"/>
                <w:lang w:eastAsia="ar-SA"/>
              </w:rPr>
            </w:pPr>
          </w:p>
          <w:p w:rsidR="009571FA" w:rsidRDefault="009571FA" w:rsidP="00BC6050">
            <w:pPr>
              <w:suppressAutoHyphens/>
              <w:rPr>
                <w:sz w:val="24"/>
                <w:lang w:eastAsia="ar-SA"/>
              </w:rPr>
            </w:pPr>
            <w:r>
              <w:t>2.2</w:t>
            </w:r>
          </w:p>
        </w:tc>
        <w:tc>
          <w:tcPr>
            <w:tcW w:w="4140" w:type="dxa"/>
            <w:shd w:val="clear" w:color="auto" w:fill="DBE5F1"/>
          </w:tcPr>
          <w:p w:rsidR="009571FA" w:rsidRPr="00AA4533" w:rsidRDefault="009571FA" w:rsidP="00BC6050">
            <w:pPr>
              <w:rPr>
                <w:bCs/>
                <w:szCs w:val="20"/>
                <w:lang w:eastAsia="ar-SA"/>
              </w:rPr>
            </w:pPr>
          </w:p>
          <w:p w:rsidR="009571FA" w:rsidRPr="00AA4533" w:rsidRDefault="009571FA" w:rsidP="00BC6050">
            <w:pPr>
              <w:rPr>
                <w:bCs/>
                <w:szCs w:val="20"/>
                <w:lang w:eastAsia="ar-SA"/>
              </w:rPr>
            </w:pPr>
            <w:r w:rsidRPr="00AA4533">
              <w:rPr>
                <w:bCs/>
                <w:szCs w:val="20"/>
              </w:rPr>
              <w:t xml:space="preserve">Number of post-2005 Country Cooperation </w:t>
            </w:r>
            <w:r w:rsidRPr="00AA4533">
              <w:rPr>
                <w:bCs/>
                <w:szCs w:val="20"/>
              </w:rPr>
              <w:br/>
              <w:t xml:space="preserve">strategies (CCS) out of those sampled, that strongly integrate gender. </w:t>
            </w:r>
          </w:p>
        </w:tc>
        <w:tc>
          <w:tcPr>
            <w:tcW w:w="4590" w:type="dxa"/>
          </w:tcPr>
          <w:p w:rsidR="009571FA" w:rsidRPr="00D71E61" w:rsidRDefault="009571FA" w:rsidP="007953B7">
            <w:pPr>
              <w:pStyle w:val="CommentText"/>
              <w:rPr>
                <w:rFonts w:cs="Arial"/>
                <w:lang w:val="en-GB" w:eastAsia="ar-SA"/>
              </w:rPr>
            </w:pPr>
            <w:r w:rsidRPr="007953B7">
              <w:rPr>
                <w:rFonts w:cs="Arial"/>
                <w:lang w:val="en-GB"/>
              </w:rPr>
              <w:t xml:space="preserve">As part of the document review, a series of criteria </w:t>
            </w:r>
            <w:r w:rsidR="007953B7" w:rsidRPr="007953B7">
              <w:rPr>
                <w:rFonts w:cs="Arial"/>
                <w:lang w:val="en-GB"/>
              </w:rPr>
              <w:t xml:space="preserve">are </w:t>
            </w:r>
            <w:r w:rsidRPr="007953B7">
              <w:rPr>
                <w:rFonts w:cs="Arial"/>
                <w:lang w:val="en-GB"/>
              </w:rPr>
              <w:t>applied (see annex 4 for details).</w:t>
            </w:r>
            <w:r w:rsidR="007953B7" w:rsidRPr="007953B7">
              <w:rPr>
                <w:rFonts w:cs="Arial"/>
                <w:lang w:val="en-GB"/>
              </w:rPr>
              <w:t xml:space="preserve"> A score of</w:t>
            </w:r>
            <w:r w:rsidR="00312E54" w:rsidRPr="007953B7">
              <w:rPr>
                <w:rFonts w:cs="Arial"/>
                <w:lang w:val="en-GB"/>
              </w:rPr>
              <w:t xml:space="preserve"> </w:t>
            </w:r>
            <w:r w:rsidR="006D1855" w:rsidRPr="007953B7">
              <w:rPr>
                <w:rFonts w:cs="Arial"/>
                <w:lang w:val="en-GB"/>
              </w:rPr>
              <w:t>one</w:t>
            </w:r>
            <w:r w:rsidR="00312E54" w:rsidRPr="007953B7">
              <w:rPr>
                <w:rFonts w:cs="Arial"/>
                <w:lang w:val="en-GB"/>
              </w:rPr>
              <w:t xml:space="preserve"> </w:t>
            </w:r>
            <w:r w:rsidR="007953B7" w:rsidRPr="007953B7">
              <w:rPr>
                <w:rFonts w:cs="Arial"/>
                <w:lang w:val="en-GB"/>
              </w:rPr>
              <w:t>is given to</w:t>
            </w:r>
            <w:r w:rsidR="006F46D6" w:rsidRPr="007953B7">
              <w:rPr>
                <w:rFonts w:cs="Arial"/>
                <w:lang w:val="en-GB"/>
              </w:rPr>
              <w:t xml:space="preserve"> </w:t>
            </w:r>
            <w:r w:rsidR="007953B7" w:rsidRPr="007953B7">
              <w:rPr>
                <w:rFonts w:cs="Arial"/>
                <w:lang w:val="en-GB"/>
              </w:rPr>
              <w:t xml:space="preserve">each </w:t>
            </w:r>
            <w:r w:rsidR="006D1855" w:rsidRPr="007953B7">
              <w:rPr>
                <w:rFonts w:cs="Arial"/>
                <w:lang w:val="en-GB"/>
              </w:rPr>
              <w:t xml:space="preserve">criterion </w:t>
            </w:r>
            <w:r w:rsidR="007953B7" w:rsidRPr="007953B7">
              <w:rPr>
                <w:rFonts w:cs="Arial"/>
                <w:lang w:val="en-GB"/>
              </w:rPr>
              <w:t xml:space="preserve">met by the document </w:t>
            </w:r>
            <w:r w:rsidR="006D1855" w:rsidRPr="007953B7">
              <w:rPr>
                <w:rFonts w:cs="Arial"/>
                <w:lang w:val="en-GB"/>
              </w:rPr>
              <w:t xml:space="preserve">and a zero for </w:t>
            </w:r>
            <w:r w:rsidR="006F46D6" w:rsidRPr="007953B7">
              <w:rPr>
                <w:rFonts w:cs="Arial"/>
                <w:lang w:val="en-GB"/>
              </w:rPr>
              <w:t>each</w:t>
            </w:r>
            <w:r w:rsidR="007953B7" w:rsidRPr="007953B7">
              <w:rPr>
                <w:rFonts w:cs="Arial"/>
                <w:lang w:val="en-GB"/>
              </w:rPr>
              <w:t xml:space="preserve"> that is not. These scores are </w:t>
            </w:r>
            <w:r w:rsidRPr="007953B7">
              <w:rPr>
                <w:rFonts w:cs="Arial"/>
                <w:lang w:val="en-GB"/>
              </w:rPr>
              <w:t xml:space="preserve">tallied as </w:t>
            </w:r>
            <w:r w:rsidR="007953B7" w:rsidRPr="007953B7">
              <w:rPr>
                <w:rFonts w:cs="Arial"/>
                <w:lang w:val="en-GB"/>
              </w:rPr>
              <w:t xml:space="preserve">a </w:t>
            </w:r>
            <w:r w:rsidRPr="007953B7">
              <w:rPr>
                <w:rFonts w:cs="Arial"/>
                <w:lang w:val="en-GB"/>
              </w:rPr>
              <w:t>simple index. A maximum score would be 9 and a minimum</w:t>
            </w:r>
            <w:r w:rsidR="00D71E61" w:rsidRPr="007953B7">
              <w:rPr>
                <w:rFonts w:cs="Arial"/>
                <w:lang w:val="en-GB"/>
              </w:rPr>
              <w:t xml:space="preserve">, </w:t>
            </w:r>
            <w:r w:rsidR="006F46D6" w:rsidRPr="007953B7">
              <w:rPr>
                <w:rFonts w:cs="Arial"/>
                <w:lang w:val="en-GB"/>
              </w:rPr>
              <w:t xml:space="preserve">0. </w:t>
            </w:r>
            <w:r w:rsidRPr="007953B7">
              <w:rPr>
                <w:rFonts w:cs="Arial"/>
                <w:lang w:val="en-GB"/>
              </w:rPr>
              <w:t xml:space="preserve">CCSs categorized as having strongly integrated gender would be those </w:t>
            </w:r>
            <w:r w:rsidR="00D71E61" w:rsidRPr="007953B7">
              <w:rPr>
                <w:rFonts w:cs="Arial"/>
                <w:lang w:val="en-GB"/>
              </w:rPr>
              <w:t xml:space="preserve">with a </w:t>
            </w:r>
            <w:r w:rsidRPr="007953B7">
              <w:rPr>
                <w:rFonts w:cs="Arial"/>
                <w:lang w:val="en-GB"/>
              </w:rPr>
              <w:t xml:space="preserve">score </w:t>
            </w:r>
            <w:r w:rsidR="00D71E61" w:rsidRPr="007953B7">
              <w:rPr>
                <w:rFonts w:cs="Arial"/>
                <w:lang w:val="en-GB"/>
              </w:rPr>
              <w:t>of</w:t>
            </w:r>
            <w:r w:rsidRPr="007953B7">
              <w:rPr>
                <w:rFonts w:cs="Arial"/>
                <w:lang w:val="en-GB"/>
              </w:rPr>
              <w:t xml:space="preserve"> 7-9.</w:t>
            </w:r>
            <w:r w:rsidRPr="00D71E61">
              <w:rPr>
                <w:rFonts w:cs="Arial"/>
                <w:lang w:val="en-GB"/>
              </w:rPr>
              <w:t xml:space="preserve"> </w:t>
            </w:r>
          </w:p>
        </w:tc>
      </w:tr>
      <w:tr w:rsidR="009571FA" w:rsidTr="00BC6050">
        <w:tc>
          <w:tcPr>
            <w:tcW w:w="540" w:type="dxa"/>
          </w:tcPr>
          <w:p w:rsidR="009571FA" w:rsidRDefault="009571FA" w:rsidP="00BC6050">
            <w:pPr>
              <w:pStyle w:val="List"/>
              <w:spacing w:after="0"/>
              <w:rPr>
                <w:rFonts w:cs="Times New Roman"/>
              </w:rPr>
            </w:pPr>
          </w:p>
          <w:p w:rsidR="009571FA" w:rsidRDefault="009571FA" w:rsidP="00BC6050">
            <w:pPr>
              <w:pStyle w:val="List"/>
              <w:spacing w:after="0"/>
              <w:rPr>
                <w:rFonts w:cs="Times New Roman"/>
              </w:rPr>
            </w:pPr>
            <w:r>
              <w:rPr>
                <w:rFonts w:cs="Times New Roman"/>
              </w:rPr>
              <w:t>2.3</w:t>
            </w:r>
          </w:p>
        </w:tc>
        <w:tc>
          <w:tcPr>
            <w:tcW w:w="4140" w:type="dxa"/>
            <w:shd w:val="clear" w:color="auto" w:fill="DBE5F1"/>
          </w:tcPr>
          <w:p w:rsidR="009571FA" w:rsidRPr="00AA4533" w:rsidRDefault="009571FA" w:rsidP="00BC6050">
            <w:pPr>
              <w:rPr>
                <w:bCs/>
                <w:szCs w:val="20"/>
                <w:lang w:eastAsia="ar-SA"/>
              </w:rPr>
            </w:pPr>
          </w:p>
          <w:p w:rsidR="009571FA" w:rsidRPr="00AA4533" w:rsidRDefault="009571FA" w:rsidP="00BC6050">
            <w:pPr>
              <w:suppressAutoHyphens/>
              <w:rPr>
                <w:szCs w:val="20"/>
                <w:lang w:eastAsia="ar-SA"/>
              </w:rPr>
            </w:pPr>
            <w:r w:rsidRPr="00AA4533">
              <w:rPr>
                <w:bCs/>
                <w:szCs w:val="20"/>
              </w:rPr>
              <w:t>Number of (2006/2007) Biennial Country Work Plans out of those sampled that strongly integrate gender.</w:t>
            </w:r>
          </w:p>
        </w:tc>
        <w:tc>
          <w:tcPr>
            <w:tcW w:w="4590" w:type="dxa"/>
          </w:tcPr>
          <w:p w:rsidR="009571FA" w:rsidRPr="00AA4533" w:rsidRDefault="009571FA" w:rsidP="00D71E61">
            <w:pPr>
              <w:suppressAutoHyphens/>
              <w:rPr>
                <w:bCs/>
                <w:szCs w:val="20"/>
                <w:lang w:eastAsia="ar-SA"/>
              </w:rPr>
            </w:pPr>
            <w:r w:rsidRPr="00AA4533">
              <w:rPr>
                <w:szCs w:val="20"/>
                <w:lang w:val="en-GB"/>
              </w:rPr>
              <w:t xml:space="preserve">Applying similar criteria (see annex 4 for details) to the review of biennial country work plans, country work plans categorized as having strongly integrated gender are those with a score </w:t>
            </w:r>
            <w:r w:rsidRPr="00D71E61">
              <w:rPr>
                <w:szCs w:val="20"/>
                <w:lang w:val="en-GB"/>
              </w:rPr>
              <w:t>of 5 or 6</w:t>
            </w:r>
          </w:p>
        </w:tc>
      </w:tr>
      <w:tr w:rsidR="009571FA" w:rsidTr="00BC6050">
        <w:tc>
          <w:tcPr>
            <w:tcW w:w="540" w:type="dxa"/>
          </w:tcPr>
          <w:p w:rsidR="009571FA" w:rsidRDefault="009571FA" w:rsidP="00BC6050">
            <w:pPr>
              <w:rPr>
                <w:sz w:val="24"/>
                <w:lang w:eastAsia="ar-SA"/>
              </w:rPr>
            </w:pPr>
          </w:p>
          <w:p w:rsidR="009571FA" w:rsidRDefault="009571FA" w:rsidP="00BC6050">
            <w:pPr>
              <w:suppressAutoHyphens/>
              <w:rPr>
                <w:sz w:val="24"/>
                <w:lang w:eastAsia="ar-SA"/>
              </w:rPr>
            </w:pPr>
            <w:r>
              <w:t>2.4</w:t>
            </w:r>
          </w:p>
        </w:tc>
        <w:tc>
          <w:tcPr>
            <w:tcW w:w="4140" w:type="dxa"/>
            <w:shd w:val="clear" w:color="auto" w:fill="DBE5F1"/>
          </w:tcPr>
          <w:p w:rsidR="009571FA" w:rsidRPr="00AA4533" w:rsidRDefault="009571FA" w:rsidP="00BC6050">
            <w:pPr>
              <w:pStyle w:val="ListParagraph"/>
              <w:ind w:left="0"/>
              <w:rPr>
                <w:rFonts w:ascii="Times New Roman" w:hAnsi="Times New Roman"/>
                <w:bCs/>
                <w:szCs w:val="20"/>
                <w:lang w:eastAsia="ar-SA"/>
              </w:rPr>
            </w:pPr>
          </w:p>
          <w:p w:rsidR="009571FA" w:rsidRPr="00A14D8B" w:rsidRDefault="009571FA" w:rsidP="00BC6050">
            <w:pPr>
              <w:pStyle w:val="ListParagraph"/>
              <w:ind w:left="0"/>
              <w:rPr>
                <w:rFonts w:cs="Arial"/>
                <w:bCs/>
                <w:szCs w:val="20"/>
                <w:lang w:eastAsia="ar-SA"/>
              </w:rPr>
            </w:pPr>
            <w:r w:rsidRPr="00A14D8B">
              <w:rPr>
                <w:rFonts w:cs="Arial"/>
                <w:bCs/>
                <w:szCs w:val="20"/>
                <w:lang w:eastAsia="ar-SA"/>
              </w:rPr>
              <w:t>Percentage of all professional and administrative long-te</w:t>
            </w:r>
            <w:r w:rsidR="00065BB7">
              <w:rPr>
                <w:rFonts w:cs="Arial"/>
                <w:bCs/>
                <w:szCs w:val="20"/>
                <w:lang w:eastAsia="ar-SA"/>
              </w:rPr>
              <w:t>rm and temporary posts,  by sex</w:t>
            </w:r>
            <w:r w:rsidRPr="00A14D8B">
              <w:rPr>
                <w:rFonts w:cs="Arial"/>
                <w:bCs/>
                <w:szCs w:val="20"/>
                <w:lang w:eastAsia="ar-SA"/>
              </w:rPr>
              <w:t xml:space="preserve"> and grade-level, cumulative at Dec 31 2007</w:t>
            </w:r>
          </w:p>
        </w:tc>
        <w:tc>
          <w:tcPr>
            <w:tcW w:w="4590" w:type="dxa"/>
          </w:tcPr>
          <w:p w:rsidR="009571FA" w:rsidRPr="00AA4533" w:rsidRDefault="00065BB7" w:rsidP="00BC6050">
            <w:pPr>
              <w:pStyle w:val="FootnoteText"/>
              <w:rPr>
                <w:lang w:val="en-GB" w:eastAsia="ar-SA"/>
              </w:rPr>
            </w:pPr>
            <w:r>
              <w:rPr>
                <w:lang w:val="en-GB"/>
              </w:rPr>
              <w:t>i.</w:t>
            </w:r>
            <w:r w:rsidR="006F46D6">
              <w:rPr>
                <w:lang w:val="en-GB"/>
              </w:rPr>
              <w:t>)</w:t>
            </w:r>
            <w:r>
              <w:rPr>
                <w:lang w:val="en-GB"/>
              </w:rPr>
              <w:t xml:space="preserve"> </w:t>
            </w:r>
            <w:r w:rsidR="009571FA" w:rsidRPr="00AA4533">
              <w:rPr>
                <w:lang w:val="en-GB"/>
              </w:rPr>
              <w:t xml:space="preserve">Long-term posts or appointments refer to positions that are longer than 12 months.  Temporary posts or appointments refer to positions that are 12 months or less.  </w:t>
            </w:r>
          </w:p>
          <w:p w:rsidR="009571FA" w:rsidRPr="00CC0830" w:rsidRDefault="009571FA" w:rsidP="00BC6050">
            <w:pPr>
              <w:rPr>
                <w:sz w:val="10"/>
                <w:szCs w:val="20"/>
                <w:lang w:val="en-GB"/>
              </w:rPr>
            </w:pPr>
          </w:p>
          <w:p w:rsidR="009571FA" w:rsidRPr="00AA4533" w:rsidRDefault="00065BB7" w:rsidP="00065BB7">
            <w:pPr>
              <w:suppressAutoHyphens/>
              <w:rPr>
                <w:szCs w:val="20"/>
                <w:lang w:val="en-GB" w:eastAsia="ar-SA"/>
              </w:rPr>
            </w:pPr>
            <w:r>
              <w:rPr>
                <w:szCs w:val="20"/>
                <w:lang w:val="en-GB"/>
              </w:rPr>
              <w:t>ii.</w:t>
            </w:r>
            <w:r w:rsidR="006F46D6">
              <w:rPr>
                <w:szCs w:val="20"/>
                <w:lang w:val="en-GB"/>
              </w:rPr>
              <w:t>)</w:t>
            </w:r>
            <w:r>
              <w:rPr>
                <w:szCs w:val="20"/>
                <w:lang w:val="en-GB"/>
              </w:rPr>
              <w:t xml:space="preserve"> </w:t>
            </w:r>
            <w:r w:rsidR="009571FA" w:rsidRPr="00AA4533">
              <w:rPr>
                <w:szCs w:val="20"/>
                <w:lang w:val="en-GB"/>
              </w:rPr>
              <w:t xml:space="preserve">Grades-levels </w:t>
            </w:r>
            <w:r>
              <w:rPr>
                <w:szCs w:val="20"/>
                <w:lang w:val="en-GB"/>
              </w:rPr>
              <w:t xml:space="preserve">refer to: </w:t>
            </w:r>
            <w:r w:rsidR="009571FA" w:rsidRPr="00AA4533">
              <w:rPr>
                <w:szCs w:val="20"/>
                <w:lang w:val="en-GB"/>
              </w:rPr>
              <w:t>Professional</w:t>
            </w:r>
            <w:r>
              <w:rPr>
                <w:szCs w:val="20"/>
                <w:lang w:val="en-GB"/>
              </w:rPr>
              <w:t>s</w:t>
            </w:r>
            <w:r w:rsidR="009571FA" w:rsidRPr="00AA4533">
              <w:rPr>
                <w:szCs w:val="20"/>
                <w:lang w:val="en-GB"/>
              </w:rPr>
              <w:t xml:space="preserve"> including P1-P6, D1</w:t>
            </w:r>
            <w:r w:rsidR="006F643D" w:rsidRPr="00AA4533">
              <w:rPr>
                <w:szCs w:val="20"/>
                <w:lang w:val="en-GB"/>
              </w:rPr>
              <w:t>, D2</w:t>
            </w:r>
            <w:r w:rsidR="009571FA" w:rsidRPr="00AA4533">
              <w:rPr>
                <w:szCs w:val="20"/>
                <w:lang w:val="en-GB"/>
              </w:rPr>
              <w:t xml:space="preserve">, </w:t>
            </w:r>
            <w:r w:rsidR="006F643D" w:rsidRPr="00AA4533">
              <w:rPr>
                <w:szCs w:val="20"/>
                <w:lang w:val="en-GB"/>
              </w:rPr>
              <w:t>UG;</w:t>
            </w:r>
            <w:r w:rsidR="009571FA" w:rsidRPr="00AA4533">
              <w:rPr>
                <w:szCs w:val="20"/>
                <w:lang w:val="en-GB"/>
              </w:rPr>
              <w:t xml:space="preserve"> National Professional Officers - NPO including A, B, C and D; and General Service including G1-G7.   </w:t>
            </w:r>
          </w:p>
        </w:tc>
      </w:tr>
      <w:tr w:rsidR="009571FA" w:rsidTr="00BC6050">
        <w:tc>
          <w:tcPr>
            <w:tcW w:w="540" w:type="dxa"/>
          </w:tcPr>
          <w:p w:rsidR="009571FA" w:rsidRDefault="009571FA" w:rsidP="00BC6050">
            <w:pPr>
              <w:suppressAutoHyphens/>
              <w:rPr>
                <w:sz w:val="24"/>
                <w:lang w:eastAsia="ar-SA"/>
              </w:rPr>
            </w:pPr>
            <w:r>
              <w:t>2.5</w:t>
            </w:r>
          </w:p>
        </w:tc>
        <w:tc>
          <w:tcPr>
            <w:tcW w:w="4140" w:type="dxa"/>
            <w:shd w:val="clear" w:color="auto" w:fill="DBE5F1"/>
          </w:tcPr>
          <w:p w:rsidR="009571FA" w:rsidRDefault="009571FA" w:rsidP="00CC0830">
            <w:pPr>
              <w:pStyle w:val="ListParagraph"/>
              <w:ind w:left="0"/>
              <w:rPr>
                <w:rFonts w:cs="Arial"/>
                <w:bCs/>
                <w:szCs w:val="20"/>
                <w:lang w:eastAsia="ar-SA"/>
              </w:rPr>
            </w:pPr>
            <w:r w:rsidRPr="00A14D8B">
              <w:rPr>
                <w:rFonts w:cs="Arial"/>
                <w:bCs/>
                <w:szCs w:val="20"/>
                <w:lang w:eastAsia="ar-SA"/>
              </w:rPr>
              <w:t>Percentage of all long-term and temporary new appointments in 2007 by sex and category (Professional, National Professional Officers and General Service).</w:t>
            </w:r>
          </w:p>
          <w:p w:rsidR="00065BB7" w:rsidRPr="00A14D8B" w:rsidRDefault="00065BB7" w:rsidP="00CC0830">
            <w:pPr>
              <w:pStyle w:val="ListParagraph"/>
              <w:ind w:left="0"/>
              <w:rPr>
                <w:rFonts w:cs="Arial"/>
                <w:bCs/>
                <w:szCs w:val="20"/>
                <w:lang w:eastAsia="ar-SA"/>
              </w:rPr>
            </w:pPr>
          </w:p>
        </w:tc>
        <w:tc>
          <w:tcPr>
            <w:tcW w:w="4590" w:type="dxa"/>
          </w:tcPr>
          <w:p w:rsidR="009571FA" w:rsidRPr="00AA4533" w:rsidRDefault="009571FA" w:rsidP="00BC6050">
            <w:pPr>
              <w:pStyle w:val="ListParagraph"/>
              <w:ind w:left="0"/>
              <w:rPr>
                <w:rFonts w:ascii="Times New Roman" w:hAnsi="Times New Roman"/>
                <w:szCs w:val="20"/>
                <w:lang w:val="en-GB" w:eastAsia="ar-SA"/>
              </w:rPr>
            </w:pPr>
          </w:p>
          <w:p w:rsidR="009571FA" w:rsidRPr="00A14D8B" w:rsidRDefault="009571FA" w:rsidP="00065BB7">
            <w:pPr>
              <w:pStyle w:val="ListParagraph"/>
              <w:ind w:left="0"/>
              <w:rPr>
                <w:rFonts w:cs="Arial"/>
                <w:bCs/>
                <w:szCs w:val="20"/>
                <w:lang w:eastAsia="ar-SA"/>
              </w:rPr>
            </w:pPr>
            <w:r w:rsidRPr="00A14D8B">
              <w:rPr>
                <w:rFonts w:cs="Arial"/>
                <w:szCs w:val="20"/>
                <w:lang w:val="en-GB" w:eastAsia="ar-SA"/>
              </w:rPr>
              <w:t>Explanations as above (2.4</w:t>
            </w:r>
            <w:r w:rsidR="00065BB7">
              <w:rPr>
                <w:rFonts w:cs="Arial"/>
                <w:szCs w:val="20"/>
                <w:lang w:val="en-GB" w:eastAsia="ar-SA"/>
              </w:rPr>
              <w:t>i</w:t>
            </w:r>
            <w:r w:rsidRPr="00A14D8B">
              <w:rPr>
                <w:rFonts w:cs="Arial"/>
                <w:szCs w:val="20"/>
                <w:lang w:val="en-GB" w:eastAsia="ar-SA"/>
              </w:rPr>
              <w:t>)</w:t>
            </w:r>
          </w:p>
        </w:tc>
      </w:tr>
    </w:tbl>
    <w:p w:rsidR="00A14D8B" w:rsidRPr="00A14D8B" w:rsidRDefault="00A14D8B" w:rsidP="00E57D0F">
      <w:pPr>
        <w:ind w:firstLine="720"/>
        <w:rPr>
          <w:sz w:val="10"/>
        </w:rPr>
      </w:pPr>
    </w:p>
    <w:p w:rsidR="009571FA" w:rsidRDefault="009571FA" w:rsidP="00E57D0F">
      <w:pPr>
        <w:ind w:firstLine="720"/>
        <w:rPr>
          <w:lang w:eastAsia="ar-SA"/>
        </w:rPr>
      </w:pPr>
      <w:r>
        <w:t>(See Annexes 2, 3 and 4 for details)</w:t>
      </w:r>
    </w:p>
    <w:p w:rsidR="009571FA" w:rsidRPr="004B35AE" w:rsidRDefault="009571FA" w:rsidP="00E57D0F">
      <w:pPr>
        <w:rPr>
          <w:rFonts w:cs="Arial"/>
          <w:i/>
          <w:iCs/>
          <w:sz w:val="18"/>
        </w:rPr>
      </w:pPr>
    </w:p>
    <w:p w:rsidR="009571FA" w:rsidRDefault="009571FA" w:rsidP="00E57D0F">
      <w:pPr>
        <w:rPr>
          <w:rFonts w:cs="Arial"/>
          <w:b/>
          <w:sz w:val="22"/>
        </w:rPr>
      </w:pPr>
      <w:r w:rsidRPr="00AC129A">
        <w:rPr>
          <w:rFonts w:cs="Arial"/>
          <w:b/>
          <w:i/>
          <w:iCs/>
          <w:sz w:val="22"/>
        </w:rPr>
        <w:t>SD 3: Promote the use of sex-disaggregated data and gender analysis</w:t>
      </w:r>
      <w:r w:rsidRPr="00AC129A">
        <w:rPr>
          <w:rFonts w:cs="Arial"/>
          <w:b/>
          <w:sz w:val="22"/>
        </w:rPr>
        <w:t xml:space="preserve"> </w:t>
      </w:r>
    </w:p>
    <w:p w:rsidR="009571FA" w:rsidRPr="00494F9A" w:rsidRDefault="009571FA" w:rsidP="00F62DCF">
      <w:pPr>
        <w:rPr>
          <w:rFonts w:cs="Arial"/>
          <w:b/>
          <w:bCs/>
          <w:sz w:val="10"/>
          <w:szCs w:val="22"/>
        </w:rPr>
      </w:pPr>
    </w:p>
    <w:p w:rsidR="009571FA" w:rsidRDefault="009571FA" w:rsidP="00065BB7">
      <w:pPr>
        <w:rPr>
          <w:rFonts w:cs="Arial"/>
          <w:sz w:val="22"/>
          <w:szCs w:val="22"/>
        </w:rPr>
      </w:pPr>
      <w:r>
        <w:rPr>
          <w:rFonts w:cs="Arial"/>
          <w:sz w:val="22"/>
          <w:szCs w:val="22"/>
        </w:rPr>
        <w:t xml:space="preserve">The indicators for measuring SD3 correspond to indicators </w:t>
      </w:r>
      <w:r w:rsidRPr="001408BD">
        <w:rPr>
          <w:rFonts w:cs="Arial"/>
          <w:sz w:val="22"/>
          <w:szCs w:val="22"/>
        </w:rPr>
        <w:t xml:space="preserve">3.1 and </w:t>
      </w:r>
      <w:r w:rsidR="006F643D" w:rsidRPr="001408BD">
        <w:rPr>
          <w:rFonts w:cs="Arial"/>
          <w:sz w:val="22"/>
          <w:szCs w:val="22"/>
        </w:rPr>
        <w:t>3.2</w:t>
      </w:r>
      <w:r w:rsidR="006F643D">
        <w:rPr>
          <w:rFonts w:cs="Arial"/>
          <w:sz w:val="22"/>
          <w:szCs w:val="22"/>
        </w:rPr>
        <w:t xml:space="preserve"> that</w:t>
      </w:r>
      <w:r>
        <w:rPr>
          <w:rFonts w:cs="Arial"/>
          <w:sz w:val="22"/>
          <w:szCs w:val="22"/>
        </w:rPr>
        <w:t xml:space="preserve"> include a c</w:t>
      </w:r>
      <w:r w:rsidRPr="001408BD">
        <w:rPr>
          <w:rFonts w:cs="Arial"/>
          <w:sz w:val="22"/>
          <w:szCs w:val="22"/>
        </w:rPr>
        <w:t>ontent analys</w:t>
      </w:r>
      <w:r>
        <w:rPr>
          <w:rFonts w:cs="Arial"/>
          <w:sz w:val="22"/>
          <w:szCs w:val="22"/>
        </w:rPr>
        <w:t xml:space="preserve">is of selected PAHO/WHO publications and tools selected for each of the following categories: </w:t>
      </w:r>
      <w:r w:rsidR="00065BB7">
        <w:rPr>
          <w:rFonts w:cs="Arial"/>
          <w:sz w:val="22"/>
          <w:szCs w:val="22"/>
        </w:rPr>
        <w:t>a.</w:t>
      </w:r>
      <w:r>
        <w:rPr>
          <w:rFonts w:cs="Arial"/>
          <w:sz w:val="22"/>
          <w:szCs w:val="22"/>
        </w:rPr>
        <w:t xml:space="preserve"> </w:t>
      </w:r>
      <w:r w:rsidR="006F643D">
        <w:rPr>
          <w:rFonts w:cs="Arial"/>
          <w:sz w:val="22"/>
          <w:szCs w:val="22"/>
        </w:rPr>
        <w:t>seminal</w:t>
      </w:r>
      <w:r>
        <w:rPr>
          <w:rFonts w:cs="Arial"/>
          <w:sz w:val="22"/>
          <w:szCs w:val="22"/>
        </w:rPr>
        <w:t xml:space="preserve"> institution</w:t>
      </w:r>
      <w:r w:rsidR="00E10757">
        <w:rPr>
          <w:rFonts w:cs="Arial"/>
          <w:sz w:val="22"/>
          <w:szCs w:val="22"/>
        </w:rPr>
        <w:t>-</w:t>
      </w:r>
      <w:r>
        <w:rPr>
          <w:rFonts w:cs="Arial"/>
          <w:sz w:val="22"/>
          <w:szCs w:val="22"/>
        </w:rPr>
        <w:t xml:space="preserve">wide publications (e.g. World Health </w:t>
      </w:r>
      <w:r w:rsidR="00CC0830">
        <w:rPr>
          <w:rFonts w:cs="Arial"/>
          <w:sz w:val="22"/>
          <w:szCs w:val="22"/>
        </w:rPr>
        <w:t>Report or Health in the Americas</w:t>
      </w:r>
      <w:r w:rsidR="00065BB7">
        <w:rPr>
          <w:rFonts w:cs="Arial"/>
          <w:sz w:val="22"/>
          <w:szCs w:val="22"/>
        </w:rPr>
        <w:t>)</w:t>
      </w:r>
      <w:r>
        <w:rPr>
          <w:rFonts w:cs="Arial"/>
          <w:sz w:val="22"/>
          <w:szCs w:val="22"/>
        </w:rPr>
        <w:t>.</w:t>
      </w:r>
      <w:r w:rsidR="00065BB7">
        <w:rPr>
          <w:rFonts w:cs="Arial"/>
          <w:sz w:val="22"/>
          <w:szCs w:val="22"/>
        </w:rPr>
        <w:t xml:space="preserve"> </w:t>
      </w:r>
      <w:r>
        <w:rPr>
          <w:rFonts w:cs="Arial"/>
          <w:sz w:val="22"/>
          <w:szCs w:val="22"/>
        </w:rPr>
        <w:t>b. Policy/World Health Assembly</w:t>
      </w:r>
      <w:r w:rsidR="00CC0830">
        <w:rPr>
          <w:rFonts w:cs="Arial"/>
          <w:sz w:val="22"/>
          <w:szCs w:val="22"/>
        </w:rPr>
        <w:t xml:space="preserve">, or PAHO Governing Bodies </w:t>
      </w:r>
      <w:r>
        <w:rPr>
          <w:rFonts w:cs="Arial"/>
          <w:sz w:val="22"/>
          <w:szCs w:val="22"/>
        </w:rPr>
        <w:t>document</w:t>
      </w:r>
      <w:r w:rsidR="00CC0830">
        <w:rPr>
          <w:rFonts w:cs="Arial"/>
          <w:sz w:val="22"/>
          <w:szCs w:val="22"/>
        </w:rPr>
        <w:t>s</w:t>
      </w:r>
      <w:r>
        <w:rPr>
          <w:rFonts w:cs="Arial"/>
          <w:sz w:val="22"/>
          <w:szCs w:val="22"/>
        </w:rPr>
        <w:t>.</w:t>
      </w:r>
      <w:r w:rsidR="00065BB7">
        <w:rPr>
          <w:rFonts w:cs="Arial"/>
          <w:sz w:val="22"/>
          <w:szCs w:val="22"/>
        </w:rPr>
        <w:t xml:space="preserve">  </w:t>
      </w:r>
      <w:r>
        <w:rPr>
          <w:rFonts w:cs="Arial"/>
          <w:sz w:val="22"/>
          <w:szCs w:val="22"/>
        </w:rPr>
        <w:t xml:space="preserve">c. Evidence type </w:t>
      </w:r>
      <w:r w:rsidR="00CC0830">
        <w:rPr>
          <w:rFonts w:cs="Arial"/>
          <w:sz w:val="22"/>
          <w:szCs w:val="22"/>
        </w:rPr>
        <w:t xml:space="preserve">(research) </w:t>
      </w:r>
      <w:r>
        <w:rPr>
          <w:rFonts w:cs="Arial"/>
          <w:sz w:val="22"/>
          <w:szCs w:val="22"/>
        </w:rPr>
        <w:t>publication</w:t>
      </w:r>
      <w:r w:rsidR="00065BB7">
        <w:rPr>
          <w:rFonts w:cs="Arial"/>
          <w:sz w:val="22"/>
          <w:szCs w:val="22"/>
        </w:rPr>
        <w:t xml:space="preserve">. And </w:t>
      </w:r>
      <w:r>
        <w:rPr>
          <w:rFonts w:cs="Arial"/>
          <w:sz w:val="22"/>
          <w:szCs w:val="22"/>
        </w:rPr>
        <w:t>d. Tools/normative guidelines</w:t>
      </w:r>
    </w:p>
    <w:p w:rsidR="00A91591" w:rsidRPr="004B35AE" w:rsidRDefault="00A91591" w:rsidP="00E10757">
      <w:pPr>
        <w:ind w:left="288"/>
        <w:rPr>
          <w:rFonts w:cs="Arial"/>
          <w:sz w:val="2"/>
          <w:szCs w:val="22"/>
        </w:rPr>
      </w:pPr>
    </w:p>
    <w:p w:rsidR="009571FA" w:rsidRPr="00E10757" w:rsidRDefault="009571FA" w:rsidP="00F62DCF">
      <w:pPr>
        <w:rPr>
          <w:rFonts w:cs="Arial"/>
          <w:sz w:val="2"/>
          <w:szCs w:val="22"/>
        </w:rPr>
      </w:pPr>
    </w:p>
    <w:p w:rsidR="009571FA" w:rsidRPr="00E10757" w:rsidRDefault="009571FA" w:rsidP="00E57D0F">
      <w:pPr>
        <w:rPr>
          <w:rFonts w:ascii="Times New Roman" w:hAnsi="Times New Roman"/>
          <w:sz w:val="12"/>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0"/>
        <w:gridCol w:w="4140"/>
        <w:gridCol w:w="4590"/>
      </w:tblGrid>
      <w:tr w:rsidR="009571FA" w:rsidTr="00BC6050">
        <w:tc>
          <w:tcPr>
            <w:tcW w:w="540" w:type="dxa"/>
          </w:tcPr>
          <w:p w:rsidR="009571FA" w:rsidRDefault="009571FA" w:rsidP="00BC6050">
            <w:pPr>
              <w:suppressAutoHyphens/>
              <w:rPr>
                <w:sz w:val="22"/>
                <w:lang w:eastAsia="ar-SA"/>
              </w:rPr>
            </w:pPr>
          </w:p>
        </w:tc>
        <w:tc>
          <w:tcPr>
            <w:tcW w:w="4140" w:type="dxa"/>
            <w:shd w:val="clear" w:color="auto" w:fill="EEECE1"/>
          </w:tcPr>
          <w:p w:rsidR="009571FA" w:rsidRDefault="009571FA" w:rsidP="00BC6050">
            <w:pPr>
              <w:suppressAutoHyphens/>
              <w:jc w:val="center"/>
              <w:rPr>
                <w:b/>
                <w:sz w:val="24"/>
                <w:lang w:eastAsia="ar-SA"/>
              </w:rPr>
            </w:pPr>
            <w:r>
              <w:rPr>
                <w:b/>
                <w:szCs w:val="22"/>
              </w:rPr>
              <w:t>Indicator</w:t>
            </w:r>
          </w:p>
        </w:tc>
        <w:tc>
          <w:tcPr>
            <w:tcW w:w="4590" w:type="dxa"/>
            <w:shd w:val="clear" w:color="auto" w:fill="EEECE1"/>
          </w:tcPr>
          <w:p w:rsidR="009571FA" w:rsidRDefault="009571FA" w:rsidP="00BC6050">
            <w:pPr>
              <w:suppressAutoHyphens/>
              <w:jc w:val="center"/>
              <w:rPr>
                <w:b/>
                <w:sz w:val="24"/>
                <w:lang w:eastAsia="ar-SA"/>
              </w:rPr>
            </w:pPr>
            <w:r>
              <w:rPr>
                <w:b/>
                <w:szCs w:val="22"/>
              </w:rPr>
              <w:t>Definition and Notes</w:t>
            </w:r>
          </w:p>
        </w:tc>
      </w:tr>
      <w:tr w:rsidR="009571FA" w:rsidTr="00BC6050">
        <w:tc>
          <w:tcPr>
            <w:tcW w:w="540" w:type="dxa"/>
          </w:tcPr>
          <w:p w:rsidR="009571FA" w:rsidRDefault="009571FA" w:rsidP="00BC6050">
            <w:pPr>
              <w:suppressAutoHyphens/>
              <w:rPr>
                <w:sz w:val="22"/>
                <w:lang w:eastAsia="ar-SA"/>
              </w:rPr>
            </w:pPr>
            <w:r>
              <w:rPr>
                <w:sz w:val="22"/>
                <w:szCs w:val="22"/>
              </w:rPr>
              <w:t>3.1</w:t>
            </w:r>
          </w:p>
        </w:tc>
        <w:tc>
          <w:tcPr>
            <w:tcW w:w="4140" w:type="dxa"/>
            <w:shd w:val="clear" w:color="auto" w:fill="DBE5F1"/>
          </w:tcPr>
          <w:p w:rsidR="009571FA" w:rsidRPr="00AA4533" w:rsidRDefault="009571FA" w:rsidP="00CC0830">
            <w:pPr>
              <w:suppressAutoHyphens/>
              <w:rPr>
                <w:lang w:eastAsia="ar-SA"/>
              </w:rPr>
            </w:pPr>
            <w:r w:rsidRPr="00AA4533">
              <w:rPr>
                <w:szCs w:val="22"/>
              </w:rPr>
              <w:t xml:space="preserve">Number of new PAHO/WHO publications out of those sampled that promote </w:t>
            </w:r>
            <w:r w:rsidR="00CC0830">
              <w:rPr>
                <w:szCs w:val="22"/>
              </w:rPr>
              <w:t xml:space="preserve">or </w:t>
            </w:r>
            <w:r w:rsidRPr="00AA4533">
              <w:rPr>
                <w:szCs w:val="22"/>
              </w:rPr>
              <w:t>use sex disaggregated data (SDD).</w:t>
            </w:r>
          </w:p>
        </w:tc>
        <w:tc>
          <w:tcPr>
            <w:tcW w:w="4590" w:type="dxa"/>
          </w:tcPr>
          <w:p w:rsidR="009571FA" w:rsidRPr="00AA4533" w:rsidRDefault="009571FA" w:rsidP="00BC6050">
            <w:pPr>
              <w:rPr>
                <w:lang w:eastAsia="ar-SA"/>
              </w:rPr>
            </w:pPr>
            <w:r w:rsidRPr="00AA4533">
              <w:rPr>
                <w:szCs w:val="22"/>
              </w:rPr>
              <w:t xml:space="preserve">Publications that promote or use sex disaggregated data are based on a series of criteria for document review that are detailed in </w:t>
            </w:r>
            <w:r w:rsidR="00CC0830">
              <w:rPr>
                <w:szCs w:val="22"/>
              </w:rPr>
              <w:t>A</w:t>
            </w:r>
            <w:r w:rsidRPr="00AA4533">
              <w:rPr>
                <w:szCs w:val="22"/>
              </w:rPr>
              <w:t xml:space="preserve">nnex 5.  These criteria are scored on </w:t>
            </w:r>
            <w:r w:rsidR="00CC0830">
              <w:rPr>
                <w:szCs w:val="22"/>
              </w:rPr>
              <w:t xml:space="preserve">the </w:t>
            </w:r>
            <w:r w:rsidRPr="00AA4533">
              <w:rPr>
                <w:szCs w:val="22"/>
              </w:rPr>
              <w:t xml:space="preserve">basis of a yes or no response and a tally is compiled into an index score ranging from 0 to </w:t>
            </w:r>
            <w:r w:rsidR="0031530C">
              <w:rPr>
                <w:szCs w:val="22"/>
              </w:rPr>
              <w:t>3</w:t>
            </w:r>
            <w:r w:rsidRPr="00AA4533">
              <w:rPr>
                <w:szCs w:val="22"/>
              </w:rPr>
              <w:t xml:space="preserve">.  If the publication scores either </w:t>
            </w:r>
            <w:r w:rsidR="0031530C">
              <w:rPr>
                <w:szCs w:val="22"/>
              </w:rPr>
              <w:t>3</w:t>
            </w:r>
            <w:r w:rsidRPr="00AA4533">
              <w:rPr>
                <w:szCs w:val="22"/>
              </w:rPr>
              <w:t xml:space="preserve"> or </w:t>
            </w:r>
            <w:r w:rsidR="0031530C">
              <w:rPr>
                <w:szCs w:val="22"/>
              </w:rPr>
              <w:t>2</w:t>
            </w:r>
            <w:r w:rsidRPr="00AA4533">
              <w:rPr>
                <w:szCs w:val="22"/>
              </w:rPr>
              <w:t xml:space="preserve"> then it is to be considered as promoting or using </w:t>
            </w:r>
            <w:r w:rsidR="006F46D6">
              <w:rPr>
                <w:szCs w:val="22"/>
              </w:rPr>
              <w:t>SDD</w:t>
            </w:r>
            <w:r w:rsidR="006F643D">
              <w:rPr>
                <w:szCs w:val="22"/>
              </w:rPr>
              <w:t xml:space="preserve">; </w:t>
            </w:r>
            <w:r w:rsidR="006F643D" w:rsidRPr="00AA4533">
              <w:rPr>
                <w:szCs w:val="22"/>
              </w:rPr>
              <w:t>if</w:t>
            </w:r>
            <w:r w:rsidRPr="00AA4533">
              <w:rPr>
                <w:szCs w:val="22"/>
              </w:rPr>
              <w:t xml:space="preserve"> it scores 0 or 1</w:t>
            </w:r>
            <w:r w:rsidR="006F46D6">
              <w:rPr>
                <w:szCs w:val="22"/>
              </w:rPr>
              <w:t>,</w:t>
            </w:r>
            <w:r w:rsidRPr="00AA4533">
              <w:rPr>
                <w:szCs w:val="22"/>
              </w:rPr>
              <w:t xml:space="preserve"> then it </w:t>
            </w:r>
            <w:r w:rsidR="006F46D6">
              <w:rPr>
                <w:szCs w:val="22"/>
              </w:rPr>
              <w:t xml:space="preserve">is not considered </w:t>
            </w:r>
            <w:r w:rsidRPr="00AA4533">
              <w:rPr>
                <w:szCs w:val="22"/>
              </w:rPr>
              <w:t>promot</w:t>
            </w:r>
            <w:r w:rsidR="006F46D6">
              <w:rPr>
                <w:szCs w:val="22"/>
              </w:rPr>
              <w:t xml:space="preserve">ing or </w:t>
            </w:r>
            <w:r w:rsidRPr="00AA4533">
              <w:rPr>
                <w:szCs w:val="22"/>
              </w:rPr>
              <w:t>us</w:t>
            </w:r>
            <w:r w:rsidR="006F46D6">
              <w:rPr>
                <w:szCs w:val="22"/>
              </w:rPr>
              <w:t>ing</w:t>
            </w:r>
            <w:r w:rsidRPr="00AA4533">
              <w:rPr>
                <w:szCs w:val="22"/>
              </w:rPr>
              <w:t xml:space="preserve"> </w:t>
            </w:r>
            <w:r w:rsidR="006F46D6">
              <w:rPr>
                <w:szCs w:val="22"/>
              </w:rPr>
              <w:t>SDD.</w:t>
            </w:r>
          </w:p>
          <w:p w:rsidR="009571FA" w:rsidRPr="00AA4533" w:rsidRDefault="009571FA" w:rsidP="00BC6050">
            <w:pPr>
              <w:suppressAutoHyphens/>
              <w:rPr>
                <w:lang w:eastAsia="ar-SA"/>
              </w:rPr>
            </w:pPr>
          </w:p>
        </w:tc>
      </w:tr>
      <w:tr w:rsidR="009571FA" w:rsidTr="00BC6050">
        <w:tc>
          <w:tcPr>
            <w:tcW w:w="540" w:type="dxa"/>
          </w:tcPr>
          <w:p w:rsidR="009571FA" w:rsidRDefault="009571FA" w:rsidP="00BC6050">
            <w:pPr>
              <w:suppressAutoHyphens/>
              <w:rPr>
                <w:sz w:val="22"/>
                <w:lang w:eastAsia="ar-SA"/>
              </w:rPr>
            </w:pPr>
            <w:r>
              <w:rPr>
                <w:sz w:val="22"/>
                <w:szCs w:val="22"/>
              </w:rPr>
              <w:t>3.2</w:t>
            </w:r>
          </w:p>
        </w:tc>
        <w:tc>
          <w:tcPr>
            <w:tcW w:w="4140" w:type="dxa"/>
            <w:shd w:val="clear" w:color="auto" w:fill="DBE5F1"/>
          </w:tcPr>
          <w:p w:rsidR="009571FA" w:rsidRPr="00AA4533" w:rsidRDefault="009571FA" w:rsidP="00BC6050">
            <w:pPr>
              <w:suppressAutoHyphens/>
              <w:rPr>
                <w:lang w:eastAsia="ar-SA"/>
              </w:rPr>
            </w:pPr>
            <w:r w:rsidRPr="00AA4533">
              <w:rPr>
                <w:szCs w:val="22"/>
              </w:rPr>
              <w:t>Number of new PAHO/WHO publications out of those sampled that strongly promote and use gender analysis in health.</w:t>
            </w:r>
          </w:p>
        </w:tc>
        <w:tc>
          <w:tcPr>
            <w:tcW w:w="4590" w:type="dxa"/>
          </w:tcPr>
          <w:p w:rsidR="009571FA" w:rsidRPr="00AA4533" w:rsidRDefault="009571FA" w:rsidP="00A91591">
            <w:pPr>
              <w:suppressAutoHyphens/>
              <w:rPr>
                <w:lang w:eastAsia="ar-SA"/>
              </w:rPr>
            </w:pPr>
            <w:r w:rsidRPr="00AA4533">
              <w:rPr>
                <w:szCs w:val="22"/>
              </w:rPr>
              <w:t xml:space="preserve">Publications that promote or use gender analysis in health </w:t>
            </w:r>
            <w:r w:rsidR="00CC0830">
              <w:rPr>
                <w:szCs w:val="22"/>
              </w:rPr>
              <w:t xml:space="preserve">were </w:t>
            </w:r>
            <w:r w:rsidRPr="00AA4533">
              <w:rPr>
                <w:szCs w:val="22"/>
              </w:rPr>
              <w:t xml:space="preserve">compiled from a tally of yes or no </w:t>
            </w:r>
            <w:r w:rsidRPr="004B7F31">
              <w:rPr>
                <w:szCs w:val="22"/>
              </w:rPr>
              <w:t xml:space="preserve">responses to a series of criteria detailed in </w:t>
            </w:r>
            <w:r w:rsidR="00CC0830" w:rsidRPr="004B7F31">
              <w:rPr>
                <w:szCs w:val="22"/>
              </w:rPr>
              <w:t>A</w:t>
            </w:r>
            <w:r w:rsidRPr="004B7F31">
              <w:rPr>
                <w:szCs w:val="22"/>
              </w:rPr>
              <w:t>nnex 5.</w:t>
            </w:r>
            <w:r w:rsidR="00CC0830" w:rsidRPr="004B7F31">
              <w:rPr>
                <w:szCs w:val="22"/>
              </w:rPr>
              <w:t xml:space="preserve"> The scores range from 0 to 7. </w:t>
            </w:r>
            <w:r w:rsidRPr="004B7F31">
              <w:rPr>
                <w:szCs w:val="22"/>
              </w:rPr>
              <w:t xml:space="preserve">Documents that score 5 </w:t>
            </w:r>
            <w:r w:rsidR="00A91591" w:rsidRPr="004B7F31">
              <w:rPr>
                <w:szCs w:val="22"/>
              </w:rPr>
              <w:t>to</w:t>
            </w:r>
            <w:r w:rsidRPr="004B7F31">
              <w:rPr>
                <w:szCs w:val="22"/>
              </w:rPr>
              <w:t xml:space="preserve"> 7 </w:t>
            </w:r>
            <w:r w:rsidR="00A91591" w:rsidRPr="004B7F31">
              <w:rPr>
                <w:szCs w:val="22"/>
              </w:rPr>
              <w:t>were</w:t>
            </w:r>
            <w:r w:rsidRPr="004B7F31">
              <w:rPr>
                <w:szCs w:val="22"/>
              </w:rPr>
              <w:t xml:space="preserve"> classified as strongly promot</w:t>
            </w:r>
            <w:r w:rsidR="00A91591" w:rsidRPr="004B7F31">
              <w:rPr>
                <w:szCs w:val="22"/>
              </w:rPr>
              <w:t>ing</w:t>
            </w:r>
            <w:r w:rsidRPr="004B7F31">
              <w:rPr>
                <w:szCs w:val="22"/>
              </w:rPr>
              <w:t xml:space="preserve"> or us</w:t>
            </w:r>
            <w:r w:rsidR="00A91591" w:rsidRPr="004B7F31">
              <w:rPr>
                <w:szCs w:val="22"/>
              </w:rPr>
              <w:t>ing</w:t>
            </w:r>
            <w:r w:rsidRPr="004B7F31">
              <w:rPr>
                <w:szCs w:val="22"/>
              </w:rPr>
              <w:t xml:space="preserve"> gender analysis. Documents that score 2-4</w:t>
            </w:r>
            <w:r w:rsidR="00A91591" w:rsidRPr="004B7F31">
              <w:rPr>
                <w:szCs w:val="22"/>
              </w:rPr>
              <w:t xml:space="preserve">, </w:t>
            </w:r>
            <w:r w:rsidRPr="004B7F31">
              <w:rPr>
                <w:szCs w:val="22"/>
              </w:rPr>
              <w:t>somewhat promot</w:t>
            </w:r>
            <w:r w:rsidR="00A91591" w:rsidRPr="004B7F31">
              <w:rPr>
                <w:szCs w:val="22"/>
              </w:rPr>
              <w:t xml:space="preserve">ing or using </w:t>
            </w:r>
            <w:r w:rsidRPr="004B7F31">
              <w:rPr>
                <w:szCs w:val="22"/>
              </w:rPr>
              <w:t>gender analysis and those that score 0-1</w:t>
            </w:r>
            <w:r w:rsidR="00A91591" w:rsidRPr="004B7F31">
              <w:rPr>
                <w:szCs w:val="22"/>
              </w:rPr>
              <w:t>, as</w:t>
            </w:r>
            <w:r w:rsidRPr="004B7F31">
              <w:rPr>
                <w:szCs w:val="22"/>
              </w:rPr>
              <w:t xml:space="preserve"> not promot</w:t>
            </w:r>
            <w:r w:rsidR="00A91591" w:rsidRPr="004B7F31">
              <w:rPr>
                <w:szCs w:val="22"/>
              </w:rPr>
              <w:t>ing</w:t>
            </w:r>
            <w:r w:rsidRPr="004B7F31">
              <w:rPr>
                <w:szCs w:val="22"/>
              </w:rPr>
              <w:t xml:space="preserve"> or us</w:t>
            </w:r>
            <w:r w:rsidR="00A91591" w:rsidRPr="004B7F31">
              <w:rPr>
                <w:szCs w:val="22"/>
              </w:rPr>
              <w:t xml:space="preserve">ing </w:t>
            </w:r>
            <w:r w:rsidRPr="004B7F31">
              <w:rPr>
                <w:szCs w:val="22"/>
              </w:rPr>
              <w:t>gender analysis in health.</w:t>
            </w:r>
            <w:r w:rsidRPr="00AA4533">
              <w:rPr>
                <w:szCs w:val="22"/>
              </w:rPr>
              <w:t xml:space="preserve">  </w:t>
            </w:r>
          </w:p>
        </w:tc>
      </w:tr>
    </w:tbl>
    <w:p w:rsidR="009571FA" w:rsidRDefault="009571FA" w:rsidP="00E57D0F">
      <w:pPr>
        <w:rPr>
          <w:sz w:val="22"/>
          <w:szCs w:val="22"/>
          <w:lang w:eastAsia="ar-SA"/>
        </w:rPr>
      </w:pPr>
      <w:r>
        <w:rPr>
          <w:sz w:val="22"/>
          <w:szCs w:val="22"/>
        </w:rPr>
        <w:t xml:space="preserve">                    (</w:t>
      </w:r>
      <w:r w:rsidRPr="00117582">
        <w:rPr>
          <w:szCs w:val="22"/>
        </w:rPr>
        <w:t xml:space="preserve">See Annex 5 for </w:t>
      </w:r>
      <w:r>
        <w:rPr>
          <w:szCs w:val="22"/>
        </w:rPr>
        <w:t>details)</w:t>
      </w:r>
    </w:p>
    <w:p w:rsidR="009571FA" w:rsidRPr="00117582" w:rsidRDefault="009571FA" w:rsidP="00E57D0F">
      <w:pPr>
        <w:rPr>
          <w:rFonts w:cs="Arial"/>
          <w:i/>
          <w:iCs/>
          <w:sz w:val="18"/>
          <w:szCs w:val="22"/>
        </w:rPr>
      </w:pPr>
    </w:p>
    <w:p w:rsidR="009571FA" w:rsidRPr="004F5C6D" w:rsidRDefault="009571FA" w:rsidP="00E57D0F">
      <w:pPr>
        <w:rPr>
          <w:rFonts w:cs="Arial"/>
          <w:b/>
          <w:i/>
          <w:iCs/>
          <w:sz w:val="22"/>
          <w:szCs w:val="22"/>
        </w:rPr>
      </w:pPr>
      <w:r w:rsidRPr="004F5C6D">
        <w:rPr>
          <w:rFonts w:cs="Arial"/>
          <w:b/>
          <w:i/>
          <w:iCs/>
          <w:sz w:val="22"/>
          <w:szCs w:val="22"/>
        </w:rPr>
        <w:t>SD 4: Establishing Accountability</w:t>
      </w:r>
    </w:p>
    <w:p w:rsidR="009571FA" w:rsidRDefault="009571FA" w:rsidP="00E57D0F">
      <w:pPr>
        <w:rPr>
          <w:rFonts w:cs="Arial"/>
          <w:b/>
          <w:i/>
          <w:iCs/>
          <w:szCs w:val="22"/>
        </w:rPr>
      </w:pPr>
    </w:p>
    <w:p w:rsidR="009571FA" w:rsidRDefault="004F5C6D" w:rsidP="00854987">
      <w:pPr>
        <w:rPr>
          <w:rFonts w:cs="Arial"/>
          <w:bCs/>
          <w:sz w:val="22"/>
          <w:szCs w:val="22"/>
        </w:rPr>
      </w:pPr>
      <w:r>
        <w:rPr>
          <w:rFonts w:cs="Arial"/>
          <w:bCs/>
          <w:sz w:val="22"/>
          <w:szCs w:val="22"/>
        </w:rPr>
        <w:t>S</w:t>
      </w:r>
      <w:r w:rsidR="009571FA">
        <w:rPr>
          <w:rFonts w:cs="Arial"/>
          <w:bCs/>
          <w:sz w:val="22"/>
          <w:szCs w:val="22"/>
        </w:rPr>
        <w:t>enior management accountability</w:t>
      </w:r>
      <w:r>
        <w:rPr>
          <w:rFonts w:cs="Arial"/>
          <w:bCs/>
          <w:sz w:val="22"/>
          <w:szCs w:val="22"/>
        </w:rPr>
        <w:t xml:space="preserve"> was measured through</w:t>
      </w:r>
      <w:r w:rsidR="009571FA">
        <w:rPr>
          <w:rFonts w:cs="Arial"/>
          <w:bCs/>
          <w:sz w:val="22"/>
          <w:szCs w:val="22"/>
        </w:rPr>
        <w:t xml:space="preserve"> </w:t>
      </w:r>
      <w:r>
        <w:rPr>
          <w:rFonts w:cs="Arial"/>
          <w:bCs/>
          <w:sz w:val="22"/>
          <w:szCs w:val="22"/>
        </w:rPr>
        <w:t xml:space="preserve">indicator 4.1. which reflected the </w:t>
      </w:r>
      <w:r w:rsidR="009571FA">
        <w:rPr>
          <w:rFonts w:cs="Arial"/>
          <w:bCs/>
          <w:sz w:val="22"/>
          <w:szCs w:val="22"/>
        </w:rPr>
        <w:t xml:space="preserve">content analysis of selected speeches presented by the PAHO Regional Director in 2007. </w:t>
      </w:r>
    </w:p>
    <w:p w:rsidR="009571FA" w:rsidRPr="00E10757" w:rsidRDefault="009571FA" w:rsidP="00E57D0F">
      <w:pPr>
        <w:rPr>
          <w:rFonts w:cs="Arial"/>
          <w:b/>
          <w:sz w:val="4"/>
          <w:szCs w:val="22"/>
        </w:rPr>
      </w:pPr>
    </w:p>
    <w:p w:rsidR="009571FA" w:rsidRPr="00117582" w:rsidRDefault="009571FA" w:rsidP="00E57D0F">
      <w:pPr>
        <w:ind w:left="720"/>
        <w:rPr>
          <w:rFonts w:ascii="Times New Roman" w:hAnsi="Times New Roman"/>
          <w:sz w:val="14"/>
          <w:szCs w:val="22"/>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0"/>
        <w:gridCol w:w="4140"/>
        <w:gridCol w:w="4590"/>
      </w:tblGrid>
      <w:tr w:rsidR="009571FA" w:rsidTr="00BC6050">
        <w:tc>
          <w:tcPr>
            <w:tcW w:w="540" w:type="dxa"/>
          </w:tcPr>
          <w:p w:rsidR="009571FA" w:rsidRDefault="009571FA" w:rsidP="00BC6050">
            <w:pPr>
              <w:suppressAutoHyphens/>
              <w:rPr>
                <w:sz w:val="22"/>
                <w:lang w:eastAsia="ar-SA"/>
              </w:rPr>
            </w:pPr>
          </w:p>
        </w:tc>
        <w:tc>
          <w:tcPr>
            <w:tcW w:w="4140" w:type="dxa"/>
            <w:shd w:val="clear" w:color="auto" w:fill="EEECE1"/>
          </w:tcPr>
          <w:p w:rsidR="009571FA" w:rsidRDefault="009571FA" w:rsidP="00BC6050">
            <w:pPr>
              <w:suppressAutoHyphens/>
              <w:jc w:val="center"/>
              <w:rPr>
                <w:b/>
                <w:sz w:val="24"/>
                <w:lang w:eastAsia="ar-SA"/>
              </w:rPr>
            </w:pPr>
            <w:r>
              <w:rPr>
                <w:b/>
                <w:szCs w:val="22"/>
              </w:rPr>
              <w:t>Indicator</w:t>
            </w:r>
          </w:p>
        </w:tc>
        <w:tc>
          <w:tcPr>
            <w:tcW w:w="4590" w:type="dxa"/>
            <w:shd w:val="clear" w:color="auto" w:fill="EEECE1"/>
          </w:tcPr>
          <w:p w:rsidR="009571FA" w:rsidRDefault="009571FA" w:rsidP="00BC6050">
            <w:pPr>
              <w:suppressAutoHyphens/>
              <w:jc w:val="center"/>
              <w:rPr>
                <w:b/>
                <w:bCs/>
                <w:sz w:val="24"/>
                <w:lang w:eastAsia="ar-SA"/>
              </w:rPr>
            </w:pPr>
            <w:r>
              <w:rPr>
                <w:b/>
                <w:bCs/>
                <w:szCs w:val="22"/>
              </w:rPr>
              <w:t>Definition and Notes</w:t>
            </w:r>
          </w:p>
        </w:tc>
      </w:tr>
      <w:tr w:rsidR="009571FA" w:rsidTr="00BC6050">
        <w:tc>
          <w:tcPr>
            <w:tcW w:w="540" w:type="dxa"/>
          </w:tcPr>
          <w:p w:rsidR="009571FA" w:rsidRDefault="009571FA" w:rsidP="00BC6050">
            <w:pPr>
              <w:suppressAutoHyphens/>
              <w:rPr>
                <w:sz w:val="22"/>
                <w:lang w:eastAsia="ar-SA"/>
              </w:rPr>
            </w:pPr>
            <w:r>
              <w:rPr>
                <w:sz w:val="22"/>
                <w:szCs w:val="22"/>
              </w:rPr>
              <w:t>4.1</w:t>
            </w:r>
          </w:p>
        </w:tc>
        <w:tc>
          <w:tcPr>
            <w:tcW w:w="4140" w:type="dxa"/>
            <w:shd w:val="clear" w:color="auto" w:fill="DBE5F1"/>
          </w:tcPr>
          <w:p w:rsidR="009571FA" w:rsidRPr="00AA4533" w:rsidRDefault="009571FA" w:rsidP="00BC6050">
            <w:pPr>
              <w:suppressAutoHyphens/>
              <w:rPr>
                <w:lang w:eastAsia="ar-SA"/>
              </w:rPr>
            </w:pPr>
            <w:r w:rsidRPr="00AA4533">
              <w:rPr>
                <w:szCs w:val="22"/>
              </w:rPr>
              <w:t>Number of speeches by the DG and the Regional Directors of those sampled which include at least one reference to gender.</w:t>
            </w:r>
          </w:p>
        </w:tc>
        <w:tc>
          <w:tcPr>
            <w:tcW w:w="4590" w:type="dxa"/>
          </w:tcPr>
          <w:p w:rsidR="009571FA" w:rsidRPr="00AA4533" w:rsidRDefault="009571FA" w:rsidP="004F5C6D">
            <w:pPr>
              <w:suppressAutoHyphens/>
              <w:rPr>
                <w:bCs/>
                <w:lang w:eastAsia="ar-SA"/>
              </w:rPr>
            </w:pPr>
            <w:r w:rsidRPr="00AA4533">
              <w:rPr>
                <w:bCs/>
                <w:szCs w:val="22"/>
              </w:rPr>
              <w:t>Speeches by the DG and Regional Directors in which there is at least one reference to gender using a word search criteria of 13 words or phrases (see annex 6 for details</w:t>
            </w:r>
            <w:r w:rsidR="004F5C6D">
              <w:rPr>
                <w:bCs/>
                <w:szCs w:val="22"/>
              </w:rPr>
              <w:t>). Speeches</w:t>
            </w:r>
            <w:r w:rsidRPr="00AA4533">
              <w:rPr>
                <w:bCs/>
                <w:szCs w:val="22"/>
              </w:rPr>
              <w:t xml:space="preserve"> are to be classified as those in which there is at least one reference to gender.</w:t>
            </w:r>
          </w:p>
        </w:tc>
      </w:tr>
    </w:tbl>
    <w:p w:rsidR="009571FA" w:rsidRDefault="009571FA" w:rsidP="00E57D0F">
      <w:pPr>
        <w:ind w:left="720"/>
        <w:rPr>
          <w:sz w:val="24"/>
          <w:lang w:eastAsia="ar-SA"/>
        </w:rPr>
      </w:pPr>
      <w:r>
        <w:t>(See Annex 6 for details)</w:t>
      </w:r>
    </w:p>
    <w:p w:rsidR="009571FA" w:rsidRDefault="009571FA" w:rsidP="00E57D0F">
      <w:pPr>
        <w:ind w:left="768"/>
      </w:pPr>
    </w:p>
    <w:p w:rsidR="00C24AEA" w:rsidRPr="00B701E1" w:rsidRDefault="00C24AEA" w:rsidP="00C24AEA">
      <w:pPr>
        <w:rPr>
          <w:rFonts w:cs="Arial"/>
          <w:sz w:val="22"/>
        </w:rPr>
      </w:pPr>
      <w:r w:rsidRPr="00B701E1">
        <w:rPr>
          <w:rFonts w:cs="Arial"/>
          <w:sz w:val="22"/>
        </w:rPr>
        <w:t>The tools for data collection and analysis were pre-tested in the PAHO regional office in January-February</w:t>
      </w:r>
      <w:r>
        <w:rPr>
          <w:rFonts w:cs="Arial"/>
          <w:sz w:val="22"/>
        </w:rPr>
        <w:t>,</w:t>
      </w:r>
      <w:r w:rsidRPr="00B701E1">
        <w:rPr>
          <w:rFonts w:cs="Arial"/>
          <w:sz w:val="22"/>
        </w:rPr>
        <w:t xml:space="preserve"> 2008</w:t>
      </w:r>
      <w:r>
        <w:rPr>
          <w:rFonts w:cs="Arial"/>
          <w:sz w:val="22"/>
        </w:rPr>
        <w:t>,</w:t>
      </w:r>
      <w:r w:rsidRPr="00B701E1">
        <w:rPr>
          <w:rFonts w:cs="Arial"/>
          <w:sz w:val="22"/>
        </w:rPr>
        <w:t xml:space="preserve"> and the results of the pre-test were used to refine them. </w:t>
      </w:r>
    </w:p>
    <w:p w:rsidR="00C24AEA" w:rsidRPr="00B701E1" w:rsidRDefault="00C24AEA" w:rsidP="00C24AEA">
      <w:pPr>
        <w:rPr>
          <w:rFonts w:cs="Arial"/>
          <w:sz w:val="22"/>
        </w:rPr>
      </w:pPr>
    </w:p>
    <w:p w:rsidR="00C24AEA" w:rsidRPr="00B701E1" w:rsidRDefault="00C24AEA" w:rsidP="00C24AEA">
      <w:pPr>
        <w:rPr>
          <w:rFonts w:cs="Arial"/>
          <w:sz w:val="22"/>
        </w:rPr>
      </w:pPr>
      <w:r w:rsidRPr="00B701E1">
        <w:rPr>
          <w:rFonts w:cs="Arial"/>
          <w:sz w:val="22"/>
        </w:rPr>
        <w:t>The consultants participated in a week long orientation workshop held at WHO Headquarters, in Geneva, in April 2008, attended by the Gender Regional Advisors (</w:t>
      </w:r>
      <w:r>
        <w:rPr>
          <w:rFonts w:cs="Arial"/>
          <w:sz w:val="22"/>
        </w:rPr>
        <w:t>G</w:t>
      </w:r>
      <w:r w:rsidRPr="00B701E1">
        <w:rPr>
          <w:rFonts w:cs="Arial"/>
          <w:sz w:val="22"/>
        </w:rPr>
        <w:t xml:space="preserve">RA) and members of </w:t>
      </w:r>
      <w:r>
        <w:rPr>
          <w:rFonts w:cs="Arial"/>
          <w:sz w:val="22"/>
        </w:rPr>
        <w:t>the WHO Gender network (</w:t>
      </w:r>
      <w:r w:rsidRPr="00B701E1">
        <w:rPr>
          <w:rFonts w:cs="Arial"/>
          <w:sz w:val="22"/>
        </w:rPr>
        <w:t>GWH</w:t>
      </w:r>
      <w:r>
        <w:rPr>
          <w:rFonts w:cs="Arial"/>
          <w:sz w:val="22"/>
        </w:rPr>
        <w:t>)</w:t>
      </w:r>
      <w:r w:rsidRPr="00B701E1">
        <w:rPr>
          <w:rFonts w:cs="Arial"/>
          <w:sz w:val="22"/>
        </w:rPr>
        <w:t xml:space="preserve">, where the tools and methodology for the baseline were discussed, and consultants were provided with a basic understanding of WHO’s position on gender equality. </w:t>
      </w:r>
    </w:p>
    <w:p w:rsidR="009571FA" w:rsidRDefault="009571FA" w:rsidP="00E57D0F">
      <w:pPr>
        <w:rPr>
          <w:rFonts w:cs="Arial"/>
        </w:rPr>
      </w:pPr>
    </w:p>
    <w:p w:rsidR="00E205AB" w:rsidRDefault="00E205AB" w:rsidP="00E57D0F">
      <w:pPr>
        <w:rPr>
          <w:rFonts w:cs="Arial"/>
        </w:rPr>
      </w:pPr>
    </w:p>
    <w:p w:rsidR="00437606" w:rsidRDefault="00383369" w:rsidP="00581596">
      <w:pPr>
        <w:numPr>
          <w:ilvl w:val="0"/>
          <w:numId w:val="37"/>
        </w:numPr>
        <w:suppressAutoHyphens/>
        <w:rPr>
          <w:rFonts w:cs="Arial"/>
          <w:b/>
          <w:sz w:val="22"/>
          <w:szCs w:val="22"/>
        </w:rPr>
      </w:pPr>
      <w:r>
        <w:rPr>
          <w:rFonts w:cs="Arial"/>
          <w:b/>
          <w:sz w:val="24"/>
          <w:szCs w:val="22"/>
        </w:rPr>
        <w:t xml:space="preserve">  </w:t>
      </w:r>
      <w:r w:rsidR="00437606">
        <w:rPr>
          <w:rFonts w:cs="Arial"/>
          <w:b/>
          <w:sz w:val="24"/>
          <w:szCs w:val="22"/>
        </w:rPr>
        <w:t>Sampling and data collection tools</w:t>
      </w:r>
    </w:p>
    <w:p w:rsidR="00437606" w:rsidRDefault="00437606" w:rsidP="00437606">
      <w:pPr>
        <w:rPr>
          <w:rFonts w:cs="Arial"/>
          <w:bCs/>
          <w:i/>
          <w:iCs/>
          <w:sz w:val="22"/>
          <w:szCs w:val="22"/>
        </w:rPr>
      </w:pPr>
    </w:p>
    <w:p w:rsidR="00437606" w:rsidRDefault="00D2342B" w:rsidP="00437606">
      <w:pPr>
        <w:rPr>
          <w:rFonts w:cs="Arial"/>
          <w:b/>
          <w:bCs/>
          <w:iCs/>
          <w:sz w:val="22"/>
          <w:szCs w:val="22"/>
        </w:rPr>
      </w:pPr>
      <w:r>
        <w:rPr>
          <w:rFonts w:cs="Arial"/>
          <w:b/>
          <w:bCs/>
          <w:iCs/>
          <w:sz w:val="22"/>
          <w:szCs w:val="22"/>
        </w:rPr>
        <w:t xml:space="preserve">    </w:t>
      </w:r>
      <w:r w:rsidR="00437606">
        <w:rPr>
          <w:rFonts w:cs="Arial"/>
          <w:b/>
          <w:bCs/>
          <w:iCs/>
          <w:sz w:val="22"/>
          <w:szCs w:val="22"/>
        </w:rPr>
        <w:t>2.1. Staff capacity on gender analysis and actions (SD1)</w:t>
      </w:r>
    </w:p>
    <w:p w:rsidR="00437606" w:rsidRDefault="00437606" w:rsidP="00437606">
      <w:pPr>
        <w:rPr>
          <w:rFonts w:cs="Arial"/>
          <w:bCs/>
          <w:i/>
          <w:iCs/>
          <w:sz w:val="14"/>
          <w:szCs w:val="22"/>
        </w:rPr>
      </w:pPr>
    </w:p>
    <w:p w:rsidR="00437606" w:rsidRDefault="00437606" w:rsidP="00437606">
      <w:pPr>
        <w:rPr>
          <w:rFonts w:cs="Arial"/>
          <w:sz w:val="22"/>
          <w:szCs w:val="22"/>
        </w:rPr>
      </w:pPr>
      <w:r>
        <w:rPr>
          <w:rFonts w:cs="Arial"/>
          <w:bCs/>
          <w:sz w:val="22"/>
          <w:szCs w:val="22"/>
        </w:rPr>
        <w:t>An online survey was conducted to measure indicators: 1.1, 1.2, 1.3 described above.</w:t>
      </w:r>
      <w:r>
        <w:rPr>
          <w:rFonts w:cs="Arial"/>
          <w:sz w:val="22"/>
          <w:szCs w:val="22"/>
        </w:rPr>
        <w:t xml:space="preserve"> This survey included questions to assess staff knowledge, awareness and practice of gender analysis and actions in their daily work. </w:t>
      </w:r>
      <w:r w:rsidR="005D6B07">
        <w:rPr>
          <w:rFonts w:cs="Arial"/>
          <w:sz w:val="22"/>
          <w:szCs w:val="22"/>
        </w:rPr>
        <w:t>(See questionnaire in Annex1).</w:t>
      </w:r>
      <w:r>
        <w:rPr>
          <w:rFonts w:cs="Arial"/>
          <w:sz w:val="22"/>
          <w:szCs w:val="22"/>
        </w:rPr>
        <w:t xml:space="preserve"> </w:t>
      </w:r>
      <w:r>
        <w:rPr>
          <w:rFonts w:cs="Arial"/>
          <w:sz w:val="22"/>
          <w:szCs w:val="22"/>
          <w:lang w:val="en-US"/>
        </w:rPr>
        <w:t xml:space="preserve">Since PAHO/ </w:t>
      </w:r>
      <w:r>
        <w:rPr>
          <w:rFonts w:cs="Arial"/>
          <w:sz w:val="22"/>
          <w:szCs w:val="22"/>
        </w:rPr>
        <w:t>WHO sees gender equality as a cross-cutting issue that is the responsibility of all staff, the e-mail survey was sent to all staff at all levels of the Organization in countries, headquarters and special programmes</w:t>
      </w:r>
      <w:r w:rsidR="005D6B07">
        <w:rPr>
          <w:rFonts w:cs="Arial"/>
          <w:sz w:val="22"/>
          <w:szCs w:val="22"/>
        </w:rPr>
        <w:t xml:space="preserve">. The questionnaire </w:t>
      </w:r>
      <w:r>
        <w:rPr>
          <w:rFonts w:cs="Arial"/>
          <w:sz w:val="22"/>
          <w:szCs w:val="22"/>
        </w:rPr>
        <w:t xml:space="preserve">was internet accessible to PAHO staff between May 27 and June 20, 2008.  The PAHO Director, Dr. Mirta Roses, sent a communication to all staff requesting their response and providing the corresponding link. This communication was followed by two e-mail reminders sent by the PAHO Gender, Ethnicity and Health Unit (GE) on June 5 and June 16. </w:t>
      </w:r>
    </w:p>
    <w:p w:rsidR="00027A40" w:rsidRPr="007C65A5" w:rsidRDefault="00027A40" w:rsidP="00027A40">
      <w:pPr>
        <w:jc w:val="both"/>
        <w:rPr>
          <w:rFonts w:cs="Arial"/>
          <w:sz w:val="22"/>
          <w:szCs w:val="22"/>
        </w:rPr>
      </w:pPr>
    </w:p>
    <w:p w:rsidR="00027A40" w:rsidRDefault="007C65A5" w:rsidP="00027A40">
      <w:pPr>
        <w:jc w:val="both"/>
        <w:rPr>
          <w:rFonts w:cs="Arial"/>
          <w:sz w:val="22"/>
          <w:szCs w:val="22"/>
        </w:rPr>
      </w:pPr>
      <w:r w:rsidRPr="007C65A5">
        <w:rPr>
          <w:rFonts w:cs="Arial"/>
          <w:sz w:val="22"/>
          <w:szCs w:val="22"/>
        </w:rPr>
        <w:t xml:space="preserve">WHO was in charge of the </w:t>
      </w:r>
      <w:r w:rsidR="00027A40" w:rsidRPr="007C65A5">
        <w:rPr>
          <w:rFonts w:cs="Arial"/>
          <w:sz w:val="22"/>
          <w:szCs w:val="22"/>
        </w:rPr>
        <w:t xml:space="preserve">statistical </w:t>
      </w:r>
      <w:r w:rsidRPr="007C65A5">
        <w:rPr>
          <w:rFonts w:cs="Arial"/>
          <w:sz w:val="22"/>
          <w:szCs w:val="22"/>
        </w:rPr>
        <w:t xml:space="preserve">processing </w:t>
      </w:r>
      <w:r w:rsidR="00027A40" w:rsidRPr="007C65A5">
        <w:rPr>
          <w:rFonts w:cs="Arial"/>
          <w:sz w:val="22"/>
          <w:szCs w:val="22"/>
        </w:rPr>
        <w:t>of the results</w:t>
      </w:r>
      <w:r w:rsidRPr="007C65A5">
        <w:rPr>
          <w:rFonts w:cs="Arial"/>
          <w:sz w:val="22"/>
          <w:szCs w:val="22"/>
        </w:rPr>
        <w:t xml:space="preserve">, </w:t>
      </w:r>
      <w:r w:rsidR="00027A40" w:rsidRPr="007C65A5">
        <w:rPr>
          <w:rFonts w:cs="Arial"/>
          <w:sz w:val="22"/>
          <w:szCs w:val="22"/>
        </w:rPr>
        <w:t xml:space="preserve">prepared a standard set of tables to be analyzed by each region and ran the corresponding statistical tests of significance.  The </w:t>
      </w:r>
      <w:r w:rsidRPr="007C65A5">
        <w:rPr>
          <w:rFonts w:cs="Arial"/>
          <w:sz w:val="22"/>
          <w:szCs w:val="22"/>
        </w:rPr>
        <w:t xml:space="preserve">accorded </w:t>
      </w:r>
      <w:r w:rsidR="00027A40" w:rsidRPr="007C65A5">
        <w:rPr>
          <w:rFonts w:cs="Arial"/>
          <w:sz w:val="22"/>
          <w:szCs w:val="22"/>
        </w:rPr>
        <w:t>level of significance was 0.05, which meant that only those associations whose probability of occurrence could be stated with a level of confidence equal or greater than 95% were to be considered statistically significant. Significance judgements were further weighted by the sample sizes falling in individual cells (Detailed information on Confidence Intervals can be found in the corresponding tables in Appendix 1).</w:t>
      </w:r>
      <w:r w:rsidR="00027A40">
        <w:rPr>
          <w:rFonts w:cs="Arial"/>
          <w:sz w:val="22"/>
          <w:szCs w:val="22"/>
        </w:rPr>
        <w:t xml:space="preserve"> </w:t>
      </w:r>
    </w:p>
    <w:p w:rsidR="00437606" w:rsidRDefault="00437606" w:rsidP="00437606">
      <w:pPr>
        <w:rPr>
          <w:rFonts w:cs="Arial"/>
          <w:sz w:val="22"/>
          <w:szCs w:val="22"/>
        </w:rPr>
      </w:pPr>
    </w:p>
    <w:p w:rsidR="00D2342B" w:rsidRDefault="00D2342B" w:rsidP="00437606">
      <w:pPr>
        <w:rPr>
          <w:rFonts w:cs="Arial"/>
          <w:b/>
          <w:bCs/>
          <w:iCs/>
          <w:sz w:val="22"/>
          <w:szCs w:val="22"/>
        </w:rPr>
      </w:pPr>
      <w:r>
        <w:rPr>
          <w:rFonts w:cs="Arial"/>
          <w:b/>
          <w:bCs/>
          <w:iCs/>
          <w:sz w:val="22"/>
          <w:szCs w:val="22"/>
        </w:rPr>
        <w:t xml:space="preserve">   </w:t>
      </w:r>
      <w:r w:rsidR="00437606">
        <w:rPr>
          <w:rFonts w:cs="Arial"/>
          <w:b/>
          <w:bCs/>
          <w:iCs/>
          <w:sz w:val="22"/>
          <w:szCs w:val="22"/>
        </w:rPr>
        <w:t xml:space="preserve">2.2. Integration of gender in PAHO/WHO management: strategic and operational </w:t>
      </w:r>
    </w:p>
    <w:p w:rsidR="00437606" w:rsidRDefault="00D2342B" w:rsidP="00437606">
      <w:pPr>
        <w:rPr>
          <w:rFonts w:cs="Arial"/>
          <w:b/>
          <w:bCs/>
          <w:iCs/>
          <w:sz w:val="22"/>
          <w:szCs w:val="22"/>
        </w:rPr>
      </w:pPr>
      <w:r>
        <w:rPr>
          <w:rFonts w:cs="Arial"/>
          <w:b/>
          <w:bCs/>
          <w:iCs/>
          <w:sz w:val="22"/>
          <w:szCs w:val="22"/>
        </w:rPr>
        <w:t xml:space="preserve">   </w:t>
      </w:r>
      <w:r w:rsidR="00437606">
        <w:rPr>
          <w:rFonts w:cs="Arial"/>
          <w:b/>
          <w:bCs/>
          <w:iCs/>
          <w:sz w:val="22"/>
          <w:szCs w:val="22"/>
        </w:rPr>
        <w:t>planning (SD2)</w:t>
      </w:r>
    </w:p>
    <w:p w:rsidR="00433C17" w:rsidRDefault="00433C17" w:rsidP="00437606">
      <w:pPr>
        <w:rPr>
          <w:rFonts w:cs="Arial"/>
          <w:b/>
          <w:bCs/>
          <w:iCs/>
          <w:sz w:val="22"/>
          <w:szCs w:val="22"/>
        </w:rPr>
      </w:pPr>
    </w:p>
    <w:p w:rsidR="00437606" w:rsidRDefault="00437606" w:rsidP="00437606">
      <w:pPr>
        <w:rPr>
          <w:rFonts w:cs="Arial"/>
          <w:bCs/>
          <w:sz w:val="22"/>
          <w:szCs w:val="22"/>
        </w:rPr>
      </w:pPr>
      <w:r>
        <w:rPr>
          <w:rFonts w:cs="Arial"/>
          <w:bCs/>
          <w:sz w:val="22"/>
          <w:szCs w:val="22"/>
        </w:rPr>
        <w:t>Face-to-face and phone interviews were conducted with planning focal points</w:t>
      </w:r>
      <w:r>
        <w:rPr>
          <w:rStyle w:val="FootnoteReference"/>
          <w:rFonts w:cs="Arial"/>
          <w:bCs/>
          <w:sz w:val="22"/>
          <w:szCs w:val="22"/>
        </w:rPr>
        <w:footnoteReference w:id="3"/>
      </w:r>
      <w:r>
        <w:rPr>
          <w:rFonts w:cs="Arial"/>
          <w:bCs/>
          <w:sz w:val="22"/>
          <w:szCs w:val="22"/>
        </w:rPr>
        <w:t xml:space="preserve"> involved in the strategic and operational planning in PAHO/WHO in 2006 and 2007.  These interviews were conducted to measure indicator 2.2 and 3.3 above.</w:t>
      </w:r>
    </w:p>
    <w:p w:rsidR="00437606" w:rsidRDefault="00437606" w:rsidP="00437606">
      <w:pPr>
        <w:rPr>
          <w:rFonts w:cs="Arial"/>
          <w:sz w:val="10"/>
          <w:szCs w:val="22"/>
        </w:rPr>
      </w:pPr>
    </w:p>
    <w:p w:rsidR="00563AD8" w:rsidRPr="00633C04" w:rsidRDefault="00437606" w:rsidP="003F0D08">
      <w:pPr>
        <w:jc w:val="both"/>
        <w:rPr>
          <w:b/>
          <w:iCs/>
        </w:rPr>
      </w:pPr>
      <w:r>
        <w:rPr>
          <w:rFonts w:cs="Arial"/>
          <w:sz w:val="22"/>
          <w:szCs w:val="22"/>
        </w:rPr>
        <w:t xml:space="preserve">In 2006/2007, WHO transitioned to a new strategic and operational planning framework in which what was previously known as Areas of Work were consolidated into 13 Strategic Objectives (SO) for the organization.  Each SO was facilitated with SO facilitator with participation of relevant departments or divisions or units at regional and headquarters level.  Therefore, planning focal points also included the SO facilitators.  Since the sampling frame of SO facilitators was small (in most regions and headquarters no more than 12-15), all SO facilitators were included in the sample.  In addition, departments or divisions were stratified into two: those that collaborated with the gender focal points or unit in their region and those that did not collaborate in 2006-2007.  Departments or divisions were randomly selected from these strata and their planning focal points (director or coordinator or designated planning focal point) were selected.  In addition, two to four PAHO/WHO country offices were selected and planning focal points from the selected offices were included in the sample.  </w:t>
      </w:r>
      <w:r w:rsidR="003F0D08">
        <w:rPr>
          <w:rFonts w:cs="Arial"/>
          <w:sz w:val="22"/>
          <w:szCs w:val="22"/>
        </w:rPr>
        <w:t>In PAHO, a</w:t>
      </w:r>
      <w:r w:rsidR="003F0D08">
        <w:rPr>
          <w:iCs/>
          <w:sz w:val="22"/>
        </w:rPr>
        <w:t xml:space="preserve"> geographical sub regional criterion of representativeness was added in the selection of the country representatives.  </w:t>
      </w:r>
      <w:r w:rsidR="003F0D08">
        <w:rPr>
          <w:rFonts w:cs="Arial"/>
          <w:sz w:val="22"/>
          <w:szCs w:val="22"/>
        </w:rPr>
        <w:t xml:space="preserve">In each region the target sample size was 20-25 and the expected response rate was 80%. </w:t>
      </w:r>
      <w:r w:rsidR="00563AD8">
        <w:rPr>
          <w:b/>
          <w:iCs/>
          <w:sz w:val="22"/>
        </w:rPr>
        <w:t xml:space="preserve">         </w:t>
      </w:r>
    </w:p>
    <w:p w:rsidR="00563AD8" w:rsidRPr="00D56D59" w:rsidRDefault="00563AD8" w:rsidP="00563AD8">
      <w:pPr>
        <w:jc w:val="both"/>
        <w:rPr>
          <w:sz w:val="14"/>
        </w:rPr>
      </w:pPr>
    </w:p>
    <w:p w:rsidR="00563AD8" w:rsidRDefault="00563AD8" w:rsidP="00797CBA">
      <w:pPr>
        <w:jc w:val="both"/>
        <w:rPr>
          <w:rFonts w:cs="Arial"/>
          <w:sz w:val="22"/>
          <w:szCs w:val="22"/>
        </w:rPr>
      </w:pPr>
      <w:r>
        <w:rPr>
          <w:sz w:val="22"/>
        </w:rPr>
        <w:t xml:space="preserve">Twenty one </w:t>
      </w:r>
      <w:r w:rsidRPr="00777306">
        <w:rPr>
          <w:sz w:val="22"/>
        </w:rPr>
        <w:t>interviews</w:t>
      </w:r>
      <w:r w:rsidR="003F0D08">
        <w:rPr>
          <w:sz w:val="22"/>
        </w:rPr>
        <w:t xml:space="preserve">, out of a sample of twenty </w:t>
      </w:r>
      <w:r w:rsidR="00380183">
        <w:rPr>
          <w:sz w:val="22"/>
        </w:rPr>
        <w:t>nine</w:t>
      </w:r>
      <w:r w:rsidR="003F0D08">
        <w:rPr>
          <w:sz w:val="22"/>
        </w:rPr>
        <w:t xml:space="preserve">, </w:t>
      </w:r>
      <w:r w:rsidRPr="00777306">
        <w:rPr>
          <w:sz w:val="22"/>
        </w:rPr>
        <w:t xml:space="preserve">were conducted by </w:t>
      </w:r>
      <w:r>
        <w:rPr>
          <w:sz w:val="22"/>
        </w:rPr>
        <w:t xml:space="preserve">the </w:t>
      </w:r>
      <w:r w:rsidRPr="00777306">
        <w:rPr>
          <w:sz w:val="22"/>
        </w:rPr>
        <w:t>regional consultant</w:t>
      </w:r>
      <w:r>
        <w:rPr>
          <w:sz w:val="22"/>
        </w:rPr>
        <w:t xml:space="preserve"> in PAHO</w:t>
      </w:r>
      <w:r w:rsidRPr="00777306">
        <w:rPr>
          <w:sz w:val="22"/>
        </w:rPr>
        <w:t>.  I</w:t>
      </w:r>
      <w:r w:rsidRPr="00777306">
        <w:rPr>
          <w:iCs/>
          <w:sz w:val="22"/>
        </w:rPr>
        <w:t>nter</w:t>
      </w:r>
      <w:r>
        <w:rPr>
          <w:iCs/>
          <w:sz w:val="22"/>
        </w:rPr>
        <w:t xml:space="preserve">views were face-to-face in </w:t>
      </w:r>
      <w:r w:rsidRPr="00777306">
        <w:rPr>
          <w:iCs/>
          <w:sz w:val="22"/>
        </w:rPr>
        <w:t xml:space="preserve">HQ, and by telephone in the field; they </w:t>
      </w:r>
      <w:r w:rsidRPr="00777306">
        <w:rPr>
          <w:sz w:val="22"/>
        </w:rPr>
        <w:t xml:space="preserve">lasted 50 to 70 minutes. </w:t>
      </w:r>
      <w:r>
        <w:rPr>
          <w:rFonts w:cs="Arial"/>
          <w:sz w:val="22"/>
          <w:szCs w:val="22"/>
        </w:rPr>
        <w:t>The interviewer used structured and open-ended questions (see Annex 3 for detailed questionnaire)</w:t>
      </w:r>
      <w:r>
        <w:rPr>
          <w:rFonts w:cs="Arial"/>
          <w:color w:val="FF0000"/>
          <w:sz w:val="22"/>
          <w:szCs w:val="22"/>
        </w:rPr>
        <w:t xml:space="preserve"> </w:t>
      </w:r>
      <w:r>
        <w:rPr>
          <w:rFonts w:cs="Arial"/>
          <w:sz w:val="22"/>
          <w:szCs w:val="22"/>
        </w:rPr>
        <w:t xml:space="preserve">that focused on how gender was incorporated </w:t>
      </w:r>
      <w:r w:rsidR="00380183">
        <w:rPr>
          <w:rFonts w:cs="Arial"/>
          <w:sz w:val="22"/>
          <w:szCs w:val="22"/>
        </w:rPr>
        <w:t>into</w:t>
      </w:r>
      <w:r>
        <w:rPr>
          <w:rFonts w:cs="Arial"/>
          <w:sz w:val="22"/>
          <w:szCs w:val="22"/>
        </w:rPr>
        <w:t xml:space="preserve"> the operational planning for the Medium Term Strategic Plan (2008-2013), the implementation of the 2006-2007 biennial work plan, and the monitoring and evaluation of </w:t>
      </w:r>
      <w:r w:rsidR="00380183">
        <w:rPr>
          <w:rFonts w:cs="Arial"/>
          <w:sz w:val="22"/>
          <w:szCs w:val="22"/>
        </w:rPr>
        <w:t>th</w:t>
      </w:r>
      <w:r w:rsidR="006F643D">
        <w:rPr>
          <w:rFonts w:cs="Arial"/>
          <w:sz w:val="22"/>
          <w:szCs w:val="22"/>
        </w:rPr>
        <w:t>is</w:t>
      </w:r>
      <w:r w:rsidR="00380183">
        <w:rPr>
          <w:rFonts w:cs="Arial"/>
          <w:sz w:val="22"/>
          <w:szCs w:val="22"/>
        </w:rPr>
        <w:t xml:space="preserve"> 2006-2007</w:t>
      </w:r>
      <w:r w:rsidR="006F643D">
        <w:rPr>
          <w:rFonts w:cs="Arial"/>
          <w:sz w:val="22"/>
          <w:szCs w:val="22"/>
        </w:rPr>
        <w:t xml:space="preserve"> </w:t>
      </w:r>
      <w:r>
        <w:rPr>
          <w:rFonts w:cs="Arial"/>
          <w:sz w:val="22"/>
          <w:szCs w:val="22"/>
        </w:rPr>
        <w:t>work plan</w:t>
      </w:r>
      <w:r w:rsidR="00380183">
        <w:rPr>
          <w:rFonts w:cs="Arial"/>
          <w:sz w:val="22"/>
          <w:szCs w:val="22"/>
        </w:rPr>
        <w:t>.</w:t>
      </w:r>
      <w:r>
        <w:rPr>
          <w:rFonts w:cs="Arial"/>
          <w:sz w:val="22"/>
          <w:szCs w:val="22"/>
        </w:rPr>
        <w:t xml:space="preserve">  </w:t>
      </w:r>
      <w:r w:rsidR="00797CBA" w:rsidRPr="00777306">
        <w:rPr>
          <w:sz w:val="22"/>
        </w:rPr>
        <w:t xml:space="preserve">The selected officers to be interviewed were contacted trough e-mail by the </w:t>
      </w:r>
      <w:r w:rsidR="00797CBA">
        <w:rPr>
          <w:sz w:val="22"/>
        </w:rPr>
        <w:t xml:space="preserve">PAHO </w:t>
      </w:r>
      <w:r w:rsidR="00380183">
        <w:rPr>
          <w:sz w:val="22"/>
        </w:rPr>
        <w:t>Gender and Ethnicity Unit Chief</w:t>
      </w:r>
      <w:r w:rsidR="00797CBA" w:rsidRPr="00777306">
        <w:rPr>
          <w:sz w:val="22"/>
        </w:rPr>
        <w:t xml:space="preserve"> who </w:t>
      </w:r>
      <w:r w:rsidR="00380183">
        <w:rPr>
          <w:sz w:val="22"/>
        </w:rPr>
        <w:t>requested</w:t>
      </w:r>
      <w:r w:rsidR="00797CBA" w:rsidRPr="00777306">
        <w:rPr>
          <w:sz w:val="22"/>
        </w:rPr>
        <w:t xml:space="preserve"> their collaboration and included the PAHO Director’s letter written in support of this initiative.</w:t>
      </w:r>
      <w:r w:rsidR="003F0D08">
        <w:rPr>
          <w:sz w:val="22"/>
        </w:rPr>
        <w:t xml:space="preserve"> </w:t>
      </w:r>
      <w:r>
        <w:rPr>
          <w:rFonts w:cs="Arial"/>
          <w:sz w:val="22"/>
          <w:szCs w:val="22"/>
        </w:rPr>
        <w:t xml:space="preserve">The interviews were recorded on paper by the consultants, and data was entered </w:t>
      </w:r>
      <w:r w:rsidR="00380183">
        <w:rPr>
          <w:rFonts w:cs="Arial"/>
          <w:sz w:val="22"/>
          <w:szCs w:val="22"/>
        </w:rPr>
        <w:t xml:space="preserve">in </w:t>
      </w:r>
      <w:r>
        <w:rPr>
          <w:rFonts w:cs="Arial"/>
          <w:sz w:val="22"/>
          <w:szCs w:val="22"/>
        </w:rPr>
        <w:t xml:space="preserve">Datacol, an online data entry software. </w:t>
      </w:r>
    </w:p>
    <w:p w:rsidR="00797CBA" w:rsidRDefault="00797CBA" w:rsidP="00797CBA">
      <w:pPr>
        <w:jc w:val="both"/>
        <w:rPr>
          <w:rFonts w:cs="Arial"/>
          <w:sz w:val="22"/>
          <w:szCs w:val="22"/>
        </w:rPr>
      </w:pPr>
    </w:p>
    <w:p w:rsidR="00D2342B" w:rsidRDefault="00D2342B" w:rsidP="00437606">
      <w:pPr>
        <w:rPr>
          <w:rFonts w:cs="Arial"/>
          <w:b/>
          <w:bCs/>
          <w:iCs/>
          <w:sz w:val="22"/>
          <w:szCs w:val="22"/>
        </w:rPr>
      </w:pPr>
      <w:r>
        <w:rPr>
          <w:rFonts w:cs="Arial"/>
          <w:b/>
          <w:bCs/>
          <w:iCs/>
          <w:sz w:val="22"/>
          <w:szCs w:val="22"/>
        </w:rPr>
        <w:t xml:space="preserve">   </w:t>
      </w:r>
      <w:r w:rsidR="004F5C6D">
        <w:rPr>
          <w:rFonts w:cs="Arial"/>
          <w:b/>
          <w:bCs/>
          <w:iCs/>
          <w:sz w:val="22"/>
          <w:szCs w:val="22"/>
        </w:rPr>
        <w:t>2.3</w:t>
      </w:r>
      <w:r w:rsidR="00437606">
        <w:rPr>
          <w:rFonts w:cs="Arial"/>
          <w:b/>
          <w:bCs/>
          <w:iCs/>
          <w:sz w:val="22"/>
          <w:szCs w:val="22"/>
        </w:rPr>
        <w:t xml:space="preserve">. Integration of gender in PAHO/WHO management: Integration of gender in country </w:t>
      </w:r>
    </w:p>
    <w:p w:rsidR="00437606" w:rsidRDefault="00D2342B" w:rsidP="00437606">
      <w:pPr>
        <w:rPr>
          <w:rFonts w:cs="Arial"/>
          <w:b/>
          <w:bCs/>
          <w:iCs/>
          <w:sz w:val="22"/>
          <w:szCs w:val="22"/>
        </w:rPr>
      </w:pPr>
      <w:r>
        <w:rPr>
          <w:rFonts w:cs="Arial"/>
          <w:b/>
          <w:bCs/>
          <w:iCs/>
          <w:sz w:val="22"/>
          <w:szCs w:val="22"/>
        </w:rPr>
        <w:t xml:space="preserve">   </w:t>
      </w:r>
      <w:r w:rsidR="00437606">
        <w:rPr>
          <w:rFonts w:cs="Arial"/>
          <w:b/>
          <w:bCs/>
          <w:iCs/>
          <w:sz w:val="22"/>
          <w:szCs w:val="22"/>
        </w:rPr>
        <w:t>Cooperation Strategies (CCS) and country work plans (SD2).</w:t>
      </w:r>
    </w:p>
    <w:p w:rsidR="00437606" w:rsidRDefault="00437606" w:rsidP="00437606">
      <w:pPr>
        <w:rPr>
          <w:rFonts w:cs="Arial"/>
          <w:b/>
          <w:sz w:val="22"/>
          <w:szCs w:val="22"/>
        </w:rPr>
      </w:pPr>
    </w:p>
    <w:p w:rsidR="00437606" w:rsidRDefault="00437606" w:rsidP="00437606">
      <w:pPr>
        <w:pStyle w:val="List"/>
        <w:spacing w:after="0"/>
        <w:rPr>
          <w:rFonts w:ascii="Arial" w:hAnsi="Arial" w:cs="Arial"/>
          <w:sz w:val="22"/>
          <w:szCs w:val="22"/>
        </w:rPr>
      </w:pPr>
      <w:r>
        <w:rPr>
          <w:rFonts w:ascii="Arial" w:hAnsi="Arial" w:cs="Arial"/>
          <w:sz w:val="22"/>
          <w:szCs w:val="22"/>
        </w:rPr>
        <w:t>To understand how gender was reflected in Country Cooperation Strategies (CCS)</w:t>
      </w:r>
      <w:r>
        <w:rPr>
          <w:rStyle w:val="FootnoteReference"/>
          <w:rFonts w:ascii="Arial" w:hAnsi="Arial" w:cs="Arial"/>
          <w:bCs/>
          <w:sz w:val="22"/>
          <w:szCs w:val="22"/>
        </w:rPr>
        <w:t xml:space="preserve"> </w:t>
      </w:r>
      <w:r>
        <w:rPr>
          <w:rFonts w:ascii="Arial" w:hAnsi="Arial" w:cs="Arial"/>
          <w:sz w:val="22"/>
          <w:szCs w:val="22"/>
        </w:rPr>
        <w:t xml:space="preserve">and country work plans, content analysis of these two documents was conducted.  The Country Cooperation Strategies serve as the framework to guide collaborative planning between PAHO/WHO and its Member States.  The country work plans were included as a proxy to capture the extent to which the planning framework is translated into joint operational plans at the country level (i.e. a proxy measure, even if somewhat imperfect, to capture implementation of joint PAHO/WHO and Member States plans).  </w:t>
      </w:r>
    </w:p>
    <w:p w:rsidR="00437606" w:rsidRPr="00433C17" w:rsidRDefault="00437606" w:rsidP="00437606">
      <w:pPr>
        <w:rPr>
          <w:rFonts w:cs="Arial"/>
          <w:bCs/>
          <w:sz w:val="16"/>
          <w:szCs w:val="22"/>
        </w:rPr>
      </w:pPr>
    </w:p>
    <w:p w:rsidR="00380183" w:rsidRDefault="00437606" w:rsidP="00437606">
      <w:pPr>
        <w:rPr>
          <w:rFonts w:cs="Arial"/>
          <w:bCs/>
          <w:sz w:val="22"/>
          <w:szCs w:val="22"/>
        </w:rPr>
      </w:pPr>
      <w:r>
        <w:rPr>
          <w:rFonts w:cs="Arial"/>
          <w:bCs/>
          <w:sz w:val="22"/>
          <w:szCs w:val="22"/>
        </w:rPr>
        <w:t xml:space="preserve">In each region, the sampling frame included CCS documents developed after 2005 that were stratified into two.  The two strata for CCS included those countries where there was some collaboration with the gender focal point or unit in the PAHO/WHO country or regional office and those where there was no collaboration.  From each stratum, one CCS was selected for a total of two CCS documents.  The selection criteria included those that were developed after 2005 because in 2005, there was a </w:t>
      </w:r>
      <w:r w:rsidR="00380183">
        <w:rPr>
          <w:rFonts w:cs="Arial"/>
          <w:bCs/>
          <w:sz w:val="22"/>
          <w:szCs w:val="22"/>
        </w:rPr>
        <w:t xml:space="preserve">WHO </w:t>
      </w:r>
      <w:r>
        <w:rPr>
          <w:rFonts w:cs="Arial"/>
          <w:bCs/>
          <w:sz w:val="22"/>
          <w:szCs w:val="22"/>
        </w:rPr>
        <w:t xml:space="preserve">framework document guiding the development of these </w:t>
      </w:r>
      <w:r w:rsidR="00380183">
        <w:rPr>
          <w:rFonts w:cs="Arial"/>
          <w:bCs/>
          <w:sz w:val="22"/>
          <w:szCs w:val="22"/>
        </w:rPr>
        <w:t>CCSs</w:t>
      </w:r>
      <w:r>
        <w:rPr>
          <w:rFonts w:cs="Arial"/>
          <w:bCs/>
          <w:sz w:val="22"/>
          <w:szCs w:val="22"/>
        </w:rPr>
        <w:t xml:space="preserve"> that explicitly mentioned gender as one of the considerations.  Therefore the baseline assessment measured integration of gender in only those CCS documents that were developed after this guiding framework came into effect</w:t>
      </w:r>
      <w:r w:rsidR="00B00FD4">
        <w:rPr>
          <w:rFonts w:cs="Arial"/>
          <w:bCs/>
          <w:sz w:val="22"/>
          <w:szCs w:val="22"/>
        </w:rPr>
        <w:t>.</w:t>
      </w:r>
      <w:r w:rsidR="00B00FD4" w:rsidRPr="00B00FD4">
        <w:rPr>
          <w:rFonts w:cs="Arial"/>
          <w:bCs/>
          <w:sz w:val="22"/>
          <w:szCs w:val="22"/>
        </w:rPr>
        <w:t xml:space="preserve"> </w:t>
      </w:r>
      <w:r w:rsidR="00B00FD4">
        <w:rPr>
          <w:rFonts w:cs="Arial"/>
          <w:bCs/>
          <w:sz w:val="22"/>
          <w:szCs w:val="22"/>
        </w:rPr>
        <w:t xml:space="preserve"> </w:t>
      </w:r>
      <w:r w:rsidR="00B00FD4">
        <w:rPr>
          <w:sz w:val="22"/>
          <w:lang w:val="en-US"/>
        </w:rPr>
        <w:t xml:space="preserve">The two countries selected in the PAHO Region for this analysis were: </w:t>
      </w:r>
      <w:r w:rsidR="00B00FD4">
        <w:rPr>
          <w:b/>
          <w:sz w:val="22"/>
          <w:lang w:val="en-US"/>
        </w:rPr>
        <w:t xml:space="preserve">Honduras </w:t>
      </w:r>
      <w:r w:rsidR="00B00FD4">
        <w:rPr>
          <w:sz w:val="22"/>
          <w:lang w:val="en-US"/>
        </w:rPr>
        <w:t xml:space="preserve">and </w:t>
      </w:r>
      <w:r w:rsidR="00B00FD4">
        <w:rPr>
          <w:b/>
          <w:sz w:val="22"/>
          <w:lang w:val="en-US"/>
        </w:rPr>
        <w:t xml:space="preserve">Trinidad &amp; Tobago. </w:t>
      </w:r>
      <w:r w:rsidR="00B00FD4" w:rsidRPr="00B00FD4">
        <w:rPr>
          <w:sz w:val="22"/>
          <w:lang w:val="en-US"/>
        </w:rPr>
        <w:t>The first country</w:t>
      </w:r>
      <w:r w:rsidR="00B00FD4">
        <w:rPr>
          <w:b/>
          <w:sz w:val="22"/>
          <w:lang w:val="en-US"/>
        </w:rPr>
        <w:t xml:space="preserve"> </w:t>
      </w:r>
      <w:r w:rsidR="00B00FD4">
        <w:rPr>
          <w:rFonts w:cs="Arial"/>
          <w:bCs/>
          <w:sz w:val="22"/>
          <w:szCs w:val="22"/>
        </w:rPr>
        <w:t>had sustained collaboration with the gender network (country focal point and regional unit), the second had none.</w:t>
      </w:r>
    </w:p>
    <w:p w:rsidR="00B00FD4" w:rsidRDefault="00B00FD4" w:rsidP="00437606">
      <w:pPr>
        <w:rPr>
          <w:b/>
          <w:sz w:val="22"/>
          <w:lang w:val="en-US"/>
        </w:rPr>
      </w:pPr>
    </w:p>
    <w:p w:rsidR="00437606" w:rsidRDefault="00C170D1" w:rsidP="00437606">
      <w:pPr>
        <w:rPr>
          <w:rFonts w:cs="Arial"/>
          <w:sz w:val="22"/>
          <w:szCs w:val="22"/>
        </w:rPr>
      </w:pPr>
      <w:r w:rsidRPr="00CB6A03">
        <w:rPr>
          <w:b/>
          <w:sz w:val="22"/>
          <w:lang w:val="en-US"/>
        </w:rPr>
        <w:t>T</w:t>
      </w:r>
      <w:r w:rsidR="00437606" w:rsidRPr="00CB6A03">
        <w:rPr>
          <w:rFonts w:cs="Arial"/>
          <w:b/>
          <w:sz w:val="22"/>
          <w:szCs w:val="22"/>
        </w:rPr>
        <w:t>he CCS</w:t>
      </w:r>
      <w:r w:rsidR="006F643D">
        <w:rPr>
          <w:rFonts w:cs="Arial"/>
          <w:b/>
          <w:sz w:val="22"/>
          <w:szCs w:val="22"/>
        </w:rPr>
        <w:t>s</w:t>
      </w:r>
      <w:r w:rsidR="00437606">
        <w:rPr>
          <w:rFonts w:cs="Arial"/>
          <w:sz w:val="22"/>
          <w:szCs w:val="22"/>
        </w:rPr>
        <w:t xml:space="preserve"> were analyzed using word search criteria that are detailed in Annex 4.  The analysis of the CCS facilitated an examination of whether the document:</w:t>
      </w:r>
    </w:p>
    <w:p w:rsidR="00437606" w:rsidRDefault="00437606" w:rsidP="00581596">
      <w:pPr>
        <w:numPr>
          <w:ilvl w:val="0"/>
          <w:numId w:val="40"/>
        </w:numPr>
        <w:suppressAutoHyphens/>
        <w:rPr>
          <w:rFonts w:cs="Arial"/>
          <w:sz w:val="22"/>
          <w:szCs w:val="22"/>
        </w:rPr>
      </w:pPr>
      <w:r>
        <w:rPr>
          <w:rFonts w:cs="Arial"/>
          <w:sz w:val="22"/>
          <w:szCs w:val="22"/>
        </w:rPr>
        <w:t>Explicitly mentioned promotion of gender equality;</w:t>
      </w:r>
    </w:p>
    <w:p w:rsidR="00437606" w:rsidRDefault="00437606" w:rsidP="00581596">
      <w:pPr>
        <w:numPr>
          <w:ilvl w:val="0"/>
          <w:numId w:val="40"/>
        </w:numPr>
        <w:suppressAutoHyphens/>
        <w:rPr>
          <w:rFonts w:cs="Arial"/>
          <w:sz w:val="22"/>
          <w:szCs w:val="22"/>
        </w:rPr>
      </w:pPr>
      <w:r>
        <w:rPr>
          <w:rFonts w:cs="Arial"/>
          <w:sz w:val="22"/>
          <w:szCs w:val="22"/>
        </w:rPr>
        <w:t xml:space="preserve">Consulted with women’s groups and/or involved the Ministry of women’s affairs; </w:t>
      </w:r>
    </w:p>
    <w:p w:rsidR="00437606" w:rsidRDefault="00437606" w:rsidP="00581596">
      <w:pPr>
        <w:numPr>
          <w:ilvl w:val="0"/>
          <w:numId w:val="40"/>
        </w:numPr>
        <w:suppressAutoHyphens/>
        <w:rPr>
          <w:rFonts w:cs="Arial"/>
          <w:sz w:val="22"/>
          <w:szCs w:val="22"/>
        </w:rPr>
      </w:pPr>
      <w:r>
        <w:rPr>
          <w:rFonts w:cs="Arial"/>
          <w:sz w:val="22"/>
          <w:szCs w:val="22"/>
        </w:rPr>
        <w:t xml:space="preserve">promoted sex disaggregated data; </w:t>
      </w:r>
    </w:p>
    <w:p w:rsidR="00437606" w:rsidRDefault="00437606" w:rsidP="00581596">
      <w:pPr>
        <w:numPr>
          <w:ilvl w:val="0"/>
          <w:numId w:val="40"/>
        </w:numPr>
        <w:suppressAutoHyphens/>
        <w:rPr>
          <w:rFonts w:cs="Arial"/>
          <w:sz w:val="22"/>
          <w:szCs w:val="22"/>
        </w:rPr>
      </w:pPr>
      <w:r>
        <w:rPr>
          <w:rFonts w:cs="Arial"/>
          <w:sz w:val="22"/>
          <w:szCs w:val="22"/>
        </w:rPr>
        <w:t>Analyzed/interpreted the different outcomes for men and women</w:t>
      </w:r>
    </w:p>
    <w:p w:rsidR="00437606" w:rsidRDefault="00437606" w:rsidP="00581596">
      <w:pPr>
        <w:numPr>
          <w:ilvl w:val="0"/>
          <w:numId w:val="40"/>
        </w:numPr>
        <w:suppressAutoHyphens/>
        <w:rPr>
          <w:rFonts w:cs="Arial"/>
          <w:sz w:val="22"/>
          <w:szCs w:val="22"/>
        </w:rPr>
      </w:pPr>
      <w:r>
        <w:rPr>
          <w:rFonts w:cs="Arial"/>
          <w:sz w:val="22"/>
          <w:szCs w:val="22"/>
        </w:rPr>
        <w:t xml:space="preserve">Specified actions to address gender inequalities. </w:t>
      </w:r>
    </w:p>
    <w:p w:rsidR="00437606" w:rsidRPr="00C170D1" w:rsidRDefault="00437606" w:rsidP="00437606">
      <w:pPr>
        <w:rPr>
          <w:rFonts w:cs="Arial"/>
          <w:sz w:val="6"/>
          <w:szCs w:val="22"/>
        </w:rPr>
      </w:pPr>
    </w:p>
    <w:p w:rsidR="00437606" w:rsidRDefault="00437606" w:rsidP="00437606">
      <w:pPr>
        <w:rPr>
          <w:rFonts w:cs="Arial"/>
          <w:sz w:val="22"/>
          <w:szCs w:val="22"/>
        </w:rPr>
      </w:pPr>
      <w:r>
        <w:rPr>
          <w:rFonts w:cs="Arial"/>
          <w:sz w:val="22"/>
          <w:szCs w:val="22"/>
        </w:rPr>
        <w:t xml:space="preserve">These criteria were coded based on a yes or no response and a score was calculated adding all the yes responses (which received a score of 1). A threshold was determined for the scores to be classified into none, weak, moderate or strong level of gender integration in the CCS (see annex 4 for details).  Interpretation of how strongly the CCS integrated gender was based on these scores as well as qualitative interpretation of the content of the CCS. </w:t>
      </w:r>
    </w:p>
    <w:p w:rsidR="00437606" w:rsidRPr="00B00FD4" w:rsidRDefault="00437606" w:rsidP="00437606">
      <w:pPr>
        <w:rPr>
          <w:rFonts w:cs="Arial"/>
          <w:b/>
          <w:sz w:val="22"/>
          <w:szCs w:val="22"/>
        </w:rPr>
      </w:pPr>
    </w:p>
    <w:p w:rsidR="00437606" w:rsidRDefault="00437606" w:rsidP="00437606">
      <w:pPr>
        <w:rPr>
          <w:rFonts w:cs="Arial"/>
          <w:sz w:val="22"/>
          <w:szCs w:val="22"/>
        </w:rPr>
      </w:pPr>
      <w:r w:rsidRPr="00CB6A03">
        <w:rPr>
          <w:rFonts w:cs="Arial"/>
          <w:b/>
          <w:sz w:val="22"/>
          <w:szCs w:val="22"/>
        </w:rPr>
        <w:t>The country work plans</w:t>
      </w:r>
      <w:r>
        <w:rPr>
          <w:rFonts w:cs="Arial"/>
          <w:sz w:val="22"/>
          <w:szCs w:val="22"/>
        </w:rPr>
        <w:t xml:space="preserve"> were analyzed using word search criteria that are detailed in Annex 4.  The analysis examined whether the work plans included:</w:t>
      </w:r>
    </w:p>
    <w:p w:rsidR="00437606" w:rsidRDefault="00437606" w:rsidP="00581596">
      <w:pPr>
        <w:numPr>
          <w:ilvl w:val="0"/>
          <w:numId w:val="41"/>
        </w:numPr>
        <w:suppressAutoHyphens/>
        <w:rPr>
          <w:rFonts w:cs="Arial"/>
          <w:sz w:val="22"/>
          <w:szCs w:val="22"/>
        </w:rPr>
      </w:pPr>
      <w:r>
        <w:rPr>
          <w:rFonts w:cs="Arial"/>
          <w:sz w:val="22"/>
          <w:szCs w:val="22"/>
        </w:rPr>
        <w:t>a statement on gender equality or equity;</w:t>
      </w:r>
    </w:p>
    <w:p w:rsidR="00437606" w:rsidRDefault="00437606" w:rsidP="00581596">
      <w:pPr>
        <w:numPr>
          <w:ilvl w:val="0"/>
          <w:numId w:val="41"/>
        </w:numPr>
        <w:suppressAutoHyphens/>
        <w:rPr>
          <w:rFonts w:cs="Arial"/>
          <w:sz w:val="22"/>
          <w:szCs w:val="22"/>
        </w:rPr>
      </w:pPr>
      <w:r>
        <w:rPr>
          <w:rFonts w:cs="Arial"/>
          <w:sz w:val="22"/>
          <w:szCs w:val="22"/>
        </w:rPr>
        <w:t>specified an action, product or service for collaboration with a women’s group;</w:t>
      </w:r>
    </w:p>
    <w:p w:rsidR="00437606" w:rsidRDefault="00437606" w:rsidP="00581596">
      <w:pPr>
        <w:numPr>
          <w:ilvl w:val="0"/>
          <w:numId w:val="41"/>
        </w:numPr>
        <w:suppressAutoHyphens/>
        <w:rPr>
          <w:rFonts w:cs="Arial"/>
          <w:sz w:val="22"/>
          <w:szCs w:val="22"/>
        </w:rPr>
      </w:pPr>
      <w:r>
        <w:rPr>
          <w:rFonts w:cs="Arial"/>
          <w:sz w:val="22"/>
          <w:szCs w:val="22"/>
        </w:rPr>
        <w:t>disaggregation of data by sex;</w:t>
      </w:r>
    </w:p>
    <w:p w:rsidR="00437606" w:rsidRDefault="00437606" w:rsidP="00581596">
      <w:pPr>
        <w:numPr>
          <w:ilvl w:val="0"/>
          <w:numId w:val="41"/>
        </w:numPr>
        <w:suppressAutoHyphens/>
        <w:rPr>
          <w:rFonts w:cs="Arial"/>
          <w:sz w:val="22"/>
          <w:szCs w:val="22"/>
        </w:rPr>
      </w:pPr>
      <w:r>
        <w:rPr>
          <w:rFonts w:cs="Arial"/>
          <w:sz w:val="22"/>
          <w:szCs w:val="22"/>
        </w:rPr>
        <w:t xml:space="preserve">at least </w:t>
      </w:r>
      <w:r>
        <w:rPr>
          <w:rFonts w:cs="Arial"/>
          <w:bCs/>
          <w:sz w:val="22"/>
          <w:szCs w:val="22"/>
        </w:rPr>
        <w:t>one OSER</w:t>
      </w:r>
      <w:r w:rsidR="00C170D1">
        <w:rPr>
          <w:rFonts w:cs="Arial"/>
          <w:bCs/>
          <w:sz w:val="22"/>
          <w:szCs w:val="22"/>
        </w:rPr>
        <w:t xml:space="preserve">, or </w:t>
      </w:r>
      <w:r>
        <w:rPr>
          <w:rFonts w:cs="Arial"/>
          <w:bCs/>
          <w:sz w:val="22"/>
          <w:szCs w:val="22"/>
        </w:rPr>
        <w:t>product</w:t>
      </w:r>
      <w:r w:rsidR="00C170D1">
        <w:rPr>
          <w:rFonts w:cs="Arial"/>
          <w:bCs/>
          <w:sz w:val="22"/>
          <w:szCs w:val="22"/>
        </w:rPr>
        <w:t xml:space="preserve">, or </w:t>
      </w:r>
      <w:r>
        <w:rPr>
          <w:rFonts w:cs="Arial"/>
          <w:bCs/>
          <w:sz w:val="22"/>
          <w:szCs w:val="22"/>
        </w:rPr>
        <w:t>activity</w:t>
      </w:r>
      <w:r w:rsidR="00C170D1">
        <w:rPr>
          <w:rFonts w:cs="Arial"/>
          <w:bCs/>
          <w:sz w:val="22"/>
          <w:szCs w:val="22"/>
        </w:rPr>
        <w:t>,</w:t>
      </w:r>
      <w:r>
        <w:rPr>
          <w:rFonts w:cs="Arial"/>
          <w:bCs/>
          <w:sz w:val="22"/>
          <w:szCs w:val="22"/>
        </w:rPr>
        <w:t xml:space="preserve"> or serv</w:t>
      </w:r>
      <w:r w:rsidR="00C170D1">
        <w:rPr>
          <w:rFonts w:cs="Arial"/>
          <w:bCs/>
          <w:sz w:val="22"/>
          <w:szCs w:val="22"/>
        </w:rPr>
        <w:t xml:space="preserve">ice that specifically mentioned </w:t>
      </w:r>
      <w:r>
        <w:rPr>
          <w:rFonts w:cs="Arial"/>
          <w:bCs/>
          <w:sz w:val="22"/>
          <w:szCs w:val="22"/>
        </w:rPr>
        <w:t xml:space="preserve">addressing gender. </w:t>
      </w:r>
    </w:p>
    <w:p w:rsidR="00437606" w:rsidRPr="00C170D1" w:rsidRDefault="00437606" w:rsidP="00437606">
      <w:pPr>
        <w:rPr>
          <w:rFonts w:cs="Arial"/>
          <w:bCs/>
          <w:sz w:val="8"/>
          <w:szCs w:val="22"/>
        </w:rPr>
      </w:pPr>
    </w:p>
    <w:p w:rsidR="00437606" w:rsidRDefault="00437606" w:rsidP="00437606">
      <w:pPr>
        <w:rPr>
          <w:rFonts w:cs="Arial"/>
          <w:bCs/>
          <w:sz w:val="22"/>
          <w:szCs w:val="22"/>
        </w:rPr>
      </w:pPr>
      <w:r>
        <w:rPr>
          <w:rFonts w:cs="Arial"/>
          <w:bCs/>
          <w:sz w:val="22"/>
          <w:szCs w:val="22"/>
        </w:rPr>
        <w:t>The criteria were coded yes or no and a score was calculated by adding all the yes responses (which received a score of 1).  A threshold was determined for scores to be classified into none, weak, moderate or strong level of gender integration in the country work plan (see annex 4 for details).  Interpretation of how strongly the country work plans integrated gender was based on the scores and qualitative interpretation of the content of the country work plans.</w:t>
      </w:r>
    </w:p>
    <w:p w:rsidR="004F5C6D" w:rsidRDefault="004F5C6D" w:rsidP="004F5C6D">
      <w:pPr>
        <w:rPr>
          <w:rFonts w:cs="Arial"/>
          <w:b/>
          <w:bCs/>
          <w:iCs/>
          <w:sz w:val="22"/>
          <w:szCs w:val="22"/>
        </w:rPr>
      </w:pPr>
      <w:r>
        <w:rPr>
          <w:rFonts w:cs="Arial"/>
          <w:b/>
          <w:bCs/>
          <w:iCs/>
          <w:sz w:val="22"/>
          <w:szCs w:val="22"/>
        </w:rPr>
        <w:t xml:space="preserve">    </w:t>
      </w:r>
    </w:p>
    <w:p w:rsidR="004F5C6D" w:rsidRDefault="004F5C6D" w:rsidP="004F5C6D">
      <w:pPr>
        <w:rPr>
          <w:rFonts w:cs="Arial"/>
          <w:b/>
          <w:sz w:val="22"/>
          <w:szCs w:val="22"/>
        </w:rPr>
      </w:pPr>
      <w:r>
        <w:rPr>
          <w:rFonts w:cs="Arial"/>
          <w:b/>
          <w:bCs/>
          <w:iCs/>
          <w:sz w:val="22"/>
          <w:szCs w:val="22"/>
        </w:rPr>
        <w:t xml:space="preserve">   2.4. Integration of gender in PAHO/WHO management: Sex parity in staffing (SD2)</w:t>
      </w:r>
      <w:r>
        <w:rPr>
          <w:rFonts w:cs="Arial"/>
          <w:b/>
          <w:sz w:val="22"/>
          <w:szCs w:val="22"/>
        </w:rPr>
        <w:t xml:space="preserve"> </w:t>
      </w:r>
    </w:p>
    <w:p w:rsidR="004F5C6D" w:rsidRPr="00433C17" w:rsidRDefault="004F5C6D" w:rsidP="004F5C6D">
      <w:pPr>
        <w:rPr>
          <w:rFonts w:cs="Arial"/>
          <w:b/>
          <w:sz w:val="16"/>
          <w:szCs w:val="22"/>
        </w:rPr>
      </w:pPr>
    </w:p>
    <w:p w:rsidR="004F5C6D" w:rsidRDefault="004F5C6D" w:rsidP="004F5C6D">
      <w:pPr>
        <w:pStyle w:val="ListParagraph"/>
        <w:ind w:left="0"/>
        <w:rPr>
          <w:rFonts w:cs="Arial"/>
          <w:sz w:val="22"/>
          <w:szCs w:val="22"/>
        </w:rPr>
      </w:pPr>
      <w:r>
        <w:rPr>
          <w:rFonts w:cs="Arial"/>
          <w:sz w:val="22"/>
          <w:szCs w:val="22"/>
        </w:rPr>
        <w:t>Indicators for sex parity in staffing are detailed in 2.4 and 2.5 in the table above. Data was considered until December 31 2007. At the global level, the information to measure sex parity was provided by the WHO Department of Human Resources and Development (HRD) that compiles this information every year for submission to the World Health Assembly. In PAHO’s case,</w:t>
      </w:r>
      <w:r>
        <w:rPr>
          <w:rFonts w:cs="Arial"/>
          <w:b/>
          <w:sz w:val="22"/>
          <w:szCs w:val="20"/>
        </w:rPr>
        <w:t xml:space="preserve"> </w:t>
      </w:r>
      <w:r w:rsidRPr="002A7054">
        <w:rPr>
          <w:sz w:val="22"/>
        </w:rPr>
        <w:t>however, the analysis was based on the PAHO Human Resources Data Base</w:t>
      </w:r>
      <w:r w:rsidR="00184626">
        <w:rPr>
          <w:sz w:val="22"/>
        </w:rPr>
        <w:t xml:space="preserve">, which  more accurately reflects the actual sex-distribution of PAHO staff. </w:t>
      </w:r>
      <w:r w:rsidRPr="002A7054">
        <w:rPr>
          <w:sz w:val="22"/>
        </w:rPr>
        <w:t xml:space="preserve"> This decision </w:t>
      </w:r>
      <w:r w:rsidR="00184626">
        <w:rPr>
          <w:sz w:val="22"/>
        </w:rPr>
        <w:t xml:space="preserve">was based on </w:t>
      </w:r>
      <w:r w:rsidRPr="002A7054">
        <w:rPr>
          <w:sz w:val="22"/>
        </w:rPr>
        <w:t xml:space="preserve"> three </w:t>
      </w:r>
      <w:r w:rsidR="00184626">
        <w:rPr>
          <w:sz w:val="22"/>
        </w:rPr>
        <w:t>reasons</w:t>
      </w:r>
      <w:r w:rsidR="00B00FD4">
        <w:rPr>
          <w:sz w:val="22"/>
        </w:rPr>
        <w:t>:</w:t>
      </w:r>
      <w:r w:rsidRPr="002A7054">
        <w:rPr>
          <w:sz w:val="22"/>
        </w:rPr>
        <w:t xml:space="preserve">  </w:t>
      </w:r>
      <w:r w:rsidRPr="002A7054">
        <w:rPr>
          <w:i/>
          <w:sz w:val="22"/>
        </w:rPr>
        <w:t>First</w:t>
      </w:r>
      <w:r w:rsidRPr="002A7054">
        <w:rPr>
          <w:sz w:val="22"/>
        </w:rPr>
        <w:t xml:space="preserve"> and most critical was the fact that the WHO Annual Reports covered only WHO centrally (Geneva) funded staff</w:t>
      </w:r>
      <w:r w:rsidR="00184626">
        <w:rPr>
          <w:sz w:val="22"/>
        </w:rPr>
        <w:t xml:space="preserve">, thus excluding staff funded by </w:t>
      </w:r>
      <w:r w:rsidR="00246E32">
        <w:rPr>
          <w:sz w:val="22"/>
        </w:rPr>
        <w:t xml:space="preserve">PAHO Member States and other external </w:t>
      </w:r>
      <w:r w:rsidR="00184626">
        <w:rPr>
          <w:sz w:val="22"/>
        </w:rPr>
        <w:t>sources</w:t>
      </w:r>
      <w:r w:rsidRPr="002A7054">
        <w:rPr>
          <w:sz w:val="22"/>
        </w:rPr>
        <w:t>. And</w:t>
      </w:r>
      <w:r w:rsidR="00985793">
        <w:rPr>
          <w:sz w:val="22"/>
        </w:rPr>
        <w:t>, according to PAHO data base,</w:t>
      </w:r>
      <w:r w:rsidRPr="002A7054">
        <w:rPr>
          <w:b/>
          <w:sz w:val="22"/>
        </w:rPr>
        <w:t xml:space="preserve"> WHO funded staff represented less than one fourth of all PAHO personnel</w:t>
      </w:r>
      <w:r w:rsidRPr="002A7054">
        <w:rPr>
          <w:sz w:val="22"/>
        </w:rPr>
        <w:t xml:space="preserve">: the total number of all PAHO staff, irrespective of funding sources, was </w:t>
      </w:r>
      <w:r w:rsidRPr="002A7054">
        <w:rPr>
          <w:b/>
          <w:sz w:val="22"/>
        </w:rPr>
        <w:t xml:space="preserve">889, </w:t>
      </w:r>
      <w:r w:rsidRPr="002A7054">
        <w:rPr>
          <w:sz w:val="22"/>
        </w:rPr>
        <w:t>while the number for the WHO funded personnel within PAHO was</w:t>
      </w:r>
      <w:r w:rsidRPr="002A7054">
        <w:rPr>
          <w:b/>
          <w:sz w:val="22"/>
        </w:rPr>
        <w:t xml:space="preserve"> 211</w:t>
      </w:r>
      <w:r w:rsidRPr="002A7054">
        <w:rPr>
          <w:sz w:val="22"/>
        </w:rPr>
        <w:t xml:space="preserve">. </w:t>
      </w:r>
      <w:r w:rsidRPr="002A7054">
        <w:rPr>
          <w:i/>
          <w:sz w:val="22"/>
        </w:rPr>
        <w:t>Second,</w:t>
      </w:r>
      <w:r w:rsidRPr="002A7054">
        <w:rPr>
          <w:sz w:val="22"/>
        </w:rPr>
        <w:t xml:space="preserve"> WHO reports centered on long-term staff, offering insufficient information for temporary staff. PAHO data base, on the other hand, provided similar kind of information for both, long-term and temporary personnel. </w:t>
      </w:r>
      <w:r w:rsidR="00985793">
        <w:rPr>
          <w:i/>
          <w:sz w:val="22"/>
        </w:rPr>
        <w:t xml:space="preserve">Third, </w:t>
      </w:r>
      <w:r w:rsidRPr="002A7054">
        <w:rPr>
          <w:sz w:val="22"/>
        </w:rPr>
        <w:t xml:space="preserve">substantial discrepancies between the WHO and PAHO data sets were found </w:t>
      </w:r>
      <w:r w:rsidR="00985793">
        <w:rPr>
          <w:sz w:val="22"/>
        </w:rPr>
        <w:t xml:space="preserve">regarding WHO funded personnel </w:t>
      </w:r>
      <w:r w:rsidRPr="002A7054">
        <w:rPr>
          <w:sz w:val="22"/>
        </w:rPr>
        <w:t xml:space="preserve">in reference </w:t>
      </w:r>
      <w:r w:rsidR="00985793">
        <w:rPr>
          <w:sz w:val="22"/>
        </w:rPr>
        <w:t>to the total and s</w:t>
      </w:r>
      <w:r w:rsidRPr="002A7054">
        <w:rPr>
          <w:sz w:val="22"/>
        </w:rPr>
        <w:t xml:space="preserve">ome staffing categories. </w:t>
      </w:r>
    </w:p>
    <w:p w:rsidR="00437606" w:rsidRPr="004F5C6D" w:rsidRDefault="00437606" w:rsidP="00437606">
      <w:pPr>
        <w:pStyle w:val="BodyText2"/>
        <w:rPr>
          <w:rFonts w:ascii="Arial" w:hAnsi="Arial" w:cs="Arial"/>
          <w:sz w:val="22"/>
          <w:szCs w:val="22"/>
          <w:lang w:val="en-CA"/>
        </w:rPr>
      </w:pPr>
    </w:p>
    <w:p w:rsidR="00437606" w:rsidRDefault="00D2342B" w:rsidP="00437606">
      <w:pPr>
        <w:pStyle w:val="BodyText2"/>
        <w:rPr>
          <w:rFonts w:ascii="Arial" w:hAnsi="Arial" w:cs="Arial"/>
          <w:b/>
          <w:i w:val="0"/>
          <w:sz w:val="22"/>
          <w:szCs w:val="22"/>
        </w:rPr>
      </w:pPr>
      <w:r>
        <w:rPr>
          <w:rFonts w:ascii="Arial" w:hAnsi="Arial" w:cs="Arial"/>
          <w:b/>
          <w:i w:val="0"/>
          <w:sz w:val="22"/>
          <w:szCs w:val="22"/>
        </w:rPr>
        <w:t xml:space="preserve">    </w:t>
      </w:r>
      <w:r w:rsidR="00437606">
        <w:rPr>
          <w:rFonts w:ascii="Arial" w:hAnsi="Arial" w:cs="Arial"/>
          <w:b/>
          <w:i w:val="0"/>
          <w:sz w:val="22"/>
          <w:szCs w:val="22"/>
        </w:rPr>
        <w:t xml:space="preserve">2.5. Promoting sex disaggregated data and gender analysis (SD3). </w:t>
      </w:r>
    </w:p>
    <w:p w:rsidR="00437606" w:rsidRPr="00433C17" w:rsidRDefault="00437606" w:rsidP="00437606">
      <w:pPr>
        <w:rPr>
          <w:rFonts w:cs="Arial"/>
          <w:b/>
          <w:bCs/>
          <w:sz w:val="10"/>
          <w:szCs w:val="22"/>
        </w:rPr>
      </w:pPr>
    </w:p>
    <w:p w:rsidR="00437606" w:rsidRDefault="00437606" w:rsidP="00437606">
      <w:pPr>
        <w:rPr>
          <w:rFonts w:cs="Arial"/>
          <w:sz w:val="22"/>
          <w:szCs w:val="22"/>
        </w:rPr>
      </w:pPr>
      <w:r>
        <w:rPr>
          <w:rFonts w:cs="Arial"/>
          <w:sz w:val="22"/>
          <w:szCs w:val="22"/>
        </w:rPr>
        <w:t>The indicators for measuring this strategic direction correspond to indicators 3.1 and 3.2.  The indicators were measured through a content analysis of selected PAHO/WHO publications and tools from each region.  For the baseline, a sampling frame with a list of all PA</w:t>
      </w:r>
      <w:r w:rsidR="00B00FD4">
        <w:rPr>
          <w:rFonts w:cs="Arial"/>
          <w:sz w:val="22"/>
          <w:szCs w:val="22"/>
        </w:rPr>
        <w:t xml:space="preserve">HO/WHO publications in English </w:t>
      </w:r>
      <w:r>
        <w:rPr>
          <w:rFonts w:cs="Arial"/>
          <w:sz w:val="22"/>
          <w:szCs w:val="22"/>
        </w:rPr>
        <w:t>and Spanish was given to th</w:t>
      </w:r>
      <w:r w:rsidR="00274082">
        <w:rPr>
          <w:rFonts w:cs="Arial"/>
          <w:sz w:val="22"/>
          <w:szCs w:val="22"/>
        </w:rPr>
        <w:t>e consultants.  T</w:t>
      </w:r>
      <w:r w:rsidR="00B00FD4">
        <w:rPr>
          <w:rFonts w:cs="Arial"/>
          <w:sz w:val="22"/>
          <w:szCs w:val="22"/>
        </w:rPr>
        <w:t xml:space="preserve">hen </w:t>
      </w:r>
      <w:r w:rsidR="00274082">
        <w:rPr>
          <w:rFonts w:cs="Arial"/>
          <w:sz w:val="22"/>
          <w:szCs w:val="22"/>
        </w:rPr>
        <w:t xml:space="preserve">a </w:t>
      </w:r>
      <w:r w:rsidR="00B00FD4">
        <w:rPr>
          <w:rFonts w:cs="Arial"/>
          <w:sz w:val="22"/>
          <w:szCs w:val="22"/>
        </w:rPr>
        <w:t>random</w:t>
      </w:r>
      <w:r w:rsidR="00274082">
        <w:rPr>
          <w:rFonts w:cs="Arial"/>
          <w:sz w:val="22"/>
          <w:szCs w:val="22"/>
        </w:rPr>
        <w:t xml:space="preserve"> sample was </w:t>
      </w:r>
      <w:r>
        <w:rPr>
          <w:rFonts w:cs="Arial"/>
          <w:sz w:val="22"/>
          <w:szCs w:val="22"/>
        </w:rPr>
        <w:t>select</w:t>
      </w:r>
      <w:r w:rsidR="00B00FD4">
        <w:rPr>
          <w:rFonts w:cs="Arial"/>
          <w:sz w:val="22"/>
          <w:szCs w:val="22"/>
        </w:rPr>
        <w:t>ed</w:t>
      </w:r>
      <w:r>
        <w:rPr>
          <w:rFonts w:cs="Arial"/>
          <w:sz w:val="22"/>
          <w:szCs w:val="22"/>
        </w:rPr>
        <w:t xml:space="preserve"> from this list that covered four broad categories of types of publications: </w:t>
      </w:r>
    </w:p>
    <w:p w:rsidR="00437606" w:rsidRPr="00433C17" w:rsidRDefault="00437606" w:rsidP="00437606">
      <w:pPr>
        <w:rPr>
          <w:rFonts w:cs="Arial"/>
          <w:sz w:val="12"/>
          <w:szCs w:val="22"/>
        </w:rPr>
      </w:pPr>
    </w:p>
    <w:p w:rsidR="00437606" w:rsidRDefault="00437606" w:rsidP="00437606">
      <w:pPr>
        <w:rPr>
          <w:rFonts w:cs="Arial"/>
          <w:sz w:val="22"/>
          <w:szCs w:val="22"/>
        </w:rPr>
      </w:pPr>
      <w:r>
        <w:rPr>
          <w:rFonts w:cs="Arial"/>
          <w:sz w:val="22"/>
          <w:szCs w:val="22"/>
        </w:rPr>
        <w:t xml:space="preserve">a. Seminal institution wide publications (e.g. World </w:t>
      </w:r>
      <w:r w:rsidR="00274082">
        <w:rPr>
          <w:rFonts w:cs="Arial"/>
          <w:sz w:val="22"/>
          <w:szCs w:val="22"/>
        </w:rPr>
        <w:t xml:space="preserve">or Regional </w:t>
      </w:r>
      <w:r>
        <w:rPr>
          <w:rFonts w:cs="Arial"/>
          <w:sz w:val="22"/>
          <w:szCs w:val="22"/>
        </w:rPr>
        <w:t xml:space="preserve">Health </w:t>
      </w:r>
      <w:r w:rsidR="00274082">
        <w:rPr>
          <w:rFonts w:cs="Arial"/>
          <w:sz w:val="22"/>
          <w:szCs w:val="22"/>
        </w:rPr>
        <w:t>R</w:t>
      </w:r>
      <w:r>
        <w:rPr>
          <w:rFonts w:cs="Arial"/>
          <w:sz w:val="22"/>
          <w:szCs w:val="22"/>
        </w:rPr>
        <w:t>eport</w:t>
      </w:r>
      <w:r w:rsidR="00274082">
        <w:rPr>
          <w:rFonts w:cs="Arial"/>
          <w:sz w:val="22"/>
          <w:szCs w:val="22"/>
        </w:rPr>
        <w:t>)</w:t>
      </w:r>
      <w:r>
        <w:rPr>
          <w:rFonts w:cs="Arial"/>
          <w:sz w:val="22"/>
          <w:szCs w:val="22"/>
        </w:rPr>
        <w:t xml:space="preserve">. </w:t>
      </w:r>
    </w:p>
    <w:p w:rsidR="00437606" w:rsidRDefault="00437606" w:rsidP="00437606">
      <w:pPr>
        <w:rPr>
          <w:rFonts w:cs="Arial"/>
          <w:sz w:val="22"/>
          <w:szCs w:val="22"/>
        </w:rPr>
      </w:pPr>
      <w:r>
        <w:rPr>
          <w:rFonts w:cs="Arial"/>
          <w:sz w:val="22"/>
          <w:szCs w:val="22"/>
        </w:rPr>
        <w:t xml:space="preserve">b. Policy/World </w:t>
      </w:r>
      <w:r w:rsidR="00274082">
        <w:rPr>
          <w:rFonts w:cs="Arial"/>
          <w:sz w:val="22"/>
          <w:szCs w:val="22"/>
        </w:rPr>
        <w:t xml:space="preserve">or Regional Governing Bodies </w:t>
      </w:r>
      <w:r>
        <w:rPr>
          <w:rFonts w:cs="Arial"/>
          <w:sz w:val="22"/>
          <w:szCs w:val="22"/>
        </w:rPr>
        <w:t>document.</w:t>
      </w:r>
    </w:p>
    <w:p w:rsidR="00437606" w:rsidRDefault="00437606" w:rsidP="00437606">
      <w:pPr>
        <w:rPr>
          <w:rFonts w:cs="Arial"/>
          <w:sz w:val="22"/>
          <w:szCs w:val="22"/>
        </w:rPr>
      </w:pPr>
      <w:r>
        <w:rPr>
          <w:rFonts w:cs="Arial"/>
          <w:sz w:val="22"/>
          <w:szCs w:val="22"/>
        </w:rPr>
        <w:t xml:space="preserve">c. Evidence type </w:t>
      </w:r>
      <w:r w:rsidR="00274082">
        <w:rPr>
          <w:rFonts w:cs="Arial"/>
          <w:sz w:val="22"/>
          <w:szCs w:val="22"/>
        </w:rPr>
        <w:t xml:space="preserve">(research) </w:t>
      </w:r>
      <w:r>
        <w:rPr>
          <w:rFonts w:cs="Arial"/>
          <w:sz w:val="22"/>
          <w:szCs w:val="22"/>
        </w:rPr>
        <w:t>publication</w:t>
      </w:r>
    </w:p>
    <w:p w:rsidR="00437606" w:rsidRDefault="00437606" w:rsidP="00437606">
      <w:pPr>
        <w:rPr>
          <w:rFonts w:cs="Arial"/>
          <w:sz w:val="22"/>
          <w:szCs w:val="22"/>
        </w:rPr>
      </w:pPr>
      <w:r>
        <w:rPr>
          <w:rFonts w:cs="Arial"/>
          <w:sz w:val="22"/>
          <w:szCs w:val="22"/>
        </w:rPr>
        <w:t>d. Tools/normative guidelines</w:t>
      </w:r>
    </w:p>
    <w:p w:rsidR="00437606" w:rsidRDefault="00437606" w:rsidP="00437606">
      <w:pPr>
        <w:rPr>
          <w:rFonts w:cs="Arial"/>
          <w:sz w:val="22"/>
          <w:szCs w:val="22"/>
        </w:rPr>
      </w:pPr>
    </w:p>
    <w:p w:rsidR="00437606" w:rsidRDefault="00437606" w:rsidP="00437606">
      <w:pPr>
        <w:rPr>
          <w:rFonts w:cs="Arial"/>
          <w:sz w:val="22"/>
          <w:szCs w:val="22"/>
        </w:rPr>
      </w:pPr>
      <w:r>
        <w:rPr>
          <w:rFonts w:cs="Arial"/>
          <w:sz w:val="22"/>
          <w:szCs w:val="22"/>
        </w:rPr>
        <w:t xml:space="preserve">In each region including headquarters, the consultants selected one document from each of the four categories for a total of 4 </w:t>
      </w:r>
      <w:r w:rsidR="00274082">
        <w:rPr>
          <w:rFonts w:cs="Arial"/>
          <w:sz w:val="22"/>
          <w:szCs w:val="22"/>
        </w:rPr>
        <w:t xml:space="preserve">publications </w:t>
      </w:r>
      <w:r>
        <w:rPr>
          <w:rFonts w:cs="Arial"/>
          <w:sz w:val="22"/>
          <w:szCs w:val="22"/>
        </w:rPr>
        <w:t>per region for review.  Furthermore, each document also reflected a different health topic or disease category in order to ensure as diverse a set of publications as possible. The consultants selected the publications, which were made available to them as pdf or doc formats and conducted a content review as per criteria developed for this purpose (see annex 5 for the analysis tool)</w:t>
      </w:r>
    </w:p>
    <w:p w:rsidR="00437606" w:rsidRDefault="00437606" w:rsidP="00437606">
      <w:pPr>
        <w:rPr>
          <w:rFonts w:cs="Arial"/>
          <w:bCs/>
          <w:sz w:val="22"/>
          <w:szCs w:val="22"/>
        </w:rPr>
      </w:pPr>
    </w:p>
    <w:p w:rsidR="00D2342B" w:rsidRDefault="00D2342B" w:rsidP="00437606">
      <w:pPr>
        <w:pStyle w:val="BodyText2"/>
        <w:rPr>
          <w:rFonts w:ascii="Arial" w:hAnsi="Arial" w:cs="Arial"/>
          <w:b/>
          <w:bCs/>
          <w:i w:val="0"/>
          <w:sz w:val="22"/>
          <w:szCs w:val="22"/>
        </w:rPr>
      </w:pPr>
      <w:r>
        <w:rPr>
          <w:rFonts w:ascii="Arial" w:hAnsi="Arial" w:cs="Arial"/>
          <w:b/>
          <w:bCs/>
          <w:i w:val="0"/>
          <w:sz w:val="22"/>
          <w:szCs w:val="22"/>
        </w:rPr>
        <w:t xml:space="preserve">   </w:t>
      </w:r>
      <w:r w:rsidR="00437606">
        <w:rPr>
          <w:rFonts w:ascii="Arial" w:hAnsi="Arial" w:cs="Arial"/>
          <w:b/>
          <w:bCs/>
          <w:i w:val="0"/>
          <w:sz w:val="22"/>
          <w:szCs w:val="22"/>
        </w:rPr>
        <w:t xml:space="preserve">2.6. Establishing accountability: reflection of commitment to gender in senior </w:t>
      </w:r>
    </w:p>
    <w:p w:rsidR="00437606" w:rsidRDefault="00D2342B" w:rsidP="00437606">
      <w:pPr>
        <w:pStyle w:val="BodyText2"/>
        <w:rPr>
          <w:rFonts w:ascii="Arial" w:hAnsi="Arial" w:cs="Arial"/>
          <w:b/>
          <w:bCs/>
          <w:i w:val="0"/>
          <w:sz w:val="22"/>
          <w:szCs w:val="22"/>
        </w:rPr>
      </w:pPr>
      <w:r>
        <w:rPr>
          <w:rFonts w:ascii="Arial" w:hAnsi="Arial" w:cs="Arial"/>
          <w:b/>
          <w:bCs/>
          <w:i w:val="0"/>
          <w:sz w:val="22"/>
          <w:szCs w:val="22"/>
        </w:rPr>
        <w:t xml:space="preserve">   </w:t>
      </w:r>
      <w:r w:rsidR="00437606">
        <w:rPr>
          <w:rFonts w:ascii="Arial" w:hAnsi="Arial" w:cs="Arial"/>
          <w:b/>
          <w:bCs/>
          <w:i w:val="0"/>
          <w:sz w:val="22"/>
          <w:szCs w:val="22"/>
        </w:rPr>
        <w:t>management speeches (SD4).</w:t>
      </w:r>
    </w:p>
    <w:p w:rsidR="00437606" w:rsidRDefault="00437606" w:rsidP="00437606">
      <w:pPr>
        <w:rPr>
          <w:rFonts w:cs="Arial"/>
          <w:bCs/>
          <w:sz w:val="22"/>
          <w:szCs w:val="22"/>
        </w:rPr>
      </w:pPr>
    </w:p>
    <w:p w:rsidR="00442428" w:rsidRDefault="00437606" w:rsidP="00442428">
      <w:pPr>
        <w:rPr>
          <w:rFonts w:cs="Arial"/>
          <w:bCs/>
          <w:sz w:val="22"/>
          <w:szCs w:val="22"/>
        </w:rPr>
      </w:pPr>
      <w:r>
        <w:rPr>
          <w:rFonts w:cs="Arial"/>
          <w:bCs/>
          <w:sz w:val="22"/>
          <w:szCs w:val="22"/>
        </w:rPr>
        <w:t>To measure senior management accountability</w:t>
      </w:r>
      <w:r w:rsidR="00442428">
        <w:rPr>
          <w:rFonts w:cs="Arial"/>
          <w:bCs/>
          <w:sz w:val="22"/>
          <w:szCs w:val="22"/>
        </w:rPr>
        <w:t xml:space="preserve">, indicator 4.1 </w:t>
      </w:r>
      <w:r>
        <w:rPr>
          <w:rFonts w:cs="Arial"/>
          <w:bCs/>
          <w:sz w:val="22"/>
          <w:szCs w:val="22"/>
        </w:rPr>
        <w:t>was developed and measured through a content analysis of senior management speeches. While there are several other ways to measure senior management accountability to gender equality, none of the other measures were found to be feasible to measure at the time of the baseline assessment.</w:t>
      </w:r>
      <w:r>
        <w:rPr>
          <w:rStyle w:val="FootnoteReference"/>
          <w:rFonts w:cs="Arial"/>
          <w:bCs/>
          <w:sz w:val="22"/>
          <w:szCs w:val="22"/>
        </w:rPr>
        <w:footnoteReference w:id="4"/>
      </w:r>
      <w:r>
        <w:rPr>
          <w:rFonts w:cs="Arial"/>
          <w:bCs/>
          <w:sz w:val="22"/>
          <w:szCs w:val="22"/>
        </w:rPr>
        <w:t xml:space="preserve">  The most feasible way of measuring this was considered to be through a content review of speeches </w:t>
      </w:r>
      <w:r w:rsidR="00442428">
        <w:rPr>
          <w:rFonts w:cs="Arial"/>
          <w:bCs/>
          <w:sz w:val="22"/>
          <w:szCs w:val="22"/>
        </w:rPr>
        <w:t xml:space="preserve">and presentations </w:t>
      </w:r>
      <w:r>
        <w:rPr>
          <w:rFonts w:cs="Arial"/>
          <w:bCs/>
          <w:sz w:val="22"/>
          <w:szCs w:val="22"/>
        </w:rPr>
        <w:t>of the Director General and the Regional Directors that were made in 2007.  The sampling frame consisted of all speeches made by the</w:t>
      </w:r>
      <w:r w:rsidR="00442428">
        <w:rPr>
          <w:rFonts w:cs="Arial"/>
          <w:bCs/>
          <w:sz w:val="22"/>
          <w:szCs w:val="22"/>
        </w:rPr>
        <w:t>se</w:t>
      </w:r>
      <w:r>
        <w:rPr>
          <w:rFonts w:cs="Arial"/>
          <w:bCs/>
          <w:sz w:val="22"/>
          <w:szCs w:val="22"/>
        </w:rPr>
        <w:t xml:space="preserve"> Director</w:t>
      </w:r>
      <w:r w:rsidR="00442428">
        <w:rPr>
          <w:rFonts w:cs="Arial"/>
          <w:bCs/>
          <w:sz w:val="22"/>
          <w:szCs w:val="22"/>
        </w:rPr>
        <w:t xml:space="preserve">s </w:t>
      </w:r>
      <w:r>
        <w:rPr>
          <w:rFonts w:cs="Arial"/>
          <w:bCs/>
          <w:sz w:val="22"/>
          <w:szCs w:val="22"/>
        </w:rPr>
        <w:t xml:space="preserve">in 2007.  The consultants randomly selected four to </w:t>
      </w:r>
      <w:r w:rsidR="00442428">
        <w:rPr>
          <w:rFonts w:cs="Arial"/>
          <w:bCs/>
          <w:sz w:val="22"/>
          <w:szCs w:val="22"/>
        </w:rPr>
        <w:t>nine</w:t>
      </w:r>
      <w:r>
        <w:rPr>
          <w:rFonts w:cs="Arial"/>
          <w:bCs/>
          <w:sz w:val="22"/>
          <w:szCs w:val="22"/>
        </w:rPr>
        <w:t xml:space="preserve"> speeches from this list and conducted a review according to a set of criteria developed for the analysis (see annex 6 for the analysis tool). </w:t>
      </w:r>
      <w:r w:rsidR="00442428">
        <w:rPr>
          <w:rFonts w:cs="Arial"/>
          <w:bCs/>
          <w:sz w:val="22"/>
          <w:szCs w:val="22"/>
        </w:rPr>
        <w:t>In PAHO, f</w:t>
      </w:r>
      <w:r w:rsidR="00442428">
        <w:rPr>
          <w:rFonts w:cs="Arial"/>
          <w:sz w:val="22"/>
          <w:szCs w:val="22"/>
        </w:rPr>
        <w:t xml:space="preserve">our (4) </w:t>
      </w:r>
      <w:r w:rsidR="00442428">
        <w:rPr>
          <w:rFonts w:cs="Arial"/>
          <w:color w:val="000000"/>
          <w:sz w:val="22"/>
          <w:szCs w:val="22"/>
        </w:rPr>
        <w:t xml:space="preserve">speeches and five (5) power-point presentations given by the PAHO Director, Dr. Mirta Roses Periago, were included in the sample. All were posted on the Director’s Corner Internet site </w:t>
      </w:r>
      <w:hyperlink r:id="rId11" w:history="1">
        <w:r w:rsidR="00442428">
          <w:rPr>
            <w:rStyle w:val="Hyperlink"/>
            <w:rFonts w:cs="Arial"/>
            <w:color w:val="1F497D"/>
            <w:sz w:val="22"/>
            <w:szCs w:val="22"/>
          </w:rPr>
          <w:t>www.paho.org/English/D/director_paho.htm</w:t>
        </w:r>
      </w:hyperlink>
      <w:r w:rsidR="00442428">
        <w:rPr>
          <w:rFonts w:cs="Arial"/>
          <w:color w:val="000000"/>
          <w:sz w:val="22"/>
          <w:szCs w:val="22"/>
        </w:rPr>
        <w:t xml:space="preserve"> under the</w:t>
      </w:r>
      <w:r w:rsidR="00442428">
        <w:rPr>
          <w:rFonts w:cs="Arial"/>
          <w:sz w:val="22"/>
          <w:szCs w:val="22"/>
        </w:rPr>
        <w:t xml:space="preserve"> headings of “events”, “speeches” and “presentations”.  Considering that the 2007 available speeches/ presentations were few and short, the decision was to include all rather than some of them. </w:t>
      </w:r>
      <w:r w:rsidR="00442428">
        <w:rPr>
          <w:rFonts w:cs="Arial"/>
          <w:bCs/>
          <w:sz w:val="22"/>
          <w:szCs w:val="22"/>
        </w:rPr>
        <w:t xml:space="preserve">The only criteria for exclusion referred to speeches made specifically on gender or women's issues, e.g. the speech on International Women's Day. </w:t>
      </w:r>
    </w:p>
    <w:p w:rsidR="00437606" w:rsidRDefault="00437606" w:rsidP="00437606">
      <w:pPr>
        <w:rPr>
          <w:rFonts w:cs="Arial"/>
          <w:bCs/>
          <w:sz w:val="22"/>
          <w:szCs w:val="22"/>
        </w:rPr>
      </w:pPr>
    </w:p>
    <w:p w:rsidR="00437606" w:rsidRDefault="00437606" w:rsidP="00581596">
      <w:pPr>
        <w:numPr>
          <w:ilvl w:val="0"/>
          <w:numId w:val="39"/>
        </w:numPr>
        <w:suppressAutoHyphens/>
        <w:rPr>
          <w:rFonts w:cs="Arial"/>
          <w:b/>
          <w:sz w:val="24"/>
          <w:szCs w:val="22"/>
        </w:rPr>
      </w:pPr>
      <w:r>
        <w:rPr>
          <w:rFonts w:cs="Arial"/>
          <w:b/>
          <w:sz w:val="24"/>
          <w:szCs w:val="22"/>
        </w:rPr>
        <w:t xml:space="preserve">  Ethical considerations</w:t>
      </w:r>
    </w:p>
    <w:p w:rsidR="00437606" w:rsidRDefault="00437606" w:rsidP="00437606">
      <w:pPr>
        <w:rPr>
          <w:rFonts w:cs="Arial"/>
          <w:bCs/>
          <w:sz w:val="22"/>
          <w:szCs w:val="22"/>
        </w:rPr>
      </w:pPr>
    </w:p>
    <w:p w:rsidR="00437606" w:rsidRDefault="00437606" w:rsidP="00437606">
      <w:pPr>
        <w:rPr>
          <w:rFonts w:cs="Arial"/>
          <w:bCs/>
          <w:sz w:val="22"/>
          <w:szCs w:val="22"/>
        </w:rPr>
      </w:pPr>
      <w:r>
        <w:rPr>
          <w:rFonts w:cs="Arial"/>
          <w:bCs/>
          <w:sz w:val="22"/>
          <w:szCs w:val="22"/>
        </w:rPr>
        <w:t xml:space="preserve">For the online survey, the link was made available on the WHO intranet website, which can be accessed by all WHO staff from a WHO computer anywhere in the world without having to log in.  This protected their usernames or any way of identification when they accessed the online survey form and submitted their responses.  </w:t>
      </w:r>
    </w:p>
    <w:p w:rsidR="00437606" w:rsidRDefault="00437606" w:rsidP="00437606">
      <w:pPr>
        <w:rPr>
          <w:rFonts w:cs="Arial"/>
          <w:bCs/>
          <w:sz w:val="22"/>
          <w:szCs w:val="22"/>
        </w:rPr>
      </w:pPr>
    </w:p>
    <w:p w:rsidR="00437606" w:rsidRDefault="00437606" w:rsidP="00437606">
      <w:pPr>
        <w:rPr>
          <w:rFonts w:cs="Arial"/>
          <w:bCs/>
          <w:sz w:val="22"/>
          <w:szCs w:val="22"/>
        </w:rPr>
      </w:pPr>
      <w:r>
        <w:rPr>
          <w:rFonts w:cs="Arial"/>
          <w:bCs/>
          <w:sz w:val="22"/>
          <w:szCs w:val="22"/>
        </w:rPr>
        <w:t xml:space="preserve">For the planning officer’s interview, the interviews were conducted by consultants face-to-face privately in the office of the respondent with no other person present or separately or over the phone again from a place where the interview could not be overheard by anyone else.  Once again no names were recorded in the database.  Access to the database for both interviews was only made available to the administrator of the project and the consultants who were conducting the baseline assessment.  </w:t>
      </w:r>
    </w:p>
    <w:p w:rsidR="00437606" w:rsidRDefault="00437606" w:rsidP="00437606">
      <w:pPr>
        <w:rPr>
          <w:rFonts w:cs="Arial"/>
          <w:bCs/>
          <w:sz w:val="22"/>
          <w:szCs w:val="22"/>
        </w:rPr>
      </w:pPr>
    </w:p>
    <w:p w:rsidR="00437606" w:rsidRDefault="00437606" w:rsidP="00437606">
      <w:pPr>
        <w:rPr>
          <w:rFonts w:cs="Arial"/>
          <w:bCs/>
          <w:sz w:val="22"/>
          <w:szCs w:val="22"/>
        </w:rPr>
      </w:pPr>
      <w:r>
        <w:rPr>
          <w:rFonts w:cs="Arial"/>
          <w:bCs/>
          <w:sz w:val="22"/>
          <w:szCs w:val="22"/>
        </w:rPr>
        <w:t xml:space="preserve">The consultants were provided with information on WHO’s harassment policy in case any such reports were made to them during the course of the interviews.  When reports were made and the consultants were advised to provide information about PAHO/WHO’s harassment policy and actions the person could take to report it.  The identities of the persons who reported such incidents were kept confidential.  The content review of documents was based on published documents and publicly made available speeches.  </w:t>
      </w:r>
    </w:p>
    <w:p w:rsidR="00437606" w:rsidRDefault="00437606" w:rsidP="00437606">
      <w:pPr>
        <w:rPr>
          <w:rFonts w:cs="Arial"/>
          <w:bCs/>
          <w:sz w:val="22"/>
          <w:szCs w:val="22"/>
        </w:rPr>
      </w:pPr>
    </w:p>
    <w:p w:rsidR="00437606" w:rsidRDefault="00437606" w:rsidP="00437606">
      <w:pPr>
        <w:rPr>
          <w:rFonts w:cs="Arial"/>
          <w:bCs/>
          <w:sz w:val="22"/>
          <w:szCs w:val="22"/>
        </w:rPr>
      </w:pPr>
      <w:r>
        <w:rPr>
          <w:rFonts w:cs="Arial"/>
          <w:bCs/>
          <w:sz w:val="22"/>
          <w:szCs w:val="22"/>
        </w:rPr>
        <w:t xml:space="preserve">All respondents to the survey and in-person interviews were provided clear information about the baseline assessment, its purpose, the use of the data and how it would be reported.  Senior management in all departments, units, divisions in all regions were sent memos about the baseline assessment and asked to inform their staff about the assessment.  They were advised that they or their staff would be asked to participate in the baseline assessment as respondents through a random selection process.  </w:t>
      </w:r>
    </w:p>
    <w:p w:rsidR="00437606" w:rsidRDefault="00437606" w:rsidP="00437606">
      <w:pPr>
        <w:rPr>
          <w:rFonts w:cs="Arial"/>
          <w:bCs/>
          <w:sz w:val="22"/>
          <w:szCs w:val="22"/>
        </w:rPr>
      </w:pPr>
    </w:p>
    <w:p w:rsidR="00437606" w:rsidRDefault="00437606" w:rsidP="00581596">
      <w:pPr>
        <w:numPr>
          <w:ilvl w:val="0"/>
          <w:numId w:val="39"/>
        </w:numPr>
        <w:rPr>
          <w:rFonts w:cs="Arial"/>
          <w:b/>
          <w:bCs/>
          <w:sz w:val="22"/>
          <w:szCs w:val="22"/>
        </w:rPr>
      </w:pPr>
      <w:r>
        <w:rPr>
          <w:rFonts w:cs="Arial"/>
          <w:b/>
          <w:bCs/>
          <w:sz w:val="24"/>
          <w:szCs w:val="22"/>
        </w:rPr>
        <w:t xml:space="preserve"> Methodological limitations </w:t>
      </w:r>
    </w:p>
    <w:p w:rsidR="00437606" w:rsidRDefault="00437606" w:rsidP="00437606">
      <w:pPr>
        <w:rPr>
          <w:rFonts w:cs="Arial"/>
          <w:bCs/>
          <w:sz w:val="22"/>
          <w:szCs w:val="22"/>
        </w:rPr>
      </w:pPr>
    </w:p>
    <w:p w:rsidR="00437606" w:rsidRDefault="00437606" w:rsidP="00437606">
      <w:pPr>
        <w:rPr>
          <w:rFonts w:cs="Arial"/>
          <w:sz w:val="22"/>
          <w:szCs w:val="22"/>
        </w:rPr>
      </w:pPr>
      <w:r>
        <w:rPr>
          <w:rFonts w:cs="Arial"/>
          <w:sz w:val="22"/>
          <w:szCs w:val="22"/>
        </w:rPr>
        <w:t xml:space="preserve">Several limitations emerged in developing the methodology for the baseline assessment.  These methodological limitations constrain the ability to measure integration of gender in PAHO/WHO in several ways.  Some of these limitations can potentially be addressed with methodological adjustments in the assessments to be conducted for mid-term review and final evaluations.  However, other limitations will stay </w:t>
      </w:r>
    </w:p>
    <w:p w:rsidR="00437606" w:rsidRDefault="00437606" w:rsidP="00437606">
      <w:pPr>
        <w:ind w:right="-360"/>
        <w:rPr>
          <w:rFonts w:cs="Arial"/>
          <w:sz w:val="22"/>
          <w:szCs w:val="22"/>
        </w:rPr>
      </w:pPr>
    </w:p>
    <w:p w:rsidR="00437606" w:rsidRDefault="00437606" w:rsidP="00581596">
      <w:pPr>
        <w:numPr>
          <w:ilvl w:val="0"/>
          <w:numId w:val="42"/>
        </w:numPr>
        <w:suppressAutoHyphens/>
        <w:ind w:left="0" w:firstLine="0"/>
        <w:rPr>
          <w:rFonts w:cs="Arial"/>
          <w:bCs/>
          <w:sz w:val="22"/>
          <w:szCs w:val="22"/>
        </w:rPr>
      </w:pPr>
      <w:r>
        <w:rPr>
          <w:rFonts w:cs="Arial"/>
          <w:bCs/>
          <w:sz w:val="22"/>
          <w:szCs w:val="22"/>
        </w:rPr>
        <w:t>The questions in the all staff survey on gender knowledge and application (SD1) were not tailored to adequately measure G staff’s knowledge and participation in gender integration. During the process of developing the questionnaire itself, G staff was not systematically involved.  This has likely affected the participation of the G staff.</w:t>
      </w:r>
    </w:p>
    <w:p w:rsidR="00437606" w:rsidRDefault="00437606" w:rsidP="00437606">
      <w:pPr>
        <w:rPr>
          <w:rFonts w:cs="Arial"/>
          <w:bCs/>
          <w:sz w:val="22"/>
          <w:szCs w:val="22"/>
        </w:rPr>
      </w:pPr>
    </w:p>
    <w:p w:rsidR="00437606" w:rsidRDefault="00274082" w:rsidP="00581596">
      <w:pPr>
        <w:numPr>
          <w:ilvl w:val="0"/>
          <w:numId w:val="43"/>
        </w:numPr>
        <w:suppressAutoHyphens/>
        <w:ind w:left="0" w:firstLine="0"/>
        <w:rPr>
          <w:rFonts w:cs="Arial"/>
          <w:sz w:val="22"/>
          <w:szCs w:val="22"/>
        </w:rPr>
      </w:pPr>
      <w:r>
        <w:rPr>
          <w:rFonts w:cs="Arial"/>
          <w:sz w:val="22"/>
          <w:szCs w:val="22"/>
        </w:rPr>
        <w:t xml:space="preserve">  </w:t>
      </w:r>
      <w:r w:rsidR="00437606">
        <w:rPr>
          <w:rFonts w:cs="Arial"/>
          <w:sz w:val="22"/>
          <w:szCs w:val="22"/>
        </w:rPr>
        <w:t>A key area of measurement related to integration of gender in PAHO/WHO management in terms of operational planning could not be measured at the time of the baseline assessment.  This measure captures the extent to which gender is integrated as an outcome of the operational planning process in PAHO/WHO OSERS</w:t>
      </w:r>
      <w:r w:rsidR="00437606">
        <w:rPr>
          <w:rStyle w:val="FootnoteReference"/>
          <w:rFonts w:cs="Arial"/>
          <w:sz w:val="22"/>
          <w:szCs w:val="22"/>
        </w:rPr>
        <w:footnoteReference w:id="5"/>
      </w:r>
      <w:r w:rsidR="00437606">
        <w:rPr>
          <w:rFonts w:cs="Arial"/>
          <w:sz w:val="22"/>
          <w:szCs w:val="22"/>
        </w:rPr>
        <w:t xml:space="preserve"> and Products</w:t>
      </w:r>
      <w:r w:rsidR="00437606">
        <w:rPr>
          <w:rStyle w:val="FootnoteReference"/>
          <w:rFonts w:cs="Arial"/>
          <w:sz w:val="22"/>
          <w:szCs w:val="22"/>
        </w:rPr>
        <w:footnoteReference w:id="6"/>
      </w:r>
      <w:r w:rsidR="00437606">
        <w:rPr>
          <w:rFonts w:cs="Arial"/>
          <w:sz w:val="22"/>
          <w:szCs w:val="22"/>
        </w:rPr>
        <w:t>, which form the concrete operational planning outcomes on the basis of which PAHO/WHO conducts its work.  At the time of the baseline WHO was transitioning from an old administrative system to a new oracle-based system.  In the old system, the list of WHO OSERS and Products was not consolidated, was available only as short statements, and there were far too many (90,000 Products) to do a content review to assess gender integration.  In the new system, it is envisaged that this list will be consolidated and available across headquarters and regions, and also include a classification code of OSERS and Products that address gender in order to easily enumerate the percentage of total OSERS and Products that address gender.  Therefore, it is expected that for the mid-term and final evaluation, it will be possible to collect this information and measure integration of gender in the outcomes of the operational planning process.</w:t>
      </w:r>
    </w:p>
    <w:p w:rsidR="00437606" w:rsidRDefault="00437606" w:rsidP="00437606">
      <w:pPr>
        <w:rPr>
          <w:rFonts w:cs="Arial"/>
          <w:sz w:val="22"/>
          <w:szCs w:val="22"/>
        </w:rPr>
      </w:pPr>
    </w:p>
    <w:p w:rsidR="00437606" w:rsidRDefault="00437606" w:rsidP="00581596">
      <w:pPr>
        <w:numPr>
          <w:ilvl w:val="0"/>
          <w:numId w:val="43"/>
        </w:numPr>
        <w:suppressAutoHyphens/>
        <w:ind w:left="0" w:firstLine="0"/>
        <w:rPr>
          <w:rFonts w:cs="Arial"/>
          <w:sz w:val="22"/>
          <w:szCs w:val="22"/>
        </w:rPr>
      </w:pPr>
      <w:r>
        <w:rPr>
          <w:rFonts w:cs="Arial"/>
          <w:sz w:val="22"/>
          <w:szCs w:val="22"/>
        </w:rPr>
        <w:t xml:space="preserve">    Another key area of measurement that remains weak in terms of its indicators is the one to establish senior management accountability.  The selected indicator is reflection of gender in senior management speeches and only holds the very top level of senior management (i.e. DG and RDs) accountable through speeches, but there is no measure to hold the next few layers of senior management such as Assistant Director Generals, Directors, Coordinators, and Deputies to the Regional Directors accountable.  Furthermore, a reflection of gender in speeches also does not capture the extent to which verbal commitment is translated into action in terms of greater devotion of resources and actual institutional outputs.  Alternative areas of measurement including whether gender was reflected in the Terms of Reference and the Performance Management Evaluation and Development (PMDS) of the individual senior management as well as all PAHO/WHO staff, and measures related to allocation of budgets to work on gender were also considered (please see annex 7 for a detailed list of additional measures).  However, because the PMDS is a confidential document between the staff member and his or her supervisor and not accessible, it was not feasible to measure accountability to gender through the PMDS.  There are ongoing efforts to identify other feasible ways of establishing senior management accountability.</w:t>
      </w:r>
    </w:p>
    <w:p w:rsidR="00437606" w:rsidRDefault="00437606" w:rsidP="00437606">
      <w:pPr>
        <w:rPr>
          <w:rFonts w:cs="Arial"/>
          <w:sz w:val="22"/>
          <w:szCs w:val="22"/>
        </w:rPr>
      </w:pPr>
    </w:p>
    <w:p w:rsidR="00437606" w:rsidRDefault="00437606" w:rsidP="00581596">
      <w:pPr>
        <w:numPr>
          <w:ilvl w:val="0"/>
          <w:numId w:val="43"/>
        </w:numPr>
        <w:suppressAutoHyphens/>
        <w:ind w:left="0" w:firstLine="0"/>
        <w:rPr>
          <w:rFonts w:cs="Arial"/>
          <w:sz w:val="22"/>
          <w:szCs w:val="22"/>
        </w:rPr>
      </w:pPr>
      <w:r>
        <w:rPr>
          <w:rFonts w:cs="Arial"/>
          <w:iCs/>
          <w:sz w:val="22"/>
          <w:szCs w:val="22"/>
        </w:rPr>
        <w:t xml:space="preserve">    In examining the data on sex parity obtained from headquarters, it was noted that disaggregated data for staff by sex, grade and grade level is only available for long-term staff and not for temporary appointments.  The lack of availability </w:t>
      </w:r>
      <w:r w:rsidR="00274082">
        <w:rPr>
          <w:rFonts w:cs="Arial"/>
          <w:iCs/>
          <w:sz w:val="22"/>
          <w:szCs w:val="22"/>
        </w:rPr>
        <w:t xml:space="preserve">of </w:t>
      </w:r>
      <w:r>
        <w:rPr>
          <w:rFonts w:cs="Arial"/>
          <w:iCs/>
          <w:sz w:val="22"/>
          <w:szCs w:val="22"/>
        </w:rPr>
        <w:t xml:space="preserve">sex parity data for temporary appointments limits the conclusions that can be drawn about the overall sex parity in the organization.  In addition, in PAHO, there is a number of staff that is not funded by WHO sources, but through contributions to PAHO directly from its Member States.  This situation is unique to PAHO, and that staff is not included in the data available through the headquarters HR report.  </w:t>
      </w:r>
    </w:p>
    <w:p w:rsidR="00437606" w:rsidRDefault="00437606" w:rsidP="00437606">
      <w:pPr>
        <w:rPr>
          <w:rFonts w:cs="Arial"/>
          <w:sz w:val="22"/>
          <w:szCs w:val="22"/>
        </w:rPr>
      </w:pPr>
    </w:p>
    <w:p w:rsidR="00383369" w:rsidRDefault="00437606" w:rsidP="00581596">
      <w:pPr>
        <w:numPr>
          <w:ilvl w:val="0"/>
          <w:numId w:val="43"/>
        </w:numPr>
        <w:suppressAutoHyphens/>
        <w:ind w:left="0" w:firstLine="0"/>
        <w:rPr>
          <w:rFonts w:cs="Arial"/>
          <w:sz w:val="22"/>
          <w:szCs w:val="22"/>
        </w:rPr>
      </w:pPr>
      <w:r>
        <w:rPr>
          <w:rFonts w:cs="Arial"/>
          <w:sz w:val="22"/>
          <w:szCs w:val="22"/>
        </w:rPr>
        <w:t xml:space="preserve">    Data collection method selected for assessing staff capacity – all staff online survey sent via email is limited by the low response rate expected from such email surveys which are completed on a voluntary basis.  Typically surveys sent via email tend to receive around 20% response rate and also have selection bias. </w:t>
      </w:r>
    </w:p>
    <w:p w:rsidR="00383369" w:rsidRDefault="00383369" w:rsidP="00383369">
      <w:pPr>
        <w:pStyle w:val="ListParagraph"/>
        <w:rPr>
          <w:rFonts w:cs="Arial"/>
          <w:sz w:val="22"/>
          <w:szCs w:val="22"/>
        </w:rPr>
      </w:pPr>
    </w:p>
    <w:p w:rsidR="00437606" w:rsidRPr="00383369" w:rsidRDefault="00437606" w:rsidP="00581596">
      <w:pPr>
        <w:numPr>
          <w:ilvl w:val="0"/>
          <w:numId w:val="43"/>
        </w:numPr>
        <w:suppressAutoHyphens/>
        <w:ind w:left="0" w:firstLine="0"/>
        <w:rPr>
          <w:rFonts w:cs="Arial"/>
          <w:sz w:val="22"/>
          <w:szCs w:val="22"/>
        </w:rPr>
      </w:pPr>
      <w:r w:rsidRPr="00383369">
        <w:rPr>
          <w:rFonts w:cs="Arial"/>
          <w:sz w:val="22"/>
          <w:szCs w:val="22"/>
        </w:rPr>
        <w:t>Due to financial, administrative and other logistical constraints, delays and the labour/time intensive nature of the data collection metho</w:t>
      </w:r>
      <w:r w:rsidR="00274082">
        <w:rPr>
          <w:rFonts w:cs="Arial"/>
          <w:sz w:val="22"/>
          <w:szCs w:val="22"/>
        </w:rPr>
        <w:t>ds, there was a time constraint</w:t>
      </w:r>
      <w:r w:rsidRPr="00383369">
        <w:rPr>
          <w:rFonts w:cs="Arial"/>
          <w:sz w:val="22"/>
          <w:szCs w:val="22"/>
        </w:rPr>
        <w:t xml:space="preserve"> in terms of number of days that could be allocated for data collection.  This limited the sample size for several of the data collection methods including planning focal point interviews, content analysis of PAHO/WHO documents, number of countries that were included in the interviews and document review.</w:t>
      </w:r>
      <w:r w:rsidRPr="00383369">
        <w:rPr>
          <w:rFonts w:ascii="Times New Roman" w:hAnsi="Times New Roman"/>
          <w:sz w:val="24"/>
          <w:lang w:val="en-US"/>
        </w:rPr>
        <w:t xml:space="preserve"> </w:t>
      </w:r>
    </w:p>
    <w:p w:rsidR="009571FA" w:rsidRDefault="009571FA" w:rsidP="00310A64">
      <w:pPr>
        <w:tabs>
          <w:tab w:val="left" w:pos="180"/>
        </w:tabs>
        <w:rPr>
          <w:rFonts w:cs="Arial"/>
          <w:b/>
          <w:bCs/>
          <w:sz w:val="28"/>
          <w:szCs w:val="22"/>
        </w:rPr>
      </w:pPr>
      <w:r>
        <w:rPr>
          <w:rFonts w:cs="Arial"/>
          <w:b/>
          <w:sz w:val="24"/>
          <w:szCs w:val="22"/>
        </w:rPr>
        <w:br w:type="page"/>
      </w:r>
      <w:r w:rsidRPr="00C53FE1">
        <w:rPr>
          <w:rFonts w:cs="Arial"/>
          <w:b/>
          <w:bCs/>
          <w:sz w:val="24"/>
          <w:szCs w:val="22"/>
        </w:rPr>
        <w:t>III. FINDINGS OF THE BASELINE ASSESSMENT</w:t>
      </w:r>
    </w:p>
    <w:p w:rsidR="009571FA" w:rsidRPr="00E10757" w:rsidRDefault="009571FA" w:rsidP="00310A64">
      <w:pPr>
        <w:tabs>
          <w:tab w:val="left" w:pos="180"/>
        </w:tabs>
        <w:rPr>
          <w:rFonts w:cs="Arial"/>
          <w:b/>
          <w:bCs/>
          <w:sz w:val="22"/>
          <w:szCs w:val="22"/>
        </w:rPr>
      </w:pPr>
    </w:p>
    <w:p w:rsidR="009571FA" w:rsidRPr="00196DCF" w:rsidRDefault="009571FA" w:rsidP="00310A64">
      <w:pPr>
        <w:tabs>
          <w:tab w:val="left" w:pos="180"/>
        </w:tabs>
        <w:rPr>
          <w:rFonts w:cs="Arial"/>
          <w:bCs/>
          <w:sz w:val="22"/>
          <w:szCs w:val="22"/>
        </w:rPr>
      </w:pPr>
      <w:r w:rsidRPr="00196DCF">
        <w:rPr>
          <w:rFonts w:cs="Arial"/>
          <w:bCs/>
          <w:sz w:val="22"/>
          <w:szCs w:val="22"/>
        </w:rPr>
        <w:t>The presentation of the</w:t>
      </w:r>
      <w:r>
        <w:rPr>
          <w:rFonts w:cs="Arial"/>
          <w:bCs/>
          <w:sz w:val="22"/>
          <w:szCs w:val="22"/>
        </w:rPr>
        <w:t xml:space="preserve"> baseline results </w:t>
      </w:r>
      <w:r w:rsidR="00274082">
        <w:rPr>
          <w:rFonts w:cs="Arial"/>
          <w:bCs/>
          <w:sz w:val="22"/>
          <w:szCs w:val="22"/>
        </w:rPr>
        <w:t>is</w:t>
      </w:r>
      <w:r w:rsidRPr="00196DCF">
        <w:rPr>
          <w:rFonts w:cs="Arial"/>
          <w:bCs/>
          <w:sz w:val="22"/>
          <w:szCs w:val="22"/>
        </w:rPr>
        <w:t xml:space="preserve"> organized around the four WHO Strategic Directions </w:t>
      </w:r>
      <w:r>
        <w:rPr>
          <w:rFonts w:cs="Arial"/>
          <w:bCs/>
          <w:sz w:val="22"/>
          <w:szCs w:val="22"/>
        </w:rPr>
        <w:t>for gender mainstreaming</w:t>
      </w:r>
      <w:r w:rsidR="00C64E75">
        <w:rPr>
          <w:rFonts w:cs="Arial"/>
          <w:bCs/>
          <w:sz w:val="22"/>
          <w:szCs w:val="22"/>
        </w:rPr>
        <w:t xml:space="preserve">. They will be </w:t>
      </w:r>
      <w:r w:rsidRPr="00196DCF">
        <w:rPr>
          <w:rFonts w:cs="Arial"/>
          <w:bCs/>
          <w:sz w:val="22"/>
          <w:szCs w:val="22"/>
        </w:rPr>
        <w:t xml:space="preserve">preceded by a </w:t>
      </w:r>
      <w:r w:rsidR="00C64E75">
        <w:rPr>
          <w:rFonts w:cs="Arial"/>
          <w:bCs/>
          <w:sz w:val="22"/>
          <w:szCs w:val="22"/>
        </w:rPr>
        <w:t xml:space="preserve">contextual </w:t>
      </w:r>
      <w:r w:rsidRPr="00196DCF">
        <w:rPr>
          <w:rFonts w:cs="Arial"/>
          <w:bCs/>
          <w:sz w:val="22"/>
          <w:szCs w:val="22"/>
        </w:rPr>
        <w:t>and followed by a general discussion</w:t>
      </w:r>
      <w:r>
        <w:rPr>
          <w:rFonts w:cs="Arial"/>
          <w:bCs/>
          <w:sz w:val="22"/>
          <w:szCs w:val="22"/>
        </w:rPr>
        <w:t xml:space="preserve"> of all the findings and the ensuing </w:t>
      </w:r>
      <w:r w:rsidRPr="00196DCF">
        <w:rPr>
          <w:rFonts w:cs="Arial"/>
          <w:bCs/>
          <w:sz w:val="22"/>
          <w:szCs w:val="22"/>
        </w:rPr>
        <w:t>recommendations</w:t>
      </w:r>
      <w:r>
        <w:rPr>
          <w:rFonts w:cs="Arial"/>
          <w:bCs/>
          <w:sz w:val="22"/>
          <w:szCs w:val="22"/>
        </w:rPr>
        <w:t>.</w:t>
      </w:r>
      <w:r w:rsidRPr="00196DCF">
        <w:rPr>
          <w:rFonts w:cs="Arial"/>
          <w:bCs/>
          <w:sz w:val="22"/>
          <w:szCs w:val="22"/>
        </w:rPr>
        <w:t xml:space="preserve">  </w:t>
      </w:r>
    </w:p>
    <w:p w:rsidR="009571FA" w:rsidRDefault="009571FA" w:rsidP="00310A64">
      <w:pPr>
        <w:tabs>
          <w:tab w:val="left" w:pos="180"/>
        </w:tabs>
        <w:rPr>
          <w:rFonts w:cs="Arial"/>
          <w:b/>
          <w:bCs/>
          <w:sz w:val="28"/>
          <w:szCs w:val="22"/>
        </w:rPr>
      </w:pPr>
    </w:p>
    <w:p w:rsidR="009571FA" w:rsidRPr="00C53FE1" w:rsidRDefault="009571FA" w:rsidP="00EA2342">
      <w:pPr>
        <w:pStyle w:val="ListParagraph"/>
        <w:suppressAutoHyphens/>
        <w:ind w:left="0"/>
        <w:rPr>
          <w:rFonts w:cs="Arial"/>
          <w:b/>
          <w:bCs/>
          <w:sz w:val="24"/>
          <w:szCs w:val="22"/>
        </w:rPr>
      </w:pPr>
      <w:r w:rsidRPr="00C53FE1">
        <w:rPr>
          <w:rFonts w:cs="Arial"/>
          <w:b/>
          <w:bCs/>
          <w:sz w:val="24"/>
          <w:szCs w:val="22"/>
        </w:rPr>
        <w:t>Background /context of gender mainstreaming in PAHO</w:t>
      </w:r>
    </w:p>
    <w:p w:rsidR="009571FA" w:rsidRPr="00DE465D" w:rsidRDefault="009571FA" w:rsidP="00824E84">
      <w:pPr>
        <w:pStyle w:val="ListParagraph"/>
        <w:suppressAutoHyphens/>
        <w:rPr>
          <w:rFonts w:cs="Arial"/>
          <w:b/>
          <w:bCs/>
          <w:sz w:val="22"/>
          <w:szCs w:val="22"/>
        </w:rPr>
      </w:pPr>
    </w:p>
    <w:p w:rsidR="009571FA" w:rsidRDefault="009571FA" w:rsidP="00E60F49">
      <w:pPr>
        <w:rPr>
          <w:rFonts w:cs="Arial"/>
          <w:sz w:val="22"/>
          <w:szCs w:val="22"/>
        </w:rPr>
      </w:pPr>
      <w:r w:rsidRPr="008D70E4">
        <w:rPr>
          <w:rFonts w:cs="Arial"/>
          <w:sz w:val="22"/>
          <w:szCs w:val="22"/>
        </w:rPr>
        <w:t xml:space="preserve">For 26 years, from 1980 until 2006, PAHO had within its Governing Bodies, an auxiliary advisory body to the Executive Committee, </w:t>
      </w:r>
      <w:hyperlink r:id="rId12" w:history="1">
        <w:r w:rsidRPr="008D70E4">
          <w:rPr>
            <w:rStyle w:val="Hyperlink"/>
            <w:rFonts w:cs="Arial"/>
            <w:color w:val="auto"/>
            <w:sz w:val="22"/>
            <w:szCs w:val="22"/>
          </w:rPr>
          <w:t>the Subcommittee on Women, Health and Development</w:t>
        </w:r>
      </w:hyperlink>
      <w:r w:rsidRPr="008D70E4">
        <w:rPr>
          <w:rFonts w:cs="Arial"/>
          <w:sz w:val="22"/>
          <w:szCs w:val="22"/>
        </w:rPr>
        <w:t xml:space="preserve"> which can be credited </w:t>
      </w:r>
      <w:r w:rsidR="00A91591">
        <w:rPr>
          <w:rFonts w:cs="Arial"/>
          <w:sz w:val="22"/>
          <w:szCs w:val="22"/>
        </w:rPr>
        <w:t>with</w:t>
      </w:r>
      <w:r w:rsidRPr="008D70E4">
        <w:rPr>
          <w:rFonts w:cs="Arial"/>
          <w:sz w:val="22"/>
          <w:szCs w:val="22"/>
        </w:rPr>
        <w:t xml:space="preserve"> promoting and bolstering most of PAHO’s current policies on gender equality. Among these policies was the creation in 1987 of a Women, Health and Development </w:t>
      </w:r>
      <w:r w:rsidR="00A91591">
        <w:rPr>
          <w:rFonts w:cs="Arial"/>
          <w:sz w:val="22"/>
          <w:szCs w:val="22"/>
        </w:rPr>
        <w:t>U</w:t>
      </w:r>
      <w:r w:rsidRPr="008D70E4">
        <w:rPr>
          <w:rFonts w:cs="Arial"/>
          <w:sz w:val="22"/>
          <w:szCs w:val="22"/>
        </w:rPr>
        <w:t>nit, under the Assistant Director’s Office, today the Gender, Ethnicity and Health Unit (GE); and most importantly, the PAHO Gender Equality Policy approved by the Executive Committee (June 2005) and adopted by a Directing Council Resolution on September 30, 2005.</w:t>
      </w:r>
    </w:p>
    <w:p w:rsidR="009571FA" w:rsidRPr="00DE465D" w:rsidRDefault="009571FA" w:rsidP="00E60F49">
      <w:pPr>
        <w:rPr>
          <w:rFonts w:cs="Arial"/>
          <w:sz w:val="22"/>
          <w:szCs w:val="22"/>
        </w:rPr>
      </w:pPr>
    </w:p>
    <w:p w:rsidR="009571FA" w:rsidRDefault="009571FA" w:rsidP="000636BB">
      <w:pPr>
        <w:pStyle w:val="ListParagraph"/>
        <w:suppressAutoHyphens/>
        <w:ind w:left="0"/>
        <w:rPr>
          <w:rFonts w:cs="Arial"/>
          <w:bCs/>
          <w:sz w:val="22"/>
          <w:szCs w:val="22"/>
        </w:rPr>
      </w:pPr>
      <w:r>
        <w:rPr>
          <w:rFonts w:cs="Arial"/>
          <w:bCs/>
          <w:sz w:val="22"/>
          <w:szCs w:val="22"/>
        </w:rPr>
        <w:t>The Senior Gender Regional Adviser, also Chief of the Gender, Ethnicity and Health Unit</w:t>
      </w:r>
      <w:r w:rsidR="00A91591">
        <w:rPr>
          <w:rFonts w:cs="Arial"/>
          <w:bCs/>
          <w:sz w:val="22"/>
          <w:szCs w:val="22"/>
        </w:rPr>
        <w:t>,</w:t>
      </w:r>
      <w:r>
        <w:rPr>
          <w:rFonts w:cs="Arial"/>
          <w:bCs/>
          <w:sz w:val="22"/>
          <w:szCs w:val="22"/>
        </w:rPr>
        <w:t xml:space="preserve"> is </w:t>
      </w:r>
      <w:r w:rsidRPr="000636BB">
        <w:rPr>
          <w:rFonts w:cs="Arial"/>
          <w:bCs/>
          <w:sz w:val="22"/>
          <w:szCs w:val="22"/>
        </w:rPr>
        <w:t>Dr. Marijke Velzeboer</w:t>
      </w:r>
      <w:r>
        <w:rPr>
          <w:rFonts w:cs="Arial"/>
          <w:bCs/>
          <w:sz w:val="22"/>
          <w:szCs w:val="22"/>
        </w:rPr>
        <w:t xml:space="preserve">-Salcedo. She </w:t>
      </w:r>
      <w:r w:rsidR="00A91591">
        <w:rPr>
          <w:rFonts w:cs="Arial"/>
          <w:bCs/>
          <w:sz w:val="22"/>
          <w:szCs w:val="22"/>
        </w:rPr>
        <w:t xml:space="preserve">has been </w:t>
      </w:r>
      <w:r>
        <w:rPr>
          <w:rFonts w:cs="Arial"/>
          <w:bCs/>
          <w:sz w:val="22"/>
          <w:szCs w:val="22"/>
        </w:rPr>
        <w:t xml:space="preserve">in this position </w:t>
      </w:r>
      <w:r w:rsidRPr="000636BB">
        <w:rPr>
          <w:rFonts w:cs="Arial"/>
          <w:bCs/>
          <w:sz w:val="22"/>
          <w:szCs w:val="22"/>
        </w:rPr>
        <w:t>since January 2008</w:t>
      </w:r>
      <w:r>
        <w:rPr>
          <w:rFonts w:cs="Arial"/>
          <w:bCs/>
          <w:sz w:val="22"/>
          <w:szCs w:val="22"/>
        </w:rPr>
        <w:t xml:space="preserve">, but also had occupied it before between </w:t>
      </w:r>
      <w:r w:rsidRPr="000636BB">
        <w:rPr>
          <w:rFonts w:cs="Arial"/>
          <w:bCs/>
          <w:sz w:val="22"/>
          <w:szCs w:val="22"/>
        </w:rPr>
        <w:t xml:space="preserve">1998 </w:t>
      </w:r>
      <w:r>
        <w:rPr>
          <w:rFonts w:cs="Arial"/>
          <w:bCs/>
          <w:sz w:val="22"/>
          <w:szCs w:val="22"/>
        </w:rPr>
        <w:t>and</w:t>
      </w:r>
      <w:r w:rsidRPr="000636BB">
        <w:rPr>
          <w:rFonts w:cs="Arial"/>
          <w:bCs/>
          <w:sz w:val="22"/>
          <w:szCs w:val="22"/>
        </w:rPr>
        <w:t xml:space="preserve"> 2003.</w:t>
      </w:r>
      <w:r>
        <w:rPr>
          <w:rFonts w:cs="Arial"/>
          <w:bCs/>
          <w:sz w:val="22"/>
          <w:szCs w:val="22"/>
        </w:rPr>
        <w:t xml:space="preserve"> Her role as Unit Chief is that of coordinating, supervising, monitoring and providing technical support to the mainstreaming of two major themes into the Organization: Gender and Ethnicity.  The GE Unit </w:t>
      </w:r>
      <w:r w:rsidR="00A91591">
        <w:rPr>
          <w:rFonts w:cs="Arial"/>
          <w:bCs/>
          <w:sz w:val="22"/>
          <w:szCs w:val="22"/>
        </w:rPr>
        <w:t xml:space="preserve">continues to be </w:t>
      </w:r>
      <w:r>
        <w:rPr>
          <w:rFonts w:cs="Arial"/>
          <w:bCs/>
          <w:sz w:val="22"/>
          <w:szCs w:val="22"/>
        </w:rPr>
        <w:t>located within t</w:t>
      </w:r>
      <w:r w:rsidR="007953B7">
        <w:rPr>
          <w:rFonts w:cs="Arial"/>
          <w:bCs/>
          <w:sz w:val="22"/>
          <w:szCs w:val="22"/>
        </w:rPr>
        <w:t>h</w:t>
      </w:r>
      <w:r>
        <w:rPr>
          <w:rFonts w:cs="Arial"/>
          <w:bCs/>
          <w:sz w:val="22"/>
          <w:szCs w:val="22"/>
        </w:rPr>
        <w:t xml:space="preserve">e PAHO Assistant Director (AD) and reports directly to AD. </w:t>
      </w:r>
    </w:p>
    <w:p w:rsidR="009571FA" w:rsidRPr="00DE465D" w:rsidRDefault="009571FA" w:rsidP="000636BB">
      <w:pPr>
        <w:pStyle w:val="ListParagraph"/>
        <w:suppressAutoHyphens/>
        <w:ind w:left="0"/>
        <w:rPr>
          <w:rFonts w:cs="Arial"/>
          <w:bCs/>
          <w:sz w:val="22"/>
          <w:szCs w:val="22"/>
        </w:rPr>
      </w:pPr>
    </w:p>
    <w:p w:rsidR="009571FA" w:rsidRDefault="009571FA" w:rsidP="001C659C">
      <w:pPr>
        <w:pStyle w:val="ListParagraph"/>
        <w:suppressAutoHyphens/>
        <w:ind w:left="0"/>
        <w:rPr>
          <w:rFonts w:cs="Arial"/>
          <w:bCs/>
          <w:sz w:val="22"/>
          <w:szCs w:val="22"/>
        </w:rPr>
      </w:pPr>
      <w:r>
        <w:rPr>
          <w:rFonts w:cs="Arial"/>
          <w:bCs/>
          <w:sz w:val="22"/>
          <w:szCs w:val="22"/>
        </w:rPr>
        <w:t xml:space="preserve">The GE Unit Chief </w:t>
      </w:r>
      <w:r w:rsidRPr="00D7202B">
        <w:rPr>
          <w:rFonts w:cs="Arial"/>
          <w:bCs/>
          <w:sz w:val="22"/>
          <w:szCs w:val="22"/>
        </w:rPr>
        <w:t>works with the offices to promote gender mainstreaming along three lines: (a) Building gende</w:t>
      </w:r>
      <w:r>
        <w:rPr>
          <w:rFonts w:cs="Arial"/>
          <w:bCs/>
          <w:sz w:val="22"/>
          <w:szCs w:val="22"/>
        </w:rPr>
        <w:t xml:space="preserve">r analysis /planning capacities among PAHO staff, Ministries of Health, and gender advocate partners; (b) coordinating the Gender internal Working Group and the External Gender Advisory Group for planning and executing the strategy to implement the PAHO Gender Equality Policy; (c) Setting up a knowledge platform for the purpose of building capacity and providing continued information to the different technical areas. </w:t>
      </w:r>
    </w:p>
    <w:p w:rsidR="009571FA" w:rsidRPr="00DE465D" w:rsidRDefault="009571FA" w:rsidP="000636BB">
      <w:pPr>
        <w:rPr>
          <w:rFonts w:cs="Arial"/>
          <w:bCs/>
          <w:sz w:val="22"/>
          <w:szCs w:val="22"/>
        </w:rPr>
      </w:pPr>
    </w:p>
    <w:p w:rsidR="009571FA" w:rsidRPr="00466356" w:rsidRDefault="009571FA" w:rsidP="000636BB">
      <w:pPr>
        <w:rPr>
          <w:rFonts w:cs="Arial"/>
          <w:bCs/>
          <w:i/>
          <w:sz w:val="22"/>
          <w:szCs w:val="22"/>
        </w:rPr>
      </w:pPr>
      <w:r w:rsidRPr="000E6D2F">
        <w:rPr>
          <w:rFonts w:cs="Arial"/>
          <w:bCs/>
          <w:sz w:val="22"/>
          <w:szCs w:val="22"/>
        </w:rPr>
        <w:t>PAHO has a 15 year-history of promoting gender mainstreaming</w:t>
      </w:r>
      <w:r>
        <w:rPr>
          <w:rFonts w:cs="Arial"/>
          <w:bCs/>
          <w:sz w:val="22"/>
          <w:szCs w:val="22"/>
        </w:rPr>
        <w:t xml:space="preserve"> with the external support of Governments like Sweden, Norway, Canada and Spain, and Foundations like Rockefeller and Ford.  An important </w:t>
      </w:r>
      <w:r w:rsidR="00F7003B">
        <w:rPr>
          <w:rFonts w:cs="Arial"/>
          <w:bCs/>
          <w:sz w:val="22"/>
          <w:szCs w:val="22"/>
        </w:rPr>
        <w:t xml:space="preserve">milestone </w:t>
      </w:r>
      <w:r>
        <w:rPr>
          <w:rFonts w:cs="Arial"/>
          <w:bCs/>
          <w:sz w:val="22"/>
          <w:szCs w:val="22"/>
        </w:rPr>
        <w:t xml:space="preserve">in this process was marked by the above mentioned Government Bodies </w:t>
      </w:r>
      <w:r w:rsidR="00F7003B">
        <w:rPr>
          <w:rFonts w:cs="Arial"/>
          <w:bCs/>
          <w:sz w:val="22"/>
          <w:szCs w:val="22"/>
        </w:rPr>
        <w:t>R</w:t>
      </w:r>
      <w:r>
        <w:rPr>
          <w:rFonts w:cs="Arial"/>
          <w:bCs/>
          <w:sz w:val="22"/>
          <w:szCs w:val="22"/>
        </w:rPr>
        <w:t xml:space="preserve">esolution adopting the PAHO Gender Equality Policy (September 30, 2005).  At present, as expressed by Dr. Velzeboer, there is a </w:t>
      </w:r>
      <w:r>
        <w:rPr>
          <w:rFonts w:cs="Arial"/>
          <w:b/>
          <w:bCs/>
          <w:sz w:val="22"/>
          <w:szCs w:val="22"/>
        </w:rPr>
        <w:t>medium/high</w:t>
      </w:r>
      <w:r>
        <w:rPr>
          <w:rFonts w:cs="Arial"/>
          <w:bCs/>
          <w:sz w:val="22"/>
          <w:szCs w:val="22"/>
        </w:rPr>
        <w:t xml:space="preserve"> commitment to this process. The </w:t>
      </w:r>
      <w:r w:rsidRPr="009B474E">
        <w:rPr>
          <w:rFonts w:cs="Arial"/>
          <w:b/>
          <w:bCs/>
          <w:sz w:val="22"/>
          <w:szCs w:val="22"/>
        </w:rPr>
        <w:t>challenges</w:t>
      </w:r>
      <w:r>
        <w:rPr>
          <w:rFonts w:cs="Arial"/>
          <w:bCs/>
          <w:sz w:val="22"/>
          <w:szCs w:val="22"/>
        </w:rPr>
        <w:t xml:space="preserve"> lie on people understanding the meaning of integrating a gender perspective in all of their work, and putting information into action in order to reduce inequities and </w:t>
      </w:r>
      <w:r w:rsidR="00F7003B">
        <w:rPr>
          <w:rFonts w:cs="Arial"/>
          <w:bCs/>
          <w:sz w:val="22"/>
          <w:szCs w:val="22"/>
        </w:rPr>
        <w:t xml:space="preserve">increase </w:t>
      </w:r>
      <w:r>
        <w:rPr>
          <w:rFonts w:cs="Arial"/>
          <w:bCs/>
          <w:sz w:val="22"/>
          <w:szCs w:val="22"/>
        </w:rPr>
        <w:t>efficiency in providing health care and implementing health policy. “</w:t>
      </w:r>
      <w:r w:rsidRPr="00466356">
        <w:rPr>
          <w:rFonts w:cs="Arial"/>
          <w:bCs/>
          <w:i/>
          <w:sz w:val="22"/>
          <w:szCs w:val="22"/>
        </w:rPr>
        <w:t>We have moved from low priority to confusion. People are really confused on what to implement, and continually bring up time and resources limitations, without realizing that including a gender perspective will actually improve their work efficiency, but does require a new way of thinking and doing things. Since we are facilitators, this is very intensive and extensive work. We have to work intensively with partners over a long period of time</w:t>
      </w:r>
      <w:r>
        <w:rPr>
          <w:rFonts w:cs="Arial"/>
          <w:bCs/>
          <w:i/>
          <w:sz w:val="22"/>
          <w:szCs w:val="22"/>
        </w:rPr>
        <w:t>”</w:t>
      </w:r>
      <w:r w:rsidRPr="00466356">
        <w:rPr>
          <w:rFonts w:cs="Arial"/>
          <w:bCs/>
          <w:i/>
          <w:sz w:val="22"/>
          <w:szCs w:val="22"/>
        </w:rPr>
        <w:t>.</w:t>
      </w:r>
    </w:p>
    <w:p w:rsidR="009571FA" w:rsidRPr="00DE465D" w:rsidRDefault="009571FA" w:rsidP="000636BB">
      <w:pPr>
        <w:rPr>
          <w:rFonts w:cs="Arial"/>
          <w:bCs/>
          <w:sz w:val="22"/>
          <w:szCs w:val="22"/>
        </w:rPr>
      </w:pPr>
    </w:p>
    <w:p w:rsidR="009571FA" w:rsidRPr="005924F3" w:rsidRDefault="009571FA" w:rsidP="005924F3">
      <w:pPr>
        <w:pStyle w:val="ListParagraph"/>
        <w:suppressAutoHyphens/>
        <w:ind w:left="0"/>
        <w:rPr>
          <w:rFonts w:cs="Arial"/>
          <w:bCs/>
          <w:sz w:val="22"/>
          <w:szCs w:val="22"/>
        </w:rPr>
      </w:pPr>
      <w:r w:rsidRPr="009B474E">
        <w:rPr>
          <w:rFonts w:cs="Arial"/>
          <w:bCs/>
          <w:sz w:val="22"/>
          <w:szCs w:val="22"/>
        </w:rPr>
        <w:t xml:space="preserve">The </w:t>
      </w:r>
      <w:r w:rsidRPr="009B474E">
        <w:rPr>
          <w:rFonts w:cs="Arial"/>
          <w:b/>
          <w:bCs/>
          <w:sz w:val="22"/>
          <w:szCs w:val="22"/>
        </w:rPr>
        <w:t>facilitating factors</w:t>
      </w:r>
      <w:r w:rsidRPr="009B474E">
        <w:rPr>
          <w:rFonts w:cs="Arial"/>
          <w:bCs/>
          <w:sz w:val="22"/>
          <w:szCs w:val="22"/>
        </w:rPr>
        <w:t xml:space="preserve"> </w:t>
      </w:r>
      <w:r>
        <w:rPr>
          <w:rFonts w:cs="Arial"/>
          <w:bCs/>
          <w:sz w:val="22"/>
          <w:szCs w:val="22"/>
        </w:rPr>
        <w:t xml:space="preserve">for </w:t>
      </w:r>
      <w:r w:rsidRPr="009B474E">
        <w:rPr>
          <w:rFonts w:cs="Arial"/>
          <w:bCs/>
          <w:sz w:val="22"/>
          <w:szCs w:val="22"/>
        </w:rPr>
        <w:t>promoting gender</w:t>
      </w:r>
      <w:r>
        <w:rPr>
          <w:rFonts w:cs="Arial"/>
          <w:bCs/>
          <w:sz w:val="22"/>
          <w:szCs w:val="22"/>
        </w:rPr>
        <w:t>, according to the GRA</w:t>
      </w:r>
      <w:r w:rsidRPr="009B474E">
        <w:rPr>
          <w:rFonts w:cs="Arial"/>
          <w:bCs/>
          <w:sz w:val="22"/>
          <w:szCs w:val="22"/>
        </w:rPr>
        <w:t xml:space="preserve">, </w:t>
      </w:r>
      <w:r>
        <w:rPr>
          <w:rFonts w:cs="Arial"/>
          <w:bCs/>
          <w:sz w:val="22"/>
          <w:szCs w:val="22"/>
        </w:rPr>
        <w:t>are</w:t>
      </w:r>
      <w:r w:rsidRPr="009B474E">
        <w:rPr>
          <w:rFonts w:cs="Arial"/>
          <w:bCs/>
          <w:sz w:val="22"/>
          <w:szCs w:val="22"/>
        </w:rPr>
        <w:t xml:space="preserve"> the following</w:t>
      </w:r>
      <w:r>
        <w:rPr>
          <w:rFonts w:cs="Arial"/>
          <w:b/>
          <w:bCs/>
          <w:sz w:val="22"/>
          <w:szCs w:val="22"/>
        </w:rPr>
        <w:t xml:space="preserve">: </w:t>
      </w:r>
      <w:r>
        <w:rPr>
          <w:rFonts w:cs="Arial"/>
          <w:bCs/>
          <w:sz w:val="22"/>
          <w:szCs w:val="22"/>
        </w:rPr>
        <w:t>the Director’s declaration of gender as a priority; numerous staff members who are gender-sensitive and willing to incorporate gender into their programming; Gender Equality being one of the six cross-cutting themes of PAHO’s work; a good gender team in HQ and the field; WHO support; small but faithful donor support; and receptivity from Area Managers</w:t>
      </w:r>
      <w:r w:rsidRPr="005924F3">
        <w:rPr>
          <w:rFonts w:cs="Arial"/>
          <w:bCs/>
          <w:sz w:val="22"/>
          <w:szCs w:val="22"/>
        </w:rPr>
        <w:t>.  A key assumption concer</w:t>
      </w:r>
      <w:r>
        <w:rPr>
          <w:rFonts w:cs="Arial"/>
          <w:bCs/>
          <w:sz w:val="22"/>
          <w:szCs w:val="22"/>
        </w:rPr>
        <w:t>n</w:t>
      </w:r>
      <w:r w:rsidRPr="005924F3">
        <w:rPr>
          <w:rFonts w:cs="Arial"/>
          <w:bCs/>
          <w:sz w:val="22"/>
          <w:szCs w:val="22"/>
        </w:rPr>
        <w:t>ing what can be done to promote gender that outsiders may not be aware of</w:t>
      </w:r>
      <w:r>
        <w:rPr>
          <w:rFonts w:cs="Arial"/>
          <w:bCs/>
          <w:sz w:val="22"/>
          <w:szCs w:val="22"/>
        </w:rPr>
        <w:t>,</w:t>
      </w:r>
      <w:r w:rsidRPr="005924F3">
        <w:rPr>
          <w:rFonts w:cs="Arial"/>
          <w:bCs/>
          <w:sz w:val="22"/>
          <w:szCs w:val="22"/>
        </w:rPr>
        <w:t xml:space="preserve"> is the fact that PAHO has a Gender Equality Policy that includes the Organization and </w:t>
      </w:r>
      <w:r>
        <w:rPr>
          <w:rFonts w:cs="Arial"/>
          <w:bCs/>
          <w:sz w:val="22"/>
          <w:szCs w:val="22"/>
        </w:rPr>
        <w:t>i</w:t>
      </w:r>
      <w:r w:rsidRPr="005924F3">
        <w:rPr>
          <w:rFonts w:cs="Arial"/>
          <w:bCs/>
          <w:sz w:val="22"/>
          <w:szCs w:val="22"/>
        </w:rPr>
        <w:t>ts partners.</w:t>
      </w:r>
    </w:p>
    <w:p w:rsidR="009571FA" w:rsidRPr="00DE465D" w:rsidRDefault="009571FA" w:rsidP="000636BB">
      <w:pPr>
        <w:rPr>
          <w:rFonts w:cs="Arial"/>
          <w:bCs/>
          <w:sz w:val="22"/>
          <w:szCs w:val="22"/>
        </w:rPr>
      </w:pPr>
    </w:p>
    <w:p w:rsidR="009571FA" w:rsidRDefault="009571FA" w:rsidP="009D0430">
      <w:pPr>
        <w:rPr>
          <w:rFonts w:cs="Arial"/>
          <w:bCs/>
          <w:sz w:val="22"/>
          <w:szCs w:val="22"/>
        </w:rPr>
      </w:pPr>
      <w:r>
        <w:rPr>
          <w:rFonts w:cs="Arial"/>
          <w:bCs/>
          <w:sz w:val="22"/>
          <w:szCs w:val="22"/>
        </w:rPr>
        <w:t xml:space="preserve">The GRA has been </w:t>
      </w:r>
      <w:r w:rsidRPr="009D0430">
        <w:rPr>
          <w:rFonts w:cs="Arial"/>
          <w:bCs/>
          <w:sz w:val="22"/>
          <w:szCs w:val="22"/>
        </w:rPr>
        <w:t xml:space="preserve">involved in the work </w:t>
      </w:r>
      <w:r w:rsidR="00B93173">
        <w:rPr>
          <w:rFonts w:cs="Arial"/>
          <w:bCs/>
          <w:sz w:val="22"/>
          <w:szCs w:val="22"/>
        </w:rPr>
        <w:t xml:space="preserve">related to </w:t>
      </w:r>
      <w:r w:rsidRPr="009D0430">
        <w:rPr>
          <w:rFonts w:cs="Arial"/>
          <w:bCs/>
          <w:sz w:val="22"/>
          <w:szCs w:val="22"/>
        </w:rPr>
        <w:t>the following</w:t>
      </w:r>
      <w:r>
        <w:rPr>
          <w:rFonts w:cs="Arial"/>
          <w:b/>
          <w:bCs/>
          <w:sz w:val="22"/>
          <w:szCs w:val="22"/>
        </w:rPr>
        <w:t xml:space="preserve"> Strategic Objectives (SO</w:t>
      </w:r>
      <w:r w:rsidRPr="009D0430">
        <w:rPr>
          <w:rFonts w:cs="Arial"/>
          <w:bCs/>
          <w:sz w:val="22"/>
          <w:szCs w:val="22"/>
        </w:rPr>
        <w:t>):  SO2:</w:t>
      </w:r>
      <w:r>
        <w:rPr>
          <w:rFonts w:cs="Arial"/>
          <w:bCs/>
          <w:sz w:val="22"/>
          <w:szCs w:val="22"/>
        </w:rPr>
        <w:t xml:space="preserve"> HIV/AIDS, malaria and TB; SO4: Sexual and reproductive health; SO5: Disasters Relief; SO7: Other than the gender-specific Regional expected Result (RER) 7.5, with RER 7.3, Social and economic data; and SO16: Human resource policies and practices</w:t>
      </w:r>
    </w:p>
    <w:p w:rsidR="009571FA" w:rsidRPr="00DE465D" w:rsidRDefault="009571FA" w:rsidP="000636BB">
      <w:pPr>
        <w:pStyle w:val="ListParagraph"/>
        <w:ind w:left="0"/>
        <w:rPr>
          <w:rFonts w:cs="Arial"/>
          <w:b/>
          <w:bCs/>
          <w:sz w:val="22"/>
          <w:szCs w:val="22"/>
        </w:rPr>
      </w:pPr>
    </w:p>
    <w:p w:rsidR="009571FA" w:rsidRDefault="009571FA" w:rsidP="00382B2C">
      <w:pPr>
        <w:pStyle w:val="ListParagraph"/>
        <w:ind w:left="0"/>
        <w:rPr>
          <w:rFonts w:cs="Arial"/>
          <w:bCs/>
          <w:sz w:val="22"/>
          <w:szCs w:val="22"/>
        </w:rPr>
      </w:pPr>
      <w:r w:rsidRPr="00C24AEA">
        <w:rPr>
          <w:rFonts w:cs="Arial"/>
          <w:bCs/>
          <w:sz w:val="22"/>
          <w:szCs w:val="22"/>
        </w:rPr>
        <w:t>Regarding</w:t>
      </w:r>
      <w:r w:rsidRPr="00FD6877">
        <w:rPr>
          <w:rFonts w:cs="Arial"/>
          <w:b/>
          <w:bCs/>
          <w:sz w:val="22"/>
          <w:szCs w:val="22"/>
        </w:rPr>
        <w:t xml:space="preserve"> financial and human resources</w:t>
      </w:r>
      <w:r w:rsidR="00C24AEA">
        <w:rPr>
          <w:rFonts w:cs="Arial"/>
          <w:b/>
          <w:bCs/>
          <w:sz w:val="22"/>
          <w:szCs w:val="22"/>
        </w:rPr>
        <w:t xml:space="preserve">: </w:t>
      </w:r>
      <w:r>
        <w:rPr>
          <w:rFonts w:cs="Arial"/>
          <w:bCs/>
          <w:sz w:val="22"/>
          <w:szCs w:val="22"/>
        </w:rPr>
        <w:t>GE regular budget for the 2008-2009 biennium is the following:  general operating funds: US$ 223.200; and staff salaries (AAA): 1’648.600. Approximately two thirds of this budget go</w:t>
      </w:r>
      <w:r w:rsidR="00B93173">
        <w:rPr>
          <w:rFonts w:cs="Arial"/>
          <w:bCs/>
          <w:sz w:val="22"/>
          <w:szCs w:val="22"/>
        </w:rPr>
        <w:t xml:space="preserve">es </w:t>
      </w:r>
      <w:r>
        <w:rPr>
          <w:rFonts w:cs="Arial"/>
          <w:bCs/>
          <w:sz w:val="22"/>
          <w:szCs w:val="22"/>
        </w:rPr>
        <w:t xml:space="preserve">to gender mainstreaming. In terms of staffing, the HQ/GE Unit has six professionals who also devote two thirds of their time to gender mainstreaming. In the field, the GE has 21 focal points that spend variable portions of their time in gender-related activities. These portions depend, to a great extent, on the funding provided by </w:t>
      </w:r>
      <w:r w:rsidR="00B93173">
        <w:rPr>
          <w:rFonts w:cs="Arial"/>
          <w:bCs/>
          <w:sz w:val="22"/>
          <w:szCs w:val="22"/>
        </w:rPr>
        <w:t>PAHO/</w:t>
      </w:r>
      <w:r>
        <w:rPr>
          <w:rFonts w:cs="Arial"/>
          <w:bCs/>
          <w:sz w:val="22"/>
          <w:szCs w:val="22"/>
        </w:rPr>
        <w:t>GE in HQ.  The GRA networks with all focal points</w:t>
      </w:r>
      <w:r w:rsidR="00F7003B">
        <w:rPr>
          <w:rFonts w:cs="Arial"/>
          <w:bCs/>
          <w:sz w:val="22"/>
          <w:szCs w:val="22"/>
        </w:rPr>
        <w:t>;</w:t>
      </w:r>
      <w:r>
        <w:rPr>
          <w:rFonts w:cs="Arial"/>
          <w:bCs/>
          <w:sz w:val="22"/>
          <w:szCs w:val="22"/>
        </w:rPr>
        <w:t xml:space="preserve"> with some has a more direct work relation, but the PWRs are ultimately responsible for their work.</w:t>
      </w:r>
    </w:p>
    <w:p w:rsidR="00C00796" w:rsidRPr="00C64E75" w:rsidRDefault="00C00796">
      <w:pPr>
        <w:rPr>
          <w:rFonts w:cs="Arial"/>
          <w:bCs/>
          <w:sz w:val="36"/>
          <w:szCs w:val="22"/>
        </w:rPr>
      </w:pPr>
    </w:p>
    <w:tbl>
      <w:tblPr>
        <w:tblW w:w="0" w:type="auto"/>
        <w:tblInd w:w="288" w:type="dxa"/>
        <w:tblBorders>
          <w:top w:val="single" w:sz="4" w:space="0" w:color="auto"/>
          <w:left w:val="single" w:sz="4" w:space="0" w:color="auto"/>
          <w:bottom w:val="single" w:sz="4" w:space="0" w:color="auto"/>
          <w:right w:val="single" w:sz="4" w:space="0" w:color="auto"/>
        </w:tblBorders>
        <w:shd w:val="clear" w:color="auto" w:fill="DBE5F1"/>
        <w:tblLook w:val="00A0"/>
      </w:tblPr>
      <w:tblGrid>
        <w:gridCol w:w="8910"/>
      </w:tblGrid>
      <w:tr w:rsidR="009571FA" w:rsidRPr="00DE5816" w:rsidTr="00010DAB">
        <w:trPr>
          <w:trHeight w:val="665"/>
        </w:trPr>
        <w:tc>
          <w:tcPr>
            <w:tcW w:w="8910" w:type="dxa"/>
            <w:shd w:val="clear" w:color="auto" w:fill="DBE5F1"/>
          </w:tcPr>
          <w:p w:rsidR="009571FA" w:rsidRPr="00010DAB" w:rsidRDefault="009571FA" w:rsidP="000A6A3F">
            <w:pPr>
              <w:pStyle w:val="Heading1"/>
              <w:ind w:left="720"/>
              <w:rPr>
                <w:rFonts w:ascii="Arial" w:hAnsi="Arial" w:cs="Arial"/>
                <w:sz w:val="24"/>
                <w:szCs w:val="22"/>
              </w:rPr>
            </w:pPr>
            <w:r w:rsidRPr="00010DAB">
              <w:rPr>
                <w:rFonts w:ascii="Arial" w:hAnsi="Arial" w:cs="Arial"/>
                <w:sz w:val="24"/>
                <w:szCs w:val="22"/>
              </w:rPr>
              <w:t>S</w:t>
            </w:r>
            <w:r w:rsidR="00AC43E9" w:rsidRPr="00010DAB">
              <w:rPr>
                <w:rFonts w:ascii="Arial" w:hAnsi="Arial" w:cs="Arial"/>
                <w:sz w:val="24"/>
                <w:szCs w:val="22"/>
              </w:rPr>
              <w:t>TRATEGIC DIRECTION 1</w:t>
            </w:r>
            <w:r w:rsidRPr="00010DAB">
              <w:rPr>
                <w:rFonts w:ascii="Arial" w:hAnsi="Arial" w:cs="Arial"/>
                <w:sz w:val="24"/>
                <w:szCs w:val="22"/>
              </w:rPr>
              <w:t>: BUILDING THE CAPACITY FOR GENDER ANALYSIS AND PLANNING</w:t>
            </w:r>
          </w:p>
          <w:p w:rsidR="009571FA" w:rsidRPr="001C2B8B" w:rsidRDefault="009571FA" w:rsidP="001C2B8B">
            <w:pPr>
              <w:rPr>
                <w:sz w:val="6"/>
              </w:rPr>
            </w:pPr>
          </w:p>
        </w:tc>
      </w:tr>
    </w:tbl>
    <w:p w:rsidR="009571FA" w:rsidRPr="003B2735" w:rsidRDefault="009571FA" w:rsidP="00F42929">
      <w:pPr>
        <w:rPr>
          <w:rFonts w:cs="Arial"/>
          <w:color w:val="000000"/>
          <w:sz w:val="4"/>
          <w:szCs w:val="22"/>
        </w:rPr>
      </w:pPr>
    </w:p>
    <w:p w:rsidR="009571FA" w:rsidRDefault="009571FA" w:rsidP="00DE465D">
      <w:pPr>
        <w:shd w:val="clear" w:color="auto" w:fill="FFFFFF" w:themeFill="background1"/>
        <w:rPr>
          <w:rFonts w:cs="Arial"/>
          <w:color w:val="000000"/>
          <w:sz w:val="2"/>
          <w:szCs w:val="22"/>
        </w:rPr>
      </w:pPr>
    </w:p>
    <w:p w:rsidR="00C64E75" w:rsidRDefault="00C64E75" w:rsidP="00DE465D">
      <w:pPr>
        <w:shd w:val="clear" w:color="auto" w:fill="FFFFFF" w:themeFill="background1"/>
        <w:rPr>
          <w:rFonts w:cs="Arial"/>
          <w:color w:val="000000"/>
          <w:sz w:val="2"/>
          <w:szCs w:val="22"/>
        </w:rPr>
      </w:pPr>
    </w:p>
    <w:p w:rsidR="00C64E75" w:rsidRDefault="00C64E75" w:rsidP="00DE465D">
      <w:pPr>
        <w:shd w:val="clear" w:color="auto" w:fill="FFFFFF" w:themeFill="background1"/>
        <w:rPr>
          <w:rFonts w:cs="Arial"/>
          <w:color w:val="000000"/>
          <w:sz w:val="2"/>
          <w:szCs w:val="22"/>
        </w:rPr>
      </w:pPr>
    </w:p>
    <w:p w:rsidR="00C64E75" w:rsidRDefault="00C64E75" w:rsidP="00DE465D">
      <w:pPr>
        <w:shd w:val="clear" w:color="auto" w:fill="FFFFFF" w:themeFill="background1"/>
        <w:rPr>
          <w:rFonts w:cs="Arial"/>
          <w:color w:val="000000"/>
          <w:sz w:val="2"/>
          <w:szCs w:val="22"/>
        </w:rPr>
      </w:pPr>
    </w:p>
    <w:p w:rsidR="00C64E75" w:rsidRDefault="00C64E75" w:rsidP="00DE465D">
      <w:pPr>
        <w:shd w:val="clear" w:color="auto" w:fill="FFFFFF" w:themeFill="background1"/>
        <w:rPr>
          <w:rFonts w:cs="Arial"/>
          <w:color w:val="000000"/>
          <w:sz w:val="2"/>
          <w:szCs w:val="22"/>
        </w:rPr>
      </w:pPr>
    </w:p>
    <w:p w:rsidR="00C64E75" w:rsidRDefault="00C64E75" w:rsidP="00DE465D">
      <w:pPr>
        <w:shd w:val="clear" w:color="auto" w:fill="FFFFFF" w:themeFill="background1"/>
        <w:rPr>
          <w:rFonts w:cs="Arial"/>
          <w:color w:val="000000"/>
          <w:sz w:val="2"/>
          <w:szCs w:val="22"/>
        </w:rPr>
      </w:pPr>
    </w:p>
    <w:p w:rsidR="00C64E75" w:rsidRDefault="00C64E75" w:rsidP="00DE465D">
      <w:pPr>
        <w:shd w:val="clear" w:color="auto" w:fill="FFFFFF" w:themeFill="background1"/>
        <w:rPr>
          <w:rFonts w:cs="Arial"/>
          <w:color w:val="000000"/>
          <w:sz w:val="2"/>
          <w:szCs w:val="22"/>
        </w:rPr>
      </w:pPr>
    </w:p>
    <w:p w:rsidR="00C64E75" w:rsidRDefault="00C64E75" w:rsidP="00DE465D">
      <w:pPr>
        <w:shd w:val="clear" w:color="auto" w:fill="FFFFFF" w:themeFill="background1"/>
        <w:rPr>
          <w:rFonts w:cs="Arial"/>
          <w:color w:val="000000"/>
          <w:sz w:val="2"/>
          <w:szCs w:val="22"/>
        </w:rPr>
      </w:pPr>
    </w:p>
    <w:p w:rsidR="00C64E75" w:rsidRDefault="00C64E75" w:rsidP="00DE465D">
      <w:pPr>
        <w:shd w:val="clear" w:color="auto" w:fill="FFFFFF" w:themeFill="background1"/>
        <w:rPr>
          <w:rFonts w:cs="Arial"/>
          <w:color w:val="000000"/>
          <w:sz w:val="2"/>
          <w:szCs w:val="22"/>
        </w:rPr>
      </w:pPr>
    </w:p>
    <w:p w:rsidR="00C64E75" w:rsidRDefault="00C64E75" w:rsidP="00DE465D">
      <w:pPr>
        <w:shd w:val="clear" w:color="auto" w:fill="FFFFFF" w:themeFill="background1"/>
        <w:rPr>
          <w:rFonts w:cs="Arial"/>
          <w:color w:val="000000"/>
          <w:sz w:val="2"/>
          <w:szCs w:val="22"/>
        </w:rPr>
      </w:pPr>
    </w:p>
    <w:p w:rsidR="00C64E75" w:rsidRDefault="00C64E75" w:rsidP="00C64E75">
      <w:pPr>
        <w:jc w:val="both"/>
        <w:rPr>
          <w:rFonts w:cs="Arial"/>
          <w:color w:val="000000"/>
          <w:sz w:val="2"/>
          <w:szCs w:val="22"/>
        </w:rPr>
      </w:pPr>
      <w:r>
        <w:rPr>
          <w:rFonts w:cs="Arial"/>
          <w:color w:val="000000"/>
          <w:sz w:val="22"/>
          <w:szCs w:val="22"/>
        </w:rPr>
        <w:t xml:space="preserve">The information to </w:t>
      </w:r>
      <w:r>
        <w:rPr>
          <w:sz w:val="22"/>
          <w:szCs w:val="22"/>
        </w:rPr>
        <w:t xml:space="preserve">map </w:t>
      </w:r>
      <w:r w:rsidRPr="00C03F69">
        <w:rPr>
          <w:rFonts w:cs="Arial"/>
          <w:color w:val="000000"/>
          <w:sz w:val="22"/>
          <w:szCs w:val="22"/>
        </w:rPr>
        <w:t>the institution-wide capacity for gender mainstreaming</w:t>
      </w:r>
      <w:r>
        <w:rPr>
          <w:rFonts w:cs="Arial"/>
          <w:color w:val="000000"/>
          <w:sz w:val="22"/>
          <w:szCs w:val="22"/>
        </w:rPr>
        <w:t xml:space="preserve"> was collected through an email survey sent to all staff. The main findings in this respect are summarized in the following chart: </w:t>
      </w:r>
    </w:p>
    <w:p w:rsidR="00C64E75" w:rsidRDefault="00C64E75" w:rsidP="00DE465D">
      <w:pPr>
        <w:shd w:val="clear" w:color="auto" w:fill="FFFFFF" w:themeFill="background1"/>
        <w:rPr>
          <w:rFonts w:cs="Arial"/>
          <w:color w:val="000000"/>
          <w:sz w:val="2"/>
          <w:szCs w:val="22"/>
        </w:rPr>
      </w:pPr>
    </w:p>
    <w:p w:rsidR="00C64E75" w:rsidRPr="00C00796" w:rsidRDefault="00C64E75" w:rsidP="00DE465D">
      <w:pPr>
        <w:shd w:val="clear" w:color="auto" w:fill="FFFFFF" w:themeFill="background1"/>
        <w:rPr>
          <w:rFonts w:cs="Arial"/>
          <w:color w:val="000000"/>
          <w:sz w:val="2"/>
          <w:szCs w:val="22"/>
        </w:rPr>
      </w:pPr>
    </w:p>
    <w:p w:rsidR="00AC43E9" w:rsidRDefault="00AC43E9" w:rsidP="00DE465D">
      <w:pPr>
        <w:shd w:val="clear" w:color="auto" w:fill="FFFFFF" w:themeFill="background1"/>
        <w:rPr>
          <w:rFonts w:cs="Arial"/>
          <w:color w:val="000000"/>
          <w:sz w:val="22"/>
          <w:szCs w:val="22"/>
        </w:rPr>
      </w:pPr>
    </w:p>
    <w:tbl>
      <w:tblPr>
        <w:tblpPr w:leftFromText="180" w:rightFromText="180" w:vertAnchor="text" w:horzAnchor="margin" w:tblpX="378" w:tblpY="-25"/>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000"/>
      </w:tblPr>
      <w:tblGrid>
        <w:gridCol w:w="8838"/>
      </w:tblGrid>
      <w:tr w:rsidR="005D6B07" w:rsidTr="00AC43E9">
        <w:trPr>
          <w:trHeight w:val="530"/>
        </w:trPr>
        <w:tc>
          <w:tcPr>
            <w:tcW w:w="8838" w:type="dxa"/>
            <w:shd w:val="clear" w:color="auto" w:fill="EEECE1" w:themeFill="background2"/>
          </w:tcPr>
          <w:p w:rsidR="005D6B07" w:rsidRPr="00AC43E9" w:rsidRDefault="005D6B07" w:rsidP="00DE465D">
            <w:pPr>
              <w:shd w:val="clear" w:color="auto" w:fill="EEECE1" w:themeFill="background2"/>
              <w:rPr>
                <w:rFonts w:cs="Arial"/>
                <w:b/>
                <w:bCs/>
                <w:sz w:val="12"/>
              </w:rPr>
            </w:pPr>
            <w:r>
              <w:rPr>
                <w:rFonts w:cs="Arial"/>
                <w:b/>
                <w:bCs/>
                <w:sz w:val="28"/>
                <w:szCs w:val="22"/>
              </w:rPr>
              <w:t xml:space="preserve">                                    </w:t>
            </w:r>
          </w:p>
          <w:p w:rsidR="005D6B07" w:rsidRPr="00F803F2" w:rsidRDefault="005D6B07" w:rsidP="00DE465D">
            <w:pPr>
              <w:shd w:val="clear" w:color="auto" w:fill="EEECE1" w:themeFill="background2"/>
              <w:rPr>
                <w:rFonts w:cs="Arial"/>
                <w:b/>
                <w:bCs/>
                <w:sz w:val="2"/>
              </w:rPr>
            </w:pPr>
            <w:r w:rsidRPr="00C1198C">
              <w:rPr>
                <w:rFonts w:cs="Arial"/>
                <w:b/>
                <w:bCs/>
                <w:sz w:val="22"/>
                <w:szCs w:val="22"/>
              </w:rPr>
              <w:t xml:space="preserve">                                              SUMMARY INDICATORS               </w:t>
            </w:r>
          </w:p>
          <w:p w:rsidR="005D6B07" w:rsidRPr="00666FFA" w:rsidRDefault="005D6B07" w:rsidP="00DE465D">
            <w:pPr>
              <w:shd w:val="clear" w:color="auto" w:fill="EEECE1" w:themeFill="background2"/>
              <w:rPr>
                <w:rFonts w:cs="Arial"/>
                <w:b/>
                <w:bCs/>
                <w:sz w:val="8"/>
              </w:rPr>
            </w:pPr>
            <w:r>
              <w:rPr>
                <w:rFonts w:cs="Arial"/>
                <w:b/>
                <w:bCs/>
                <w:sz w:val="28"/>
                <w:szCs w:val="22"/>
              </w:rPr>
              <w:t xml:space="preserve">               </w:t>
            </w:r>
          </w:p>
        </w:tc>
      </w:tr>
      <w:tr w:rsidR="005D6B07" w:rsidTr="00C00796">
        <w:trPr>
          <w:trHeight w:val="5297"/>
        </w:trPr>
        <w:tc>
          <w:tcPr>
            <w:tcW w:w="8838" w:type="dxa"/>
            <w:shd w:val="clear" w:color="auto" w:fill="EEECE1" w:themeFill="background2"/>
          </w:tcPr>
          <w:p w:rsidR="005D6B07" w:rsidRPr="00C23007" w:rsidRDefault="005D6B07" w:rsidP="00DE465D">
            <w:pPr>
              <w:shd w:val="clear" w:color="auto" w:fill="EEECE1" w:themeFill="background2"/>
              <w:rPr>
                <w:rFonts w:cs="Arial"/>
                <w:b/>
                <w:bCs/>
                <w:sz w:val="24"/>
              </w:rPr>
            </w:pPr>
            <w:r>
              <w:rPr>
                <w:rFonts w:cs="Arial"/>
                <w:b/>
                <w:bCs/>
                <w:sz w:val="24"/>
                <w:szCs w:val="22"/>
              </w:rPr>
              <w:t xml:space="preserve">            </w:t>
            </w:r>
            <w:r w:rsidRPr="00666FFA">
              <w:rPr>
                <w:rFonts w:cs="Arial"/>
                <w:b/>
                <w:bCs/>
                <w:sz w:val="6"/>
                <w:szCs w:val="22"/>
              </w:rPr>
              <w:t xml:space="preserve">        </w:t>
            </w:r>
            <w:r>
              <w:rPr>
                <w:rFonts w:cs="Arial"/>
                <w:b/>
                <w:bCs/>
                <w:sz w:val="24"/>
                <w:szCs w:val="22"/>
              </w:rPr>
              <w:t xml:space="preserve">                                                                                                                        </w:t>
            </w:r>
          </w:p>
          <w:p w:rsidR="005D6B07" w:rsidRPr="00C23007" w:rsidRDefault="005D6B07" w:rsidP="00581596">
            <w:pPr>
              <w:numPr>
                <w:ilvl w:val="0"/>
                <w:numId w:val="4"/>
              </w:numPr>
              <w:shd w:val="clear" w:color="auto" w:fill="EEECE1" w:themeFill="background2"/>
              <w:ind w:left="648"/>
              <w:rPr>
                <w:rFonts w:cs="Arial"/>
                <w:b/>
                <w:color w:val="000000"/>
                <w:sz w:val="22"/>
              </w:rPr>
            </w:pPr>
            <w:r>
              <w:rPr>
                <w:rFonts w:cs="Arial"/>
                <w:b/>
                <w:color w:val="000000"/>
                <w:sz w:val="22"/>
                <w:szCs w:val="22"/>
              </w:rPr>
              <w:t xml:space="preserve">   </w:t>
            </w:r>
            <w:r w:rsidRPr="00C23007">
              <w:rPr>
                <w:rFonts w:cs="Arial"/>
                <w:b/>
                <w:color w:val="000000"/>
                <w:sz w:val="22"/>
                <w:szCs w:val="22"/>
              </w:rPr>
              <w:t xml:space="preserve">Level of staff understanding in gender in all PAHO staff </w:t>
            </w:r>
            <w:r>
              <w:rPr>
                <w:rFonts w:cs="Arial"/>
                <w:b/>
                <w:color w:val="000000"/>
                <w:sz w:val="22"/>
                <w:szCs w:val="22"/>
              </w:rPr>
              <w:t xml:space="preserve">                     </w:t>
            </w:r>
          </w:p>
          <w:p w:rsidR="005D6B07" w:rsidRPr="00666FFA" w:rsidRDefault="005D6B07" w:rsidP="00DE465D">
            <w:pPr>
              <w:shd w:val="clear" w:color="auto" w:fill="EEECE1" w:themeFill="background2"/>
              <w:ind w:left="288"/>
              <w:rPr>
                <w:rFonts w:cs="Arial"/>
                <w:i/>
                <w:color w:val="000000"/>
                <w:sz w:val="16"/>
              </w:rPr>
            </w:pPr>
          </w:p>
          <w:p w:rsidR="005D6B07" w:rsidRPr="00D8519A" w:rsidRDefault="005D6B07" w:rsidP="00DE465D">
            <w:pPr>
              <w:shd w:val="clear" w:color="auto" w:fill="EEECE1" w:themeFill="background2"/>
              <w:ind w:left="1008"/>
              <w:rPr>
                <w:rFonts w:cs="Arial"/>
                <w:color w:val="000000"/>
                <w:sz w:val="22"/>
              </w:rPr>
            </w:pPr>
            <w:r w:rsidRPr="00305F39">
              <w:rPr>
                <w:rFonts w:cs="Arial"/>
                <w:b/>
                <w:i/>
                <w:color w:val="000000"/>
                <w:sz w:val="22"/>
                <w:szCs w:val="22"/>
              </w:rPr>
              <w:t>Overall Indicator:</w:t>
            </w:r>
            <w:r w:rsidRPr="00D8519A">
              <w:rPr>
                <w:rFonts w:cs="Arial"/>
                <w:i/>
                <w:color w:val="000000"/>
                <w:sz w:val="22"/>
                <w:szCs w:val="22"/>
              </w:rPr>
              <w:t xml:space="preserve"> </w:t>
            </w:r>
            <w:r w:rsidRPr="00D8519A">
              <w:rPr>
                <w:rFonts w:cs="Arial"/>
                <w:color w:val="000000"/>
                <w:sz w:val="22"/>
                <w:szCs w:val="22"/>
              </w:rPr>
              <w:t xml:space="preserve">Percentage of all </w:t>
            </w:r>
            <w:r>
              <w:rPr>
                <w:rFonts w:cs="Arial"/>
                <w:color w:val="000000"/>
                <w:sz w:val="22"/>
                <w:szCs w:val="22"/>
              </w:rPr>
              <w:t xml:space="preserve">PAHO </w:t>
            </w:r>
            <w:r w:rsidRPr="00D8519A">
              <w:rPr>
                <w:rFonts w:cs="Arial"/>
                <w:color w:val="000000"/>
                <w:sz w:val="22"/>
                <w:szCs w:val="22"/>
              </w:rPr>
              <w:t>staff who have</w:t>
            </w:r>
            <w:r>
              <w:rPr>
                <w:rFonts w:cs="Arial"/>
                <w:color w:val="000000"/>
                <w:sz w:val="22"/>
                <w:szCs w:val="22"/>
              </w:rPr>
              <w:t xml:space="preserve"> a</w:t>
            </w:r>
            <w:r w:rsidRPr="00666FFA">
              <w:rPr>
                <w:rFonts w:cs="Arial"/>
                <w:b/>
                <w:bCs/>
                <w:i/>
                <w:color w:val="000000"/>
                <w:sz w:val="22"/>
                <w:szCs w:val="22"/>
              </w:rPr>
              <w:t xml:space="preserve"> </w:t>
            </w:r>
            <w:r>
              <w:rPr>
                <w:rFonts w:cs="Arial"/>
                <w:b/>
                <w:bCs/>
                <w:i/>
                <w:color w:val="000000"/>
                <w:sz w:val="22"/>
                <w:szCs w:val="22"/>
              </w:rPr>
              <w:t xml:space="preserve">                                </w:t>
            </w:r>
            <w:r w:rsidRPr="00666FFA">
              <w:rPr>
                <w:rFonts w:cs="Arial"/>
                <w:b/>
                <w:bCs/>
                <w:i/>
                <w:color w:val="000000"/>
                <w:sz w:val="22"/>
                <w:szCs w:val="22"/>
              </w:rPr>
              <w:t>basic</w:t>
            </w:r>
            <w:r w:rsidRPr="00D8519A">
              <w:rPr>
                <w:rFonts w:cs="Arial"/>
                <w:color w:val="000000"/>
                <w:sz w:val="22"/>
                <w:szCs w:val="22"/>
              </w:rPr>
              <w:t xml:space="preserve"> </w:t>
            </w:r>
            <w:r w:rsidRPr="00666FFA">
              <w:rPr>
                <w:rFonts w:cs="Arial"/>
                <w:b/>
                <w:bCs/>
                <w:i/>
                <w:color w:val="000000"/>
                <w:sz w:val="22"/>
                <w:szCs w:val="22"/>
              </w:rPr>
              <w:t>understanding</w:t>
            </w:r>
            <w:r w:rsidRPr="00D8519A">
              <w:rPr>
                <w:rFonts w:cs="Arial"/>
                <w:color w:val="000000"/>
                <w:sz w:val="22"/>
                <w:szCs w:val="22"/>
              </w:rPr>
              <w:t xml:space="preserve"> of gender and health. </w:t>
            </w:r>
            <w:r>
              <w:rPr>
                <w:rFonts w:cs="Arial"/>
                <w:color w:val="000000"/>
                <w:sz w:val="22"/>
                <w:szCs w:val="22"/>
              </w:rPr>
              <w:t xml:space="preserve">                                                                   </w:t>
            </w:r>
          </w:p>
          <w:p w:rsidR="005D6B07" w:rsidRPr="00F5557B" w:rsidRDefault="005D6B07" w:rsidP="00DE465D">
            <w:pPr>
              <w:shd w:val="clear" w:color="auto" w:fill="EEECE1" w:themeFill="background2"/>
              <w:ind w:left="288"/>
              <w:rPr>
                <w:rFonts w:cs="Arial"/>
                <w:color w:val="000000"/>
                <w:sz w:val="8"/>
              </w:rPr>
            </w:pPr>
            <w:r>
              <w:rPr>
                <w:rFonts w:cs="Arial"/>
                <w:color w:val="000000"/>
                <w:sz w:val="22"/>
                <w:szCs w:val="22"/>
              </w:rPr>
              <w:t xml:space="preserve">            </w:t>
            </w:r>
          </w:p>
          <w:p w:rsidR="005D6B07" w:rsidRPr="00F5557B" w:rsidRDefault="005D6B07" w:rsidP="00DE465D">
            <w:pPr>
              <w:shd w:val="clear" w:color="auto" w:fill="EEECE1" w:themeFill="background2"/>
              <w:ind w:left="288"/>
              <w:rPr>
                <w:rFonts w:cs="Arial"/>
                <w:b/>
                <w:i/>
                <w:color w:val="000000"/>
                <w:sz w:val="22"/>
              </w:rPr>
            </w:pPr>
            <w:r w:rsidRPr="00F5557B">
              <w:rPr>
                <w:rFonts w:cs="Arial"/>
                <w:i/>
                <w:color w:val="000000"/>
                <w:sz w:val="22"/>
                <w:szCs w:val="22"/>
              </w:rPr>
              <w:t xml:space="preserve">            </w:t>
            </w:r>
            <w:r w:rsidRPr="00F5557B">
              <w:rPr>
                <w:rFonts w:cs="Arial"/>
                <w:b/>
                <w:i/>
                <w:color w:val="000000"/>
                <w:sz w:val="22"/>
                <w:szCs w:val="22"/>
              </w:rPr>
              <w:t>Specific sub indicators</w:t>
            </w:r>
            <w:r>
              <w:rPr>
                <w:rFonts w:cs="Arial"/>
                <w:b/>
                <w:i/>
                <w:color w:val="000000"/>
                <w:sz w:val="22"/>
                <w:szCs w:val="22"/>
              </w:rPr>
              <w:t>:</w:t>
            </w:r>
          </w:p>
          <w:p w:rsidR="005D6B07" w:rsidRPr="00F5557B" w:rsidRDefault="005D6B07" w:rsidP="00DE465D">
            <w:pPr>
              <w:shd w:val="clear" w:color="auto" w:fill="EEECE1" w:themeFill="background2"/>
              <w:ind w:left="288"/>
              <w:rPr>
                <w:rFonts w:cs="Arial"/>
                <w:i/>
                <w:color w:val="000000"/>
                <w:sz w:val="10"/>
              </w:rPr>
            </w:pPr>
          </w:p>
          <w:p w:rsidR="005D6B07" w:rsidRPr="00666FFA" w:rsidRDefault="005D6B07" w:rsidP="00DE465D">
            <w:pPr>
              <w:shd w:val="clear" w:color="auto" w:fill="EEECE1" w:themeFill="background2"/>
              <w:ind w:left="1008"/>
              <w:rPr>
                <w:rFonts w:cs="Arial"/>
                <w:color w:val="000000"/>
                <w:sz w:val="8"/>
              </w:rPr>
            </w:pPr>
            <w:r>
              <w:rPr>
                <w:rFonts w:cs="Arial"/>
                <w:color w:val="000000"/>
                <w:sz w:val="22"/>
                <w:szCs w:val="22"/>
              </w:rPr>
              <w:t xml:space="preserve">i. </w:t>
            </w:r>
            <w:r w:rsidRPr="000F78F5">
              <w:rPr>
                <w:rFonts w:cs="Arial"/>
                <w:color w:val="000000"/>
                <w:sz w:val="22"/>
                <w:szCs w:val="22"/>
              </w:rPr>
              <w:t xml:space="preserve"> </w:t>
            </w:r>
            <w:r w:rsidRPr="00666FFA">
              <w:rPr>
                <w:rFonts w:cs="Arial"/>
                <w:color w:val="000000"/>
                <w:szCs w:val="22"/>
              </w:rPr>
              <w:t xml:space="preserve">% who reported awareness of </w:t>
            </w:r>
            <w:r w:rsidRPr="00666FFA">
              <w:rPr>
                <w:rFonts w:cs="Arial"/>
                <w:b/>
                <w:color w:val="000000"/>
                <w:szCs w:val="22"/>
              </w:rPr>
              <w:t>at least one</w:t>
            </w:r>
            <w:r w:rsidRPr="00666FFA">
              <w:rPr>
                <w:rFonts w:cs="Arial"/>
                <w:color w:val="000000"/>
                <w:szCs w:val="22"/>
              </w:rPr>
              <w:t xml:space="preserve"> gender policy or strategy... </w:t>
            </w:r>
            <w:r w:rsidRPr="00666FFA">
              <w:rPr>
                <w:rFonts w:cs="Arial"/>
                <w:color w:val="000000"/>
                <w:szCs w:val="22"/>
              </w:rPr>
              <w:tab/>
              <w:t xml:space="preserve">    92.6</w:t>
            </w:r>
            <w:r w:rsidRPr="00666FFA">
              <w:rPr>
                <w:rFonts w:cs="Arial"/>
                <w:color w:val="000000"/>
                <w:szCs w:val="22"/>
              </w:rPr>
              <w:tab/>
            </w:r>
            <w:r w:rsidRPr="00666FFA">
              <w:rPr>
                <w:rFonts w:cs="Arial"/>
                <w:color w:val="000000"/>
                <w:sz w:val="10"/>
                <w:szCs w:val="22"/>
              </w:rPr>
              <w:tab/>
            </w:r>
            <w:r w:rsidRPr="00666FFA">
              <w:rPr>
                <w:rFonts w:cs="Arial"/>
                <w:color w:val="000000"/>
                <w:szCs w:val="22"/>
              </w:rPr>
              <w:tab/>
              <w:t xml:space="preserve"> </w:t>
            </w:r>
          </w:p>
          <w:p w:rsidR="005D6B07" w:rsidRPr="00666FFA" w:rsidRDefault="005D6B07" w:rsidP="00DE465D">
            <w:pPr>
              <w:shd w:val="clear" w:color="auto" w:fill="EEECE1" w:themeFill="background2"/>
              <w:ind w:left="1008"/>
              <w:rPr>
                <w:rFonts w:cs="Arial"/>
                <w:color w:val="000000"/>
                <w:sz w:val="12"/>
              </w:rPr>
            </w:pPr>
            <w:r w:rsidRPr="00666FFA">
              <w:rPr>
                <w:rFonts w:cs="Arial"/>
                <w:color w:val="000000"/>
                <w:szCs w:val="22"/>
              </w:rPr>
              <w:t xml:space="preserve">ii. % who reported </w:t>
            </w:r>
            <w:r w:rsidRPr="00666FFA">
              <w:rPr>
                <w:rFonts w:cs="Arial"/>
                <w:b/>
                <w:color w:val="000000"/>
                <w:szCs w:val="22"/>
              </w:rPr>
              <w:t>good knowledge</w:t>
            </w:r>
            <w:r w:rsidRPr="00666FFA">
              <w:rPr>
                <w:rFonts w:cs="Arial"/>
                <w:color w:val="000000"/>
                <w:szCs w:val="22"/>
              </w:rPr>
              <w:t xml:space="preserve"> of gender concepts.......................... </w:t>
            </w:r>
            <w:r w:rsidRPr="00666FFA">
              <w:rPr>
                <w:rFonts w:cs="Arial"/>
                <w:color w:val="000000"/>
                <w:szCs w:val="22"/>
              </w:rPr>
              <w:tab/>
              <w:t xml:space="preserve">    63.3</w:t>
            </w:r>
            <w:r w:rsidRPr="00666FFA">
              <w:rPr>
                <w:rFonts w:cs="Arial"/>
                <w:color w:val="000000"/>
                <w:szCs w:val="22"/>
              </w:rPr>
              <w:tab/>
            </w:r>
            <w:r w:rsidRPr="00666FFA">
              <w:rPr>
                <w:rFonts w:cs="Arial"/>
                <w:color w:val="000000"/>
                <w:szCs w:val="22"/>
              </w:rPr>
              <w:tab/>
            </w:r>
            <w:r w:rsidRPr="00666FFA">
              <w:rPr>
                <w:rFonts w:cs="Arial"/>
                <w:color w:val="000000"/>
                <w:szCs w:val="22"/>
              </w:rPr>
              <w:tab/>
            </w:r>
            <w:r w:rsidRPr="00666FFA">
              <w:rPr>
                <w:rFonts w:cs="Arial"/>
                <w:color w:val="000000"/>
                <w:szCs w:val="22"/>
              </w:rPr>
              <w:tab/>
            </w:r>
          </w:p>
          <w:p w:rsidR="005D6B07" w:rsidRPr="00666FFA" w:rsidRDefault="005D6B07" w:rsidP="00DE465D">
            <w:pPr>
              <w:shd w:val="clear" w:color="auto" w:fill="EEECE1" w:themeFill="background2"/>
              <w:ind w:left="1008"/>
              <w:rPr>
                <w:rFonts w:cs="Arial"/>
                <w:color w:val="000000"/>
              </w:rPr>
            </w:pPr>
            <w:r w:rsidRPr="00666FFA">
              <w:rPr>
                <w:rFonts w:cs="Arial"/>
                <w:color w:val="000000"/>
                <w:szCs w:val="22"/>
              </w:rPr>
              <w:t xml:space="preserve">iii. % who said </w:t>
            </w:r>
            <w:r w:rsidRPr="00666FFA">
              <w:rPr>
                <w:rFonts w:cs="Arial"/>
                <w:b/>
                <w:color w:val="000000"/>
                <w:szCs w:val="22"/>
              </w:rPr>
              <w:t>yes, gender is relevant to the work of their offices</w:t>
            </w:r>
            <w:r w:rsidRPr="00666FFA">
              <w:rPr>
                <w:rFonts w:cs="Arial"/>
                <w:color w:val="000000"/>
                <w:szCs w:val="22"/>
              </w:rPr>
              <w:t>.........</w:t>
            </w:r>
            <w:r w:rsidRPr="00666FFA">
              <w:rPr>
                <w:rFonts w:cs="Arial"/>
                <w:color w:val="000000"/>
                <w:szCs w:val="22"/>
              </w:rPr>
              <w:tab/>
              <w:t xml:space="preserve">    67.2</w:t>
            </w:r>
          </w:p>
          <w:p w:rsidR="005D6B07" w:rsidRPr="00666FFA" w:rsidRDefault="005D6B07" w:rsidP="00DE465D">
            <w:pPr>
              <w:shd w:val="clear" w:color="auto" w:fill="EEECE1" w:themeFill="background2"/>
              <w:ind w:left="1008"/>
              <w:rPr>
                <w:rFonts w:cs="Arial"/>
                <w:color w:val="000000"/>
                <w:sz w:val="8"/>
              </w:rPr>
            </w:pPr>
          </w:p>
          <w:p w:rsidR="005D6B07" w:rsidRPr="00666FFA" w:rsidRDefault="005D6B07" w:rsidP="00DE465D">
            <w:pPr>
              <w:shd w:val="clear" w:color="auto" w:fill="EEECE1" w:themeFill="background2"/>
              <w:ind w:left="1008"/>
              <w:rPr>
                <w:rFonts w:cs="Arial"/>
                <w:color w:val="000000"/>
              </w:rPr>
            </w:pPr>
            <w:r w:rsidRPr="00666FFA">
              <w:rPr>
                <w:rFonts w:cs="Arial"/>
                <w:color w:val="000000"/>
                <w:szCs w:val="22"/>
              </w:rPr>
              <w:t xml:space="preserve">iv. % who said </w:t>
            </w:r>
            <w:r w:rsidRPr="00666FFA">
              <w:rPr>
                <w:rFonts w:cs="Arial"/>
                <w:b/>
                <w:color w:val="000000"/>
                <w:szCs w:val="22"/>
              </w:rPr>
              <w:t>y</w:t>
            </w:r>
            <w:r>
              <w:rPr>
                <w:rFonts w:cs="Arial"/>
                <w:b/>
                <w:color w:val="000000"/>
                <w:szCs w:val="22"/>
              </w:rPr>
              <w:t xml:space="preserve">es, gender is relevant to their </w:t>
            </w:r>
            <w:r w:rsidRPr="00666FFA">
              <w:rPr>
                <w:rFonts w:cs="Arial"/>
                <w:b/>
                <w:color w:val="000000"/>
                <w:szCs w:val="22"/>
              </w:rPr>
              <w:t>own work</w:t>
            </w:r>
            <w:r w:rsidRPr="00666FFA">
              <w:rPr>
                <w:rFonts w:cs="Arial"/>
                <w:color w:val="000000"/>
                <w:szCs w:val="22"/>
              </w:rPr>
              <w:t>...............</w:t>
            </w:r>
            <w:r w:rsidR="00AC43E9">
              <w:rPr>
                <w:rFonts w:cs="Arial"/>
                <w:color w:val="000000"/>
                <w:szCs w:val="22"/>
              </w:rPr>
              <w:t>....</w:t>
            </w:r>
            <w:r w:rsidRPr="00666FFA">
              <w:rPr>
                <w:rFonts w:cs="Arial"/>
                <w:color w:val="000000"/>
                <w:szCs w:val="22"/>
              </w:rPr>
              <w:t xml:space="preserve">.......   </w:t>
            </w:r>
            <w:r>
              <w:rPr>
                <w:rFonts w:cs="Arial"/>
                <w:color w:val="000000"/>
                <w:szCs w:val="22"/>
              </w:rPr>
              <w:t xml:space="preserve">  </w:t>
            </w:r>
            <w:r w:rsidRPr="00666FFA">
              <w:rPr>
                <w:rFonts w:cs="Arial"/>
                <w:color w:val="000000"/>
                <w:szCs w:val="22"/>
              </w:rPr>
              <w:t xml:space="preserve"> 64.6</w:t>
            </w:r>
          </w:p>
          <w:p w:rsidR="005D6B07" w:rsidRPr="00D8519A" w:rsidRDefault="005D6B07" w:rsidP="00DE465D">
            <w:pPr>
              <w:shd w:val="clear" w:color="auto" w:fill="EEECE1" w:themeFill="background2"/>
              <w:ind w:left="648"/>
              <w:rPr>
                <w:rFonts w:cs="Arial"/>
                <w:color w:val="000000"/>
                <w:sz w:val="22"/>
              </w:rPr>
            </w:pPr>
          </w:p>
          <w:p w:rsidR="005D6B07" w:rsidRPr="00D8519A" w:rsidRDefault="005D6B07" w:rsidP="00DE465D">
            <w:pPr>
              <w:shd w:val="clear" w:color="auto" w:fill="EEECE1" w:themeFill="background2"/>
              <w:ind w:left="288"/>
              <w:rPr>
                <w:rFonts w:cs="Arial"/>
                <w:sz w:val="22"/>
                <w:lang w:val="en-GB"/>
              </w:rPr>
            </w:pPr>
            <w:r>
              <w:rPr>
                <w:rFonts w:cs="Arial"/>
                <w:b/>
                <w:sz w:val="22"/>
                <w:szCs w:val="22"/>
                <w:lang w:val="en-GB"/>
              </w:rPr>
              <w:t xml:space="preserve">2.      </w:t>
            </w:r>
            <w:r w:rsidRPr="00D8519A">
              <w:rPr>
                <w:rFonts w:cs="Arial"/>
                <w:b/>
                <w:sz w:val="22"/>
                <w:szCs w:val="22"/>
                <w:lang w:val="en-GB"/>
              </w:rPr>
              <w:t xml:space="preserve">Application of gender analysis and actions to their work </w:t>
            </w:r>
            <w:r w:rsidRPr="00D8519A">
              <w:rPr>
                <w:rFonts w:cs="Arial"/>
                <w:sz w:val="22"/>
                <w:szCs w:val="22"/>
                <w:lang w:val="en-GB"/>
              </w:rPr>
              <w:t xml:space="preserve"> </w:t>
            </w:r>
          </w:p>
          <w:p w:rsidR="005D6B07" w:rsidRPr="00666FFA" w:rsidRDefault="005D6B07" w:rsidP="00DE465D">
            <w:pPr>
              <w:shd w:val="clear" w:color="auto" w:fill="EEECE1" w:themeFill="background2"/>
              <w:ind w:left="648"/>
              <w:rPr>
                <w:rFonts w:cs="Arial"/>
                <w:color w:val="000000"/>
                <w:sz w:val="12"/>
              </w:rPr>
            </w:pPr>
          </w:p>
          <w:p w:rsidR="005D6B07" w:rsidRPr="00666FFA" w:rsidRDefault="005D6B07" w:rsidP="00DE465D">
            <w:pPr>
              <w:shd w:val="clear" w:color="auto" w:fill="EEECE1" w:themeFill="background2"/>
              <w:ind w:left="1008"/>
              <w:rPr>
                <w:rFonts w:cs="Arial"/>
                <w:bCs/>
              </w:rPr>
            </w:pPr>
            <w:r w:rsidRPr="00666FFA">
              <w:rPr>
                <w:rFonts w:cs="Arial"/>
                <w:b/>
                <w:i/>
                <w:color w:val="000000"/>
                <w:szCs w:val="22"/>
              </w:rPr>
              <w:t>Indicator:</w:t>
            </w:r>
            <w:r w:rsidRPr="00666FFA">
              <w:rPr>
                <w:rFonts w:cs="Arial"/>
                <w:color w:val="000000"/>
                <w:szCs w:val="22"/>
              </w:rPr>
              <w:t xml:space="preserve">  </w:t>
            </w:r>
            <w:r w:rsidRPr="00666FFA">
              <w:rPr>
                <w:rFonts w:cs="Arial"/>
                <w:bCs/>
                <w:szCs w:val="22"/>
              </w:rPr>
              <w:t xml:space="preserve">Percentage of all PAHO staff who are </w:t>
            </w:r>
            <w:r w:rsidRPr="00666FFA">
              <w:rPr>
                <w:rFonts w:cs="Arial"/>
                <w:b/>
                <w:szCs w:val="22"/>
              </w:rPr>
              <w:t xml:space="preserve">at least </w:t>
            </w:r>
            <w:r>
              <w:rPr>
                <w:rFonts w:cs="Arial"/>
                <w:b/>
                <w:szCs w:val="22"/>
              </w:rPr>
              <w:t xml:space="preserve">    </w:t>
            </w:r>
            <w:r w:rsidRPr="00666FFA">
              <w:rPr>
                <w:rFonts w:cs="Arial"/>
                <w:b/>
                <w:szCs w:val="22"/>
              </w:rPr>
              <w:t xml:space="preserve">                                moderately applying </w:t>
            </w:r>
            <w:r w:rsidRPr="00666FFA">
              <w:rPr>
                <w:rFonts w:cs="Arial"/>
                <w:szCs w:val="22"/>
              </w:rPr>
              <w:t>gender analysis and actions</w:t>
            </w:r>
            <w:r w:rsidRPr="00666FFA">
              <w:rPr>
                <w:rFonts w:cs="Arial"/>
                <w:bCs/>
                <w:szCs w:val="22"/>
                <w:u w:val="single"/>
              </w:rPr>
              <w:t xml:space="preserve"> </w:t>
            </w:r>
            <w:r w:rsidRPr="00666FFA">
              <w:rPr>
                <w:rFonts w:cs="Arial"/>
                <w:bCs/>
                <w:szCs w:val="22"/>
              </w:rPr>
              <w:t>in their work. .</w:t>
            </w:r>
            <w:r>
              <w:rPr>
                <w:rFonts w:cs="Arial"/>
                <w:bCs/>
                <w:szCs w:val="22"/>
              </w:rPr>
              <w:t>....</w:t>
            </w:r>
            <w:r w:rsidRPr="00666FFA">
              <w:rPr>
                <w:rFonts w:cs="Arial"/>
                <w:bCs/>
                <w:szCs w:val="22"/>
              </w:rPr>
              <w:t xml:space="preserve">......... </w:t>
            </w:r>
            <w:r w:rsidR="00AC43E9">
              <w:rPr>
                <w:rFonts w:cs="Arial"/>
                <w:bCs/>
                <w:szCs w:val="22"/>
              </w:rPr>
              <w:t>....</w:t>
            </w:r>
            <w:r w:rsidRPr="00666FFA">
              <w:rPr>
                <w:rFonts w:cs="Arial"/>
                <w:bCs/>
                <w:szCs w:val="22"/>
              </w:rPr>
              <w:t xml:space="preserve">   42.1</w:t>
            </w:r>
          </w:p>
          <w:p w:rsidR="005D6B07" w:rsidRPr="00D8519A" w:rsidRDefault="005D6B07" w:rsidP="00DE465D">
            <w:pPr>
              <w:shd w:val="clear" w:color="auto" w:fill="EEECE1" w:themeFill="background2"/>
              <w:ind w:left="1008"/>
              <w:rPr>
                <w:rFonts w:cs="Arial"/>
                <w:bCs/>
                <w:sz w:val="22"/>
              </w:rPr>
            </w:pPr>
          </w:p>
          <w:p w:rsidR="005D6B07" w:rsidRPr="00D8519A" w:rsidRDefault="005D6B07" w:rsidP="00DE465D">
            <w:pPr>
              <w:pStyle w:val="ListParagraph"/>
              <w:shd w:val="clear" w:color="auto" w:fill="EEECE1" w:themeFill="background2"/>
              <w:ind w:left="288"/>
              <w:rPr>
                <w:rFonts w:cs="Arial"/>
                <w:b/>
                <w:color w:val="000000"/>
                <w:sz w:val="22"/>
              </w:rPr>
            </w:pPr>
            <w:r>
              <w:rPr>
                <w:rFonts w:cs="Arial"/>
                <w:b/>
                <w:color w:val="000000"/>
                <w:sz w:val="22"/>
                <w:szCs w:val="22"/>
              </w:rPr>
              <w:t xml:space="preserve">3.      </w:t>
            </w:r>
            <w:r w:rsidRPr="00D8519A">
              <w:rPr>
                <w:rFonts w:cs="Arial"/>
                <w:b/>
                <w:color w:val="000000"/>
                <w:sz w:val="22"/>
                <w:szCs w:val="22"/>
              </w:rPr>
              <w:t xml:space="preserve">Institutional support for gender mainstreaming  </w:t>
            </w:r>
          </w:p>
          <w:p w:rsidR="005D6B07" w:rsidRPr="00666FFA" w:rsidRDefault="005D6B07" w:rsidP="00DE465D">
            <w:pPr>
              <w:shd w:val="clear" w:color="auto" w:fill="EEECE1" w:themeFill="background2"/>
              <w:ind w:left="648"/>
              <w:rPr>
                <w:rFonts w:cs="Arial"/>
                <w:i/>
                <w:color w:val="000000"/>
                <w:sz w:val="8"/>
              </w:rPr>
            </w:pPr>
          </w:p>
          <w:p w:rsidR="005D6B07" w:rsidRDefault="005D6B07" w:rsidP="00DE465D">
            <w:pPr>
              <w:shd w:val="clear" w:color="auto" w:fill="EEECE1" w:themeFill="background2"/>
              <w:ind w:left="1008"/>
              <w:rPr>
                <w:rFonts w:cs="Arial"/>
                <w:color w:val="000000"/>
                <w:szCs w:val="22"/>
              </w:rPr>
            </w:pPr>
            <w:r w:rsidRPr="00666FFA">
              <w:rPr>
                <w:rFonts w:cs="Arial"/>
                <w:b/>
                <w:i/>
                <w:color w:val="000000"/>
                <w:szCs w:val="22"/>
              </w:rPr>
              <w:t>Indicator</w:t>
            </w:r>
            <w:r w:rsidRPr="00666FFA">
              <w:rPr>
                <w:rFonts w:cs="Arial"/>
                <w:i/>
                <w:color w:val="000000"/>
                <w:szCs w:val="22"/>
              </w:rPr>
              <w:t>:</w:t>
            </w:r>
            <w:r w:rsidRPr="00666FFA">
              <w:rPr>
                <w:rFonts w:cs="Arial"/>
                <w:color w:val="000000"/>
                <w:szCs w:val="22"/>
              </w:rPr>
              <w:t xml:space="preserve"> Percentage of all PAHO staff who </w:t>
            </w:r>
            <w:r w:rsidRPr="00666FFA">
              <w:rPr>
                <w:rFonts w:cs="Arial"/>
                <w:bCs/>
                <w:color w:val="000000"/>
                <w:szCs w:val="22"/>
              </w:rPr>
              <w:t xml:space="preserve">report </w:t>
            </w:r>
            <w:r w:rsidRPr="00666FFA">
              <w:rPr>
                <w:rFonts w:cs="Arial"/>
                <w:b/>
                <w:bCs/>
                <w:color w:val="000000"/>
                <w:szCs w:val="22"/>
              </w:rPr>
              <w:t xml:space="preserve">at least some </w:t>
            </w:r>
            <w:r>
              <w:rPr>
                <w:rFonts w:cs="Arial"/>
                <w:b/>
                <w:bCs/>
                <w:color w:val="000000"/>
                <w:szCs w:val="22"/>
              </w:rPr>
              <w:t xml:space="preserve">    </w:t>
            </w:r>
            <w:r w:rsidRPr="00666FFA">
              <w:rPr>
                <w:rFonts w:cs="Arial"/>
                <w:b/>
                <w:bCs/>
                <w:color w:val="000000"/>
                <w:szCs w:val="22"/>
              </w:rPr>
              <w:t xml:space="preserve">                 institutional support </w:t>
            </w:r>
            <w:r w:rsidRPr="00666FFA">
              <w:rPr>
                <w:rFonts w:cs="Arial"/>
                <w:color w:val="000000"/>
                <w:szCs w:val="22"/>
              </w:rPr>
              <w:t>for gender integration into their work.............</w:t>
            </w:r>
            <w:r>
              <w:rPr>
                <w:rFonts w:cs="Arial"/>
                <w:color w:val="000000"/>
                <w:szCs w:val="22"/>
              </w:rPr>
              <w:t xml:space="preserve">......... </w:t>
            </w:r>
            <w:r w:rsidRPr="00666FFA">
              <w:rPr>
                <w:rFonts w:cs="Arial"/>
                <w:color w:val="000000"/>
                <w:szCs w:val="22"/>
              </w:rPr>
              <w:t>.</w:t>
            </w:r>
            <w:r>
              <w:rPr>
                <w:rFonts w:cs="Arial"/>
                <w:color w:val="000000"/>
                <w:sz w:val="22"/>
                <w:szCs w:val="22"/>
              </w:rPr>
              <w:tab/>
              <w:t xml:space="preserve">   </w:t>
            </w:r>
            <w:r w:rsidRPr="00666FFA">
              <w:rPr>
                <w:rFonts w:cs="Arial"/>
                <w:color w:val="000000"/>
                <w:szCs w:val="22"/>
              </w:rPr>
              <w:t>42.9</w:t>
            </w:r>
          </w:p>
          <w:p w:rsidR="00DE465D" w:rsidRDefault="00DE465D" w:rsidP="00DE465D">
            <w:pPr>
              <w:shd w:val="clear" w:color="auto" w:fill="EEECE1" w:themeFill="background2"/>
              <w:ind w:left="1008"/>
              <w:rPr>
                <w:rFonts w:cs="Arial"/>
                <w:b/>
                <w:bCs/>
                <w:sz w:val="28"/>
              </w:rPr>
            </w:pPr>
          </w:p>
        </w:tc>
      </w:tr>
    </w:tbl>
    <w:p w:rsidR="009571FA" w:rsidRPr="00F30AAB" w:rsidRDefault="009571FA" w:rsidP="00DE465D">
      <w:pPr>
        <w:rPr>
          <w:rFonts w:cs="Arial"/>
          <w:b/>
          <w:color w:val="000000"/>
          <w:sz w:val="22"/>
          <w:szCs w:val="22"/>
        </w:rPr>
      </w:pPr>
    </w:p>
    <w:p w:rsidR="00C00796" w:rsidRDefault="009571FA" w:rsidP="00C00796">
      <w:pPr>
        <w:jc w:val="both"/>
        <w:rPr>
          <w:rFonts w:cs="Arial"/>
          <w:color w:val="000000"/>
          <w:sz w:val="22"/>
          <w:szCs w:val="22"/>
        </w:rPr>
      </w:pPr>
      <w:r w:rsidRPr="007B5DC4">
        <w:rPr>
          <w:rFonts w:cs="Arial"/>
          <w:b/>
          <w:i/>
          <w:color w:val="000000"/>
          <w:sz w:val="22"/>
          <w:szCs w:val="22"/>
        </w:rPr>
        <w:t>Sample size and distribution</w:t>
      </w:r>
      <w:r w:rsidR="008D401A">
        <w:rPr>
          <w:rFonts w:cs="Arial"/>
          <w:b/>
          <w:i/>
          <w:color w:val="000000"/>
          <w:sz w:val="22"/>
          <w:szCs w:val="22"/>
        </w:rPr>
        <w:t xml:space="preserve">: </w:t>
      </w:r>
      <w:r>
        <w:rPr>
          <w:rFonts w:cs="Arial"/>
          <w:color w:val="000000"/>
          <w:sz w:val="22"/>
          <w:szCs w:val="22"/>
        </w:rPr>
        <w:t xml:space="preserve">PAHO’s staff response </w:t>
      </w:r>
      <w:r w:rsidR="00DE465D">
        <w:rPr>
          <w:rFonts w:cs="Arial"/>
          <w:color w:val="000000"/>
          <w:sz w:val="22"/>
          <w:szCs w:val="22"/>
        </w:rPr>
        <w:t xml:space="preserve">to the online survey was </w:t>
      </w:r>
      <w:r w:rsidR="00DE465D">
        <w:rPr>
          <w:rFonts w:cs="Arial"/>
          <w:b/>
          <w:color w:val="000000"/>
          <w:sz w:val="22"/>
          <w:szCs w:val="22"/>
        </w:rPr>
        <w:t xml:space="preserve">44%, </w:t>
      </w:r>
      <w:r w:rsidR="00DE465D" w:rsidRPr="00DE465D">
        <w:rPr>
          <w:rFonts w:cs="Arial"/>
          <w:color w:val="000000"/>
          <w:sz w:val="22"/>
          <w:szCs w:val="22"/>
        </w:rPr>
        <w:t xml:space="preserve">amply surpassing </w:t>
      </w:r>
      <w:r w:rsidRPr="00DE465D">
        <w:rPr>
          <w:rFonts w:cs="Arial"/>
          <w:color w:val="000000"/>
          <w:sz w:val="22"/>
          <w:szCs w:val="22"/>
        </w:rPr>
        <w:t>the</w:t>
      </w:r>
      <w:r>
        <w:rPr>
          <w:rFonts w:cs="Arial"/>
          <w:color w:val="000000"/>
          <w:sz w:val="22"/>
          <w:szCs w:val="22"/>
        </w:rPr>
        <w:t xml:space="preserve"> low expectation of 20%</w:t>
      </w:r>
      <w:r w:rsidR="00DE465D">
        <w:rPr>
          <w:rFonts w:cs="Arial"/>
          <w:color w:val="000000"/>
          <w:sz w:val="22"/>
          <w:szCs w:val="22"/>
        </w:rPr>
        <w:t xml:space="preserve"> and the average response for all WHO staff which was 2</w:t>
      </w:r>
      <w:r w:rsidR="005862EB">
        <w:rPr>
          <w:rFonts w:cs="Arial"/>
          <w:color w:val="000000"/>
          <w:sz w:val="22"/>
          <w:szCs w:val="22"/>
        </w:rPr>
        <w:t>5</w:t>
      </w:r>
      <w:r w:rsidR="00DE465D">
        <w:rPr>
          <w:rFonts w:cs="Arial"/>
          <w:color w:val="000000"/>
          <w:sz w:val="22"/>
          <w:szCs w:val="22"/>
        </w:rPr>
        <w:t xml:space="preserve">%.  </w:t>
      </w:r>
      <w:r>
        <w:rPr>
          <w:rFonts w:cs="Arial"/>
          <w:color w:val="000000"/>
          <w:sz w:val="22"/>
          <w:szCs w:val="22"/>
        </w:rPr>
        <w:t>The response rate</w:t>
      </w:r>
      <w:r w:rsidR="007B5DC4">
        <w:rPr>
          <w:rFonts w:cs="Arial"/>
          <w:color w:val="000000"/>
          <w:sz w:val="22"/>
          <w:szCs w:val="22"/>
        </w:rPr>
        <w:t>s</w:t>
      </w:r>
      <w:r>
        <w:rPr>
          <w:rFonts w:cs="Arial"/>
          <w:color w:val="000000"/>
          <w:sz w:val="22"/>
          <w:szCs w:val="22"/>
        </w:rPr>
        <w:t xml:space="preserve"> by sex and grade appear</w:t>
      </w:r>
      <w:r w:rsidR="007B5DC4">
        <w:rPr>
          <w:rFonts w:cs="Arial"/>
          <w:color w:val="000000"/>
          <w:sz w:val="22"/>
          <w:szCs w:val="22"/>
        </w:rPr>
        <w:t>ing</w:t>
      </w:r>
      <w:r>
        <w:rPr>
          <w:rFonts w:cs="Arial"/>
          <w:color w:val="000000"/>
          <w:sz w:val="22"/>
          <w:szCs w:val="22"/>
        </w:rPr>
        <w:t xml:space="preserve"> in Table 1</w:t>
      </w:r>
      <w:r w:rsidR="007B5DC4">
        <w:rPr>
          <w:rFonts w:cs="Arial"/>
          <w:color w:val="000000"/>
          <w:sz w:val="22"/>
          <w:szCs w:val="22"/>
        </w:rPr>
        <w:t xml:space="preserve"> show that the </w:t>
      </w:r>
      <w:r>
        <w:rPr>
          <w:rFonts w:cs="Arial"/>
          <w:color w:val="000000"/>
          <w:sz w:val="22"/>
          <w:szCs w:val="22"/>
        </w:rPr>
        <w:t xml:space="preserve">sex difference was </w:t>
      </w:r>
      <w:r w:rsidR="00C64E75">
        <w:rPr>
          <w:rFonts w:cs="Arial"/>
          <w:color w:val="000000"/>
          <w:sz w:val="22"/>
          <w:szCs w:val="22"/>
        </w:rPr>
        <w:t xml:space="preserve">negligible. </w:t>
      </w:r>
      <w:r>
        <w:rPr>
          <w:rFonts w:cs="Arial"/>
          <w:color w:val="000000"/>
          <w:sz w:val="22"/>
          <w:szCs w:val="22"/>
        </w:rPr>
        <w:t>The grade difference, on the other hand, was considerable and</w:t>
      </w:r>
      <w:r w:rsidR="007B5DC4">
        <w:rPr>
          <w:rFonts w:cs="Arial"/>
          <w:color w:val="000000"/>
          <w:sz w:val="22"/>
          <w:szCs w:val="22"/>
        </w:rPr>
        <w:t xml:space="preserve"> favour</w:t>
      </w:r>
      <w:r w:rsidR="003B2735">
        <w:rPr>
          <w:rFonts w:cs="Arial"/>
          <w:color w:val="000000"/>
          <w:sz w:val="22"/>
          <w:szCs w:val="22"/>
        </w:rPr>
        <w:t>ed</w:t>
      </w:r>
      <w:r w:rsidR="007B5DC4">
        <w:rPr>
          <w:rFonts w:cs="Arial"/>
          <w:color w:val="000000"/>
          <w:sz w:val="22"/>
          <w:szCs w:val="22"/>
        </w:rPr>
        <w:t xml:space="preserve"> </w:t>
      </w:r>
      <w:r>
        <w:rPr>
          <w:rFonts w:cs="Arial"/>
          <w:color w:val="000000"/>
          <w:sz w:val="22"/>
          <w:szCs w:val="22"/>
        </w:rPr>
        <w:t xml:space="preserve">professionals whose percentage </w:t>
      </w:r>
      <w:r w:rsidR="007B5DC4">
        <w:rPr>
          <w:rFonts w:cs="Arial"/>
          <w:color w:val="000000"/>
          <w:sz w:val="22"/>
          <w:szCs w:val="22"/>
        </w:rPr>
        <w:t xml:space="preserve">of response </w:t>
      </w:r>
      <w:r>
        <w:rPr>
          <w:rFonts w:cs="Arial"/>
          <w:color w:val="000000"/>
          <w:sz w:val="22"/>
          <w:szCs w:val="22"/>
        </w:rPr>
        <w:t xml:space="preserve">more than doubled that of the general service staff. </w:t>
      </w:r>
    </w:p>
    <w:p w:rsidR="00C00796" w:rsidRDefault="00C00796" w:rsidP="00063CFD">
      <w:pPr>
        <w:rPr>
          <w:rFonts w:cs="Arial"/>
          <w:color w:val="000000"/>
          <w:sz w:val="22"/>
          <w:szCs w:val="22"/>
        </w:rPr>
      </w:pPr>
    </w:p>
    <w:p w:rsidR="009571FA" w:rsidRPr="00E2373F" w:rsidRDefault="009571FA" w:rsidP="003B3F06">
      <w:pPr>
        <w:ind w:left="540"/>
        <w:rPr>
          <w:rFonts w:cs="Arial"/>
          <w:color w:val="000000"/>
          <w:sz w:val="22"/>
          <w:szCs w:val="22"/>
        </w:rPr>
      </w:pPr>
      <w:r w:rsidRPr="00E2373F">
        <w:rPr>
          <w:rFonts w:cs="Arial"/>
          <w:b/>
          <w:color w:val="000000"/>
          <w:sz w:val="22"/>
          <w:szCs w:val="22"/>
        </w:rPr>
        <w:t>Table 1.</w:t>
      </w:r>
      <w:r w:rsidRPr="00E2373F">
        <w:rPr>
          <w:rFonts w:cs="Arial"/>
          <w:color w:val="000000"/>
          <w:sz w:val="22"/>
          <w:szCs w:val="22"/>
        </w:rPr>
        <w:t xml:space="preserve">  </w:t>
      </w:r>
      <w:r>
        <w:rPr>
          <w:rFonts w:cs="Arial"/>
          <w:color w:val="000000"/>
          <w:sz w:val="22"/>
          <w:szCs w:val="22"/>
        </w:rPr>
        <w:t>Composition by sex and grade</w:t>
      </w:r>
      <w:r w:rsidRPr="00E2373F">
        <w:rPr>
          <w:rFonts w:cs="Arial"/>
          <w:color w:val="000000"/>
          <w:sz w:val="22"/>
          <w:szCs w:val="22"/>
        </w:rPr>
        <w:t xml:space="preserve"> of the sample of PAHO staff members that </w:t>
      </w:r>
      <w:r>
        <w:rPr>
          <w:rFonts w:cs="Arial"/>
          <w:color w:val="000000"/>
          <w:sz w:val="22"/>
          <w:szCs w:val="22"/>
        </w:rPr>
        <w:t xml:space="preserve">answered </w:t>
      </w:r>
      <w:r w:rsidRPr="00E2373F">
        <w:rPr>
          <w:rFonts w:cs="Arial"/>
          <w:color w:val="000000"/>
          <w:sz w:val="22"/>
          <w:szCs w:val="22"/>
        </w:rPr>
        <w:t>the</w:t>
      </w:r>
      <w:r>
        <w:rPr>
          <w:rFonts w:cs="Arial"/>
          <w:color w:val="000000"/>
          <w:sz w:val="22"/>
          <w:szCs w:val="22"/>
        </w:rPr>
        <w:t xml:space="preserve"> E</w:t>
      </w:r>
      <w:r w:rsidRPr="00E2373F">
        <w:rPr>
          <w:rFonts w:cs="Arial"/>
          <w:color w:val="000000"/>
          <w:sz w:val="22"/>
          <w:szCs w:val="22"/>
        </w:rPr>
        <w:t>-mail survey</w:t>
      </w:r>
      <w:r>
        <w:rPr>
          <w:rFonts w:cs="Arial"/>
          <w:color w:val="000000"/>
          <w:sz w:val="22"/>
          <w:szCs w:val="22"/>
        </w:rPr>
        <w:t>. June</w:t>
      </w:r>
      <w:r w:rsidRPr="00E2373F">
        <w:rPr>
          <w:rFonts w:cs="Arial"/>
          <w:color w:val="000000"/>
          <w:sz w:val="22"/>
          <w:szCs w:val="22"/>
        </w:rPr>
        <w:t xml:space="preserve"> 2008</w:t>
      </w:r>
    </w:p>
    <w:p w:rsidR="009571FA" w:rsidRPr="00E94205" w:rsidRDefault="009571FA" w:rsidP="003B3F06">
      <w:pPr>
        <w:ind w:left="720"/>
        <w:rPr>
          <w:rFonts w:cs="Arial"/>
          <w:i/>
          <w:color w:val="000000"/>
          <w:sz w:val="16"/>
          <w:szCs w:val="22"/>
        </w:rPr>
      </w:pPr>
    </w:p>
    <w:tbl>
      <w:tblPr>
        <w:tblW w:w="0" w:type="auto"/>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6"/>
        <w:gridCol w:w="3792"/>
        <w:gridCol w:w="1309"/>
        <w:gridCol w:w="1337"/>
        <w:gridCol w:w="1264"/>
      </w:tblGrid>
      <w:tr w:rsidR="009571FA" w:rsidRPr="00E94205" w:rsidTr="006D45E6">
        <w:trPr>
          <w:trHeight w:val="674"/>
        </w:trPr>
        <w:tc>
          <w:tcPr>
            <w:tcW w:w="4568" w:type="dxa"/>
            <w:gridSpan w:val="2"/>
            <w:shd w:val="clear" w:color="auto" w:fill="C6D9F1"/>
          </w:tcPr>
          <w:p w:rsidR="009571FA" w:rsidRPr="006D45E6" w:rsidRDefault="009571FA">
            <w:pPr>
              <w:rPr>
                <w:rFonts w:cs="Arial"/>
                <w:b/>
                <w:color w:val="000000"/>
                <w:sz w:val="22"/>
              </w:rPr>
            </w:pPr>
          </w:p>
          <w:p w:rsidR="009571FA" w:rsidRPr="006D45E6" w:rsidRDefault="009571FA" w:rsidP="005638A1">
            <w:pPr>
              <w:rPr>
                <w:rFonts w:cs="Arial"/>
                <w:b/>
                <w:color w:val="000000"/>
                <w:sz w:val="22"/>
              </w:rPr>
            </w:pPr>
            <w:r w:rsidRPr="006D45E6">
              <w:rPr>
                <w:rFonts w:cs="Arial"/>
                <w:b/>
                <w:color w:val="000000"/>
                <w:sz w:val="22"/>
                <w:szCs w:val="22"/>
              </w:rPr>
              <w:t xml:space="preserve">             Sex &amp; Grade categories </w:t>
            </w:r>
          </w:p>
        </w:tc>
        <w:tc>
          <w:tcPr>
            <w:tcW w:w="1309" w:type="dxa"/>
            <w:shd w:val="clear" w:color="auto" w:fill="C6D9F1"/>
          </w:tcPr>
          <w:p w:rsidR="009571FA" w:rsidRPr="00F30AAB" w:rsidRDefault="009571FA">
            <w:pPr>
              <w:jc w:val="center"/>
              <w:rPr>
                <w:rFonts w:ascii="Arial Narrow" w:hAnsi="Arial Narrow" w:cs="Arial"/>
                <w:color w:val="000000"/>
              </w:rPr>
            </w:pPr>
            <w:r w:rsidRPr="00F30AAB">
              <w:rPr>
                <w:rFonts w:ascii="Arial Narrow" w:hAnsi="Arial Narrow" w:cs="Arial"/>
                <w:color w:val="000000"/>
                <w:szCs w:val="22"/>
              </w:rPr>
              <w:t>No.</w:t>
            </w:r>
          </w:p>
          <w:p w:rsidR="009571FA" w:rsidRPr="00F30AAB" w:rsidRDefault="009571FA" w:rsidP="007B1320">
            <w:pPr>
              <w:jc w:val="center"/>
              <w:rPr>
                <w:rFonts w:ascii="Arial Narrow" w:hAnsi="Arial Narrow" w:cs="Arial"/>
                <w:color w:val="000000"/>
              </w:rPr>
            </w:pPr>
            <w:r w:rsidRPr="00F30AAB">
              <w:rPr>
                <w:rFonts w:ascii="Arial Narrow" w:hAnsi="Arial Narrow" w:cs="Arial"/>
                <w:color w:val="000000"/>
                <w:szCs w:val="22"/>
              </w:rPr>
              <w:t xml:space="preserve">Staff </w:t>
            </w:r>
          </w:p>
        </w:tc>
        <w:tc>
          <w:tcPr>
            <w:tcW w:w="1337" w:type="dxa"/>
            <w:shd w:val="clear" w:color="auto" w:fill="C6D9F1"/>
          </w:tcPr>
          <w:p w:rsidR="009571FA" w:rsidRPr="00F30AAB" w:rsidRDefault="009571FA">
            <w:pPr>
              <w:jc w:val="center"/>
              <w:rPr>
                <w:rFonts w:ascii="Arial Narrow" w:hAnsi="Arial Narrow" w:cs="Arial"/>
                <w:color w:val="000000"/>
              </w:rPr>
            </w:pPr>
            <w:r w:rsidRPr="00F30AAB">
              <w:rPr>
                <w:rFonts w:ascii="Arial Narrow" w:hAnsi="Arial Narrow" w:cs="Arial"/>
                <w:color w:val="000000"/>
                <w:szCs w:val="22"/>
              </w:rPr>
              <w:t>No.</w:t>
            </w:r>
          </w:p>
          <w:p w:rsidR="009571FA" w:rsidRPr="00F30AAB" w:rsidRDefault="009571FA">
            <w:pPr>
              <w:jc w:val="center"/>
              <w:rPr>
                <w:rFonts w:ascii="Arial Narrow" w:hAnsi="Arial Narrow" w:cs="Arial"/>
                <w:color w:val="000000"/>
              </w:rPr>
            </w:pPr>
            <w:r w:rsidRPr="00F30AAB">
              <w:rPr>
                <w:rFonts w:ascii="Arial Narrow" w:hAnsi="Arial Narrow" w:cs="Arial"/>
                <w:color w:val="000000"/>
                <w:szCs w:val="22"/>
              </w:rPr>
              <w:t>Respondents</w:t>
            </w:r>
          </w:p>
        </w:tc>
        <w:tc>
          <w:tcPr>
            <w:tcW w:w="1264" w:type="dxa"/>
            <w:shd w:val="clear" w:color="auto" w:fill="C6D9F1"/>
          </w:tcPr>
          <w:p w:rsidR="009571FA" w:rsidRPr="00F30AAB" w:rsidRDefault="009571FA">
            <w:pPr>
              <w:jc w:val="center"/>
              <w:rPr>
                <w:rFonts w:ascii="Arial Narrow" w:hAnsi="Arial Narrow" w:cs="Arial"/>
                <w:color w:val="000000"/>
              </w:rPr>
            </w:pPr>
            <w:r w:rsidRPr="00F30AAB">
              <w:rPr>
                <w:rFonts w:ascii="Arial Narrow" w:hAnsi="Arial Narrow" w:cs="Arial"/>
                <w:color w:val="000000"/>
                <w:szCs w:val="22"/>
              </w:rPr>
              <w:t>%</w:t>
            </w:r>
          </w:p>
          <w:p w:rsidR="009571FA" w:rsidRPr="00F30AAB" w:rsidRDefault="009571FA">
            <w:pPr>
              <w:jc w:val="center"/>
              <w:rPr>
                <w:rFonts w:ascii="Arial Narrow" w:hAnsi="Arial Narrow" w:cs="Arial"/>
                <w:color w:val="000000"/>
              </w:rPr>
            </w:pPr>
            <w:r w:rsidRPr="00F30AAB">
              <w:rPr>
                <w:rFonts w:ascii="Arial Narrow" w:hAnsi="Arial Narrow" w:cs="Arial"/>
                <w:color w:val="000000"/>
                <w:szCs w:val="22"/>
              </w:rPr>
              <w:t>Response</w:t>
            </w:r>
          </w:p>
          <w:p w:rsidR="009571FA" w:rsidRPr="00F30AAB" w:rsidRDefault="009571FA">
            <w:pPr>
              <w:jc w:val="center"/>
              <w:rPr>
                <w:rFonts w:ascii="Arial Narrow" w:hAnsi="Arial Narrow" w:cs="Arial"/>
                <w:color w:val="000000"/>
              </w:rPr>
            </w:pPr>
          </w:p>
        </w:tc>
      </w:tr>
      <w:tr w:rsidR="009571FA" w:rsidRPr="003B3F06" w:rsidTr="006D45E6">
        <w:trPr>
          <w:trHeight w:val="584"/>
        </w:trPr>
        <w:tc>
          <w:tcPr>
            <w:tcW w:w="4568" w:type="dxa"/>
            <w:gridSpan w:val="2"/>
            <w:shd w:val="clear" w:color="auto" w:fill="DAEEF3"/>
          </w:tcPr>
          <w:p w:rsidR="009571FA" w:rsidRPr="00F30AAB" w:rsidRDefault="009571FA" w:rsidP="005638A1">
            <w:pPr>
              <w:rPr>
                <w:rFonts w:cs="Arial"/>
                <w:color w:val="000000"/>
                <w:sz w:val="18"/>
              </w:rPr>
            </w:pPr>
          </w:p>
          <w:p w:rsidR="009571FA" w:rsidRPr="00F30AAB" w:rsidRDefault="009571FA" w:rsidP="005638A1">
            <w:pPr>
              <w:rPr>
                <w:rFonts w:cs="Arial"/>
                <w:color w:val="000000"/>
                <w:sz w:val="18"/>
              </w:rPr>
            </w:pPr>
            <w:r w:rsidRPr="00F30AAB">
              <w:rPr>
                <w:rFonts w:cs="Arial"/>
                <w:color w:val="000000"/>
                <w:sz w:val="18"/>
                <w:szCs w:val="22"/>
              </w:rPr>
              <w:t>All  WHO staff  (for comparison)</w:t>
            </w:r>
          </w:p>
          <w:p w:rsidR="009571FA" w:rsidRPr="00F30AAB" w:rsidRDefault="009571FA" w:rsidP="005638A1">
            <w:pPr>
              <w:rPr>
                <w:rFonts w:cs="Arial"/>
                <w:vanish/>
                <w:color w:val="000000"/>
                <w:sz w:val="2"/>
                <w:u w:val="words"/>
              </w:rPr>
            </w:pPr>
          </w:p>
        </w:tc>
        <w:tc>
          <w:tcPr>
            <w:tcW w:w="1309" w:type="dxa"/>
            <w:shd w:val="clear" w:color="auto" w:fill="DAEEF3"/>
          </w:tcPr>
          <w:p w:rsidR="009571FA" w:rsidRPr="00F30AAB" w:rsidRDefault="009571FA">
            <w:pPr>
              <w:jc w:val="center"/>
              <w:rPr>
                <w:rFonts w:cs="Arial"/>
                <w:color w:val="000000"/>
                <w:sz w:val="18"/>
              </w:rPr>
            </w:pPr>
          </w:p>
          <w:p w:rsidR="009571FA" w:rsidRPr="00F30AAB" w:rsidRDefault="009571FA">
            <w:pPr>
              <w:jc w:val="center"/>
              <w:rPr>
                <w:rFonts w:cs="Arial"/>
                <w:color w:val="000000"/>
                <w:sz w:val="18"/>
              </w:rPr>
            </w:pPr>
            <w:r w:rsidRPr="00F30AAB">
              <w:rPr>
                <w:rFonts w:cs="Arial"/>
                <w:color w:val="000000"/>
                <w:sz w:val="18"/>
                <w:szCs w:val="22"/>
              </w:rPr>
              <w:t>8032</w:t>
            </w:r>
          </w:p>
        </w:tc>
        <w:tc>
          <w:tcPr>
            <w:tcW w:w="1337" w:type="dxa"/>
            <w:shd w:val="clear" w:color="auto" w:fill="DAEEF3"/>
          </w:tcPr>
          <w:p w:rsidR="009571FA" w:rsidRPr="00F30AAB" w:rsidRDefault="009571FA">
            <w:pPr>
              <w:jc w:val="center"/>
              <w:rPr>
                <w:rFonts w:cs="Arial"/>
                <w:color w:val="000000"/>
                <w:sz w:val="18"/>
                <w:shd w:val="clear" w:color="auto" w:fill="C6D9F1"/>
              </w:rPr>
            </w:pPr>
          </w:p>
          <w:p w:rsidR="009571FA" w:rsidRPr="00F30AAB" w:rsidRDefault="009571FA">
            <w:pPr>
              <w:jc w:val="center"/>
              <w:rPr>
                <w:rFonts w:cs="Arial"/>
                <w:color w:val="000000"/>
                <w:sz w:val="18"/>
                <w:shd w:val="clear" w:color="auto" w:fill="C6D9F1"/>
              </w:rPr>
            </w:pPr>
            <w:r w:rsidRPr="00F30AAB">
              <w:rPr>
                <w:rFonts w:cs="Arial"/>
                <w:color w:val="000000"/>
                <w:sz w:val="18"/>
                <w:szCs w:val="22"/>
                <w:shd w:val="clear" w:color="auto" w:fill="FFFFFF"/>
              </w:rPr>
              <w:t>2160</w:t>
            </w:r>
          </w:p>
        </w:tc>
        <w:tc>
          <w:tcPr>
            <w:tcW w:w="1264" w:type="dxa"/>
            <w:shd w:val="clear" w:color="auto" w:fill="DAEEF3"/>
          </w:tcPr>
          <w:p w:rsidR="009571FA" w:rsidRPr="00F30AAB" w:rsidRDefault="009571FA" w:rsidP="0017657D">
            <w:pPr>
              <w:rPr>
                <w:rFonts w:cs="Arial"/>
                <w:color w:val="000000"/>
                <w:sz w:val="18"/>
              </w:rPr>
            </w:pPr>
            <w:r w:rsidRPr="00F30AAB">
              <w:rPr>
                <w:rFonts w:cs="Arial"/>
                <w:color w:val="000000"/>
                <w:sz w:val="18"/>
                <w:szCs w:val="22"/>
              </w:rPr>
              <w:t xml:space="preserve">    </w:t>
            </w:r>
          </w:p>
          <w:p w:rsidR="009571FA" w:rsidRPr="00F30AAB" w:rsidRDefault="009571FA" w:rsidP="0017657D">
            <w:pPr>
              <w:rPr>
                <w:rFonts w:cs="Arial"/>
                <w:color w:val="000000"/>
                <w:sz w:val="18"/>
              </w:rPr>
            </w:pPr>
            <w:r w:rsidRPr="00F30AAB">
              <w:rPr>
                <w:rFonts w:cs="Arial"/>
                <w:color w:val="000000"/>
                <w:sz w:val="18"/>
                <w:szCs w:val="22"/>
              </w:rPr>
              <w:t xml:space="preserve">     26.89</w:t>
            </w:r>
          </w:p>
        </w:tc>
      </w:tr>
      <w:tr w:rsidR="009571FA" w:rsidRPr="003B3F06" w:rsidTr="00F30AAB">
        <w:trPr>
          <w:trHeight w:val="512"/>
        </w:trPr>
        <w:tc>
          <w:tcPr>
            <w:tcW w:w="4568" w:type="dxa"/>
            <w:gridSpan w:val="2"/>
            <w:shd w:val="clear" w:color="auto" w:fill="EEECE1"/>
          </w:tcPr>
          <w:p w:rsidR="009571FA" w:rsidRPr="00F30AAB" w:rsidRDefault="009571FA" w:rsidP="005638A1">
            <w:pPr>
              <w:rPr>
                <w:rFonts w:cs="Arial"/>
                <w:color w:val="000000"/>
                <w:sz w:val="18"/>
              </w:rPr>
            </w:pPr>
          </w:p>
          <w:p w:rsidR="009571FA" w:rsidRPr="00F30AAB" w:rsidRDefault="009571FA" w:rsidP="005638A1">
            <w:pPr>
              <w:rPr>
                <w:rFonts w:cs="Arial"/>
                <w:color w:val="000000"/>
                <w:sz w:val="18"/>
              </w:rPr>
            </w:pPr>
            <w:r w:rsidRPr="00F30AAB">
              <w:rPr>
                <w:rFonts w:cs="Arial"/>
                <w:color w:val="000000"/>
                <w:sz w:val="18"/>
                <w:szCs w:val="22"/>
              </w:rPr>
              <w:t>All PAHO staff</w:t>
            </w:r>
          </w:p>
          <w:p w:rsidR="009571FA" w:rsidRPr="00F30AAB" w:rsidRDefault="009571FA" w:rsidP="00677D19">
            <w:pPr>
              <w:rPr>
                <w:rFonts w:cs="Arial"/>
                <w:color w:val="000000"/>
                <w:sz w:val="8"/>
              </w:rPr>
            </w:pPr>
          </w:p>
        </w:tc>
        <w:tc>
          <w:tcPr>
            <w:tcW w:w="1309" w:type="dxa"/>
            <w:shd w:val="clear" w:color="auto" w:fill="EEECE1"/>
          </w:tcPr>
          <w:p w:rsidR="009571FA" w:rsidRPr="00F30AAB" w:rsidRDefault="009571FA">
            <w:pPr>
              <w:jc w:val="center"/>
              <w:rPr>
                <w:rFonts w:cs="Arial"/>
                <w:color w:val="000000"/>
                <w:sz w:val="18"/>
              </w:rPr>
            </w:pPr>
          </w:p>
          <w:p w:rsidR="009571FA" w:rsidRPr="00F30AAB" w:rsidRDefault="009571FA">
            <w:pPr>
              <w:jc w:val="center"/>
              <w:rPr>
                <w:rFonts w:cs="Arial"/>
                <w:color w:val="000000"/>
                <w:sz w:val="18"/>
              </w:rPr>
            </w:pPr>
            <w:r w:rsidRPr="00F30AAB">
              <w:rPr>
                <w:rFonts w:cs="Arial"/>
                <w:color w:val="000000"/>
                <w:sz w:val="18"/>
                <w:szCs w:val="22"/>
              </w:rPr>
              <w:t>889</w:t>
            </w:r>
          </w:p>
        </w:tc>
        <w:tc>
          <w:tcPr>
            <w:tcW w:w="1337" w:type="dxa"/>
            <w:shd w:val="clear" w:color="auto" w:fill="EEECE1"/>
          </w:tcPr>
          <w:p w:rsidR="009571FA" w:rsidRPr="00F30AAB" w:rsidRDefault="009571FA">
            <w:pPr>
              <w:jc w:val="center"/>
              <w:rPr>
                <w:rFonts w:cs="Arial"/>
                <w:color w:val="000000"/>
                <w:sz w:val="18"/>
                <w:shd w:val="clear" w:color="auto" w:fill="C6D9F1"/>
              </w:rPr>
            </w:pPr>
          </w:p>
          <w:p w:rsidR="009571FA" w:rsidRPr="00F30AAB" w:rsidRDefault="009571FA">
            <w:pPr>
              <w:jc w:val="center"/>
              <w:rPr>
                <w:rFonts w:cs="Arial"/>
                <w:color w:val="000000"/>
                <w:sz w:val="18"/>
              </w:rPr>
            </w:pPr>
            <w:r w:rsidRPr="00F30AAB">
              <w:rPr>
                <w:rFonts w:cs="Arial"/>
                <w:color w:val="000000"/>
                <w:sz w:val="18"/>
                <w:szCs w:val="22"/>
                <w:shd w:val="clear" w:color="auto" w:fill="EEECE1"/>
              </w:rPr>
              <w:t>390</w:t>
            </w:r>
          </w:p>
        </w:tc>
        <w:tc>
          <w:tcPr>
            <w:tcW w:w="1264" w:type="dxa"/>
            <w:shd w:val="clear" w:color="auto" w:fill="EEECE1"/>
          </w:tcPr>
          <w:p w:rsidR="009571FA" w:rsidRPr="00F30AAB" w:rsidRDefault="009571FA">
            <w:pPr>
              <w:jc w:val="center"/>
              <w:rPr>
                <w:rFonts w:cs="Arial"/>
                <w:color w:val="000000"/>
                <w:sz w:val="18"/>
              </w:rPr>
            </w:pPr>
          </w:p>
          <w:p w:rsidR="009571FA" w:rsidRPr="00F30AAB" w:rsidRDefault="009571FA">
            <w:pPr>
              <w:jc w:val="center"/>
              <w:rPr>
                <w:rFonts w:cs="Arial"/>
                <w:color w:val="000000"/>
                <w:sz w:val="18"/>
              </w:rPr>
            </w:pPr>
            <w:r w:rsidRPr="00F30AAB">
              <w:rPr>
                <w:rFonts w:cs="Arial"/>
                <w:color w:val="000000"/>
                <w:sz w:val="18"/>
                <w:szCs w:val="22"/>
              </w:rPr>
              <w:t>44.32</w:t>
            </w:r>
          </w:p>
        </w:tc>
      </w:tr>
      <w:tr w:rsidR="009571FA" w:rsidRPr="003B3F06" w:rsidTr="006D45E6">
        <w:trPr>
          <w:trHeight w:val="287"/>
        </w:trPr>
        <w:tc>
          <w:tcPr>
            <w:tcW w:w="776" w:type="dxa"/>
            <w:vMerge w:val="restart"/>
            <w:shd w:val="clear" w:color="auto" w:fill="F2F2F2"/>
          </w:tcPr>
          <w:p w:rsidR="009571FA" w:rsidRPr="00F30AAB" w:rsidRDefault="009571FA">
            <w:pPr>
              <w:rPr>
                <w:rFonts w:cs="Arial"/>
                <w:color w:val="000000"/>
                <w:sz w:val="14"/>
              </w:rPr>
            </w:pPr>
          </w:p>
          <w:p w:rsidR="009571FA" w:rsidRPr="00F30AAB" w:rsidRDefault="009571FA">
            <w:pPr>
              <w:rPr>
                <w:rFonts w:cs="Arial"/>
                <w:color w:val="000000"/>
                <w:sz w:val="18"/>
              </w:rPr>
            </w:pPr>
          </w:p>
          <w:p w:rsidR="009571FA" w:rsidRPr="00F30AAB" w:rsidRDefault="009571FA">
            <w:pPr>
              <w:rPr>
                <w:rFonts w:cs="Arial"/>
                <w:color w:val="000000"/>
                <w:sz w:val="18"/>
              </w:rPr>
            </w:pPr>
            <w:r w:rsidRPr="00F30AAB">
              <w:rPr>
                <w:rFonts w:cs="Arial"/>
                <w:color w:val="000000"/>
                <w:sz w:val="18"/>
                <w:szCs w:val="22"/>
              </w:rPr>
              <w:t>Sex</w:t>
            </w:r>
          </w:p>
        </w:tc>
        <w:tc>
          <w:tcPr>
            <w:tcW w:w="3792" w:type="dxa"/>
            <w:tcBorders>
              <w:bottom w:val="nil"/>
            </w:tcBorders>
            <w:shd w:val="clear" w:color="auto" w:fill="F2F2F2"/>
          </w:tcPr>
          <w:p w:rsidR="009571FA" w:rsidRPr="00F30AAB" w:rsidRDefault="009571FA">
            <w:pPr>
              <w:rPr>
                <w:rFonts w:cs="Arial"/>
                <w:color w:val="000000"/>
                <w:sz w:val="16"/>
              </w:rPr>
            </w:pPr>
          </w:p>
          <w:p w:rsidR="009571FA" w:rsidRPr="00F30AAB" w:rsidRDefault="003B2735">
            <w:pPr>
              <w:rPr>
                <w:rFonts w:cs="Arial"/>
                <w:color w:val="000000"/>
                <w:sz w:val="18"/>
              </w:rPr>
            </w:pPr>
            <w:r>
              <w:rPr>
                <w:rFonts w:cs="Arial"/>
                <w:color w:val="000000"/>
                <w:sz w:val="18"/>
                <w:szCs w:val="22"/>
              </w:rPr>
              <w:t>Men</w:t>
            </w:r>
          </w:p>
        </w:tc>
        <w:tc>
          <w:tcPr>
            <w:tcW w:w="1309" w:type="dxa"/>
            <w:tcBorders>
              <w:bottom w:val="nil"/>
            </w:tcBorders>
            <w:shd w:val="clear" w:color="auto" w:fill="F2F2F2"/>
          </w:tcPr>
          <w:p w:rsidR="009571FA" w:rsidRPr="00F30AAB" w:rsidRDefault="009571FA">
            <w:pPr>
              <w:jc w:val="center"/>
              <w:rPr>
                <w:rFonts w:cs="Arial"/>
                <w:color w:val="000000"/>
                <w:sz w:val="18"/>
              </w:rPr>
            </w:pPr>
          </w:p>
          <w:p w:rsidR="009571FA" w:rsidRPr="00F30AAB" w:rsidRDefault="009571FA">
            <w:pPr>
              <w:jc w:val="center"/>
              <w:rPr>
                <w:rFonts w:cs="Arial"/>
                <w:color w:val="000000"/>
                <w:sz w:val="18"/>
              </w:rPr>
            </w:pPr>
            <w:r w:rsidRPr="00F30AAB">
              <w:rPr>
                <w:rFonts w:cs="Arial"/>
                <w:color w:val="000000"/>
                <w:sz w:val="18"/>
                <w:szCs w:val="22"/>
              </w:rPr>
              <w:t>362</w:t>
            </w:r>
          </w:p>
        </w:tc>
        <w:tc>
          <w:tcPr>
            <w:tcW w:w="1337" w:type="dxa"/>
            <w:tcBorders>
              <w:bottom w:val="nil"/>
            </w:tcBorders>
            <w:shd w:val="clear" w:color="auto" w:fill="F2F2F2"/>
          </w:tcPr>
          <w:p w:rsidR="009571FA" w:rsidRPr="00F30AAB" w:rsidRDefault="009571FA">
            <w:pPr>
              <w:jc w:val="center"/>
              <w:rPr>
                <w:rFonts w:cs="Arial"/>
                <w:color w:val="000000"/>
                <w:sz w:val="18"/>
              </w:rPr>
            </w:pPr>
          </w:p>
          <w:p w:rsidR="009571FA" w:rsidRPr="00F30AAB" w:rsidRDefault="009571FA">
            <w:pPr>
              <w:jc w:val="center"/>
              <w:rPr>
                <w:rFonts w:cs="Arial"/>
                <w:color w:val="000000"/>
                <w:sz w:val="18"/>
              </w:rPr>
            </w:pPr>
            <w:r w:rsidRPr="00F30AAB">
              <w:rPr>
                <w:rFonts w:cs="Arial"/>
                <w:color w:val="000000"/>
                <w:sz w:val="18"/>
                <w:szCs w:val="22"/>
              </w:rPr>
              <w:t>161</w:t>
            </w:r>
          </w:p>
        </w:tc>
        <w:tc>
          <w:tcPr>
            <w:tcW w:w="1264" w:type="dxa"/>
            <w:tcBorders>
              <w:bottom w:val="nil"/>
            </w:tcBorders>
            <w:shd w:val="clear" w:color="auto" w:fill="F2F2F2"/>
          </w:tcPr>
          <w:p w:rsidR="009571FA" w:rsidRPr="00F30AAB" w:rsidRDefault="009571FA">
            <w:pPr>
              <w:jc w:val="center"/>
              <w:rPr>
                <w:rFonts w:cs="Arial"/>
                <w:color w:val="000000"/>
                <w:sz w:val="18"/>
              </w:rPr>
            </w:pPr>
          </w:p>
          <w:p w:rsidR="009571FA" w:rsidRPr="00F30AAB" w:rsidRDefault="009571FA">
            <w:pPr>
              <w:jc w:val="center"/>
              <w:rPr>
                <w:rFonts w:cs="Arial"/>
                <w:color w:val="000000"/>
                <w:sz w:val="18"/>
              </w:rPr>
            </w:pPr>
            <w:r w:rsidRPr="00F30AAB">
              <w:rPr>
                <w:rFonts w:cs="Arial"/>
                <w:color w:val="000000"/>
                <w:sz w:val="18"/>
                <w:szCs w:val="22"/>
              </w:rPr>
              <w:t>44.48</w:t>
            </w:r>
          </w:p>
        </w:tc>
      </w:tr>
      <w:tr w:rsidR="009571FA" w:rsidRPr="003B3F06" w:rsidTr="006D45E6">
        <w:tc>
          <w:tcPr>
            <w:tcW w:w="776" w:type="dxa"/>
            <w:vMerge/>
            <w:shd w:val="clear" w:color="auto" w:fill="F2F2F2"/>
          </w:tcPr>
          <w:p w:rsidR="009571FA" w:rsidRPr="00F30AAB" w:rsidRDefault="009571FA">
            <w:pPr>
              <w:rPr>
                <w:rFonts w:cs="Arial"/>
                <w:color w:val="000000"/>
                <w:sz w:val="18"/>
              </w:rPr>
            </w:pPr>
          </w:p>
        </w:tc>
        <w:tc>
          <w:tcPr>
            <w:tcW w:w="3792" w:type="dxa"/>
            <w:tcBorders>
              <w:top w:val="nil"/>
            </w:tcBorders>
            <w:shd w:val="clear" w:color="auto" w:fill="F2F2F2"/>
          </w:tcPr>
          <w:p w:rsidR="009571FA" w:rsidRPr="00F30AAB" w:rsidRDefault="009571FA">
            <w:pPr>
              <w:rPr>
                <w:rFonts w:cs="Arial"/>
                <w:color w:val="000000"/>
                <w:sz w:val="18"/>
              </w:rPr>
            </w:pPr>
          </w:p>
          <w:p w:rsidR="009571FA" w:rsidRPr="00F30AAB" w:rsidRDefault="003B2735">
            <w:pPr>
              <w:rPr>
                <w:rFonts w:cs="Arial"/>
                <w:color w:val="000000"/>
                <w:sz w:val="18"/>
              </w:rPr>
            </w:pPr>
            <w:r>
              <w:rPr>
                <w:rFonts w:cs="Arial"/>
                <w:color w:val="000000"/>
                <w:sz w:val="18"/>
                <w:szCs w:val="22"/>
              </w:rPr>
              <w:t>Women</w:t>
            </w:r>
          </w:p>
        </w:tc>
        <w:tc>
          <w:tcPr>
            <w:tcW w:w="1309" w:type="dxa"/>
            <w:tcBorders>
              <w:top w:val="nil"/>
            </w:tcBorders>
            <w:shd w:val="clear" w:color="auto" w:fill="F2F2F2"/>
          </w:tcPr>
          <w:p w:rsidR="009571FA" w:rsidRPr="00F30AAB" w:rsidRDefault="009571FA">
            <w:pPr>
              <w:jc w:val="center"/>
              <w:rPr>
                <w:rFonts w:cs="Arial"/>
                <w:color w:val="000000"/>
                <w:sz w:val="18"/>
              </w:rPr>
            </w:pPr>
          </w:p>
          <w:p w:rsidR="009571FA" w:rsidRPr="00F30AAB" w:rsidRDefault="009571FA">
            <w:pPr>
              <w:jc w:val="center"/>
              <w:rPr>
                <w:rFonts w:cs="Arial"/>
                <w:color w:val="000000"/>
                <w:sz w:val="18"/>
              </w:rPr>
            </w:pPr>
            <w:r w:rsidRPr="00F30AAB">
              <w:rPr>
                <w:rFonts w:cs="Arial"/>
                <w:color w:val="000000"/>
                <w:sz w:val="18"/>
                <w:szCs w:val="22"/>
              </w:rPr>
              <w:t>527</w:t>
            </w:r>
          </w:p>
        </w:tc>
        <w:tc>
          <w:tcPr>
            <w:tcW w:w="1337" w:type="dxa"/>
            <w:tcBorders>
              <w:top w:val="nil"/>
            </w:tcBorders>
            <w:shd w:val="clear" w:color="auto" w:fill="F2F2F2"/>
          </w:tcPr>
          <w:p w:rsidR="009571FA" w:rsidRPr="00F30AAB" w:rsidRDefault="009571FA">
            <w:pPr>
              <w:jc w:val="center"/>
              <w:rPr>
                <w:rFonts w:cs="Arial"/>
                <w:color w:val="000000"/>
                <w:sz w:val="18"/>
              </w:rPr>
            </w:pPr>
          </w:p>
          <w:p w:rsidR="009571FA" w:rsidRPr="00F30AAB" w:rsidRDefault="009571FA">
            <w:pPr>
              <w:jc w:val="center"/>
              <w:rPr>
                <w:rFonts w:cs="Arial"/>
                <w:color w:val="000000"/>
                <w:sz w:val="18"/>
              </w:rPr>
            </w:pPr>
            <w:r w:rsidRPr="00F30AAB">
              <w:rPr>
                <w:rFonts w:cs="Arial"/>
                <w:color w:val="000000"/>
                <w:sz w:val="18"/>
                <w:szCs w:val="22"/>
              </w:rPr>
              <w:t>229</w:t>
            </w:r>
          </w:p>
        </w:tc>
        <w:tc>
          <w:tcPr>
            <w:tcW w:w="1264" w:type="dxa"/>
            <w:tcBorders>
              <w:top w:val="nil"/>
            </w:tcBorders>
            <w:shd w:val="clear" w:color="auto" w:fill="F2F2F2"/>
          </w:tcPr>
          <w:p w:rsidR="009571FA" w:rsidRPr="00F30AAB" w:rsidRDefault="009571FA">
            <w:pPr>
              <w:jc w:val="center"/>
              <w:rPr>
                <w:rFonts w:cs="Arial"/>
                <w:color w:val="000000"/>
                <w:sz w:val="18"/>
              </w:rPr>
            </w:pPr>
          </w:p>
          <w:p w:rsidR="009571FA" w:rsidRPr="00F30AAB" w:rsidRDefault="009571FA">
            <w:pPr>
              <w:jc w:val="center"/>
              <w:rPr>
                <w:rFonts w:cs="Arial"/>
                <w:color w:val="000000"/>
                <w:sz w:val="18"/>
              </w:rPr>
            </w:pPr>
            <w:r w:rsidRPr="00F30AAB">
              <w:rPr>
                <w:rFonts w:cs="Arial"/>
                <w:color w:val="000000"/>
                <w:sz w:val="18"/>
                <w:szCs w:val="22"/>
              </w:rPr>
              <w:t>43.45</w:t>
            </w:r>
          </w:p>
        </w:tc>
      </w:tr>
      <w:tr w:rsidR="009571FA" w:rsidRPr="003B3F06" w:rsidTr="006D45E6">
        <w:tc>
          <w:tcPr>
            <w:tcW w:w="776" w:type="dxa"/>
            <w:vMerge w:val="restart"/>
            <w:shd w:val="clear" w:color="auto" w:fill="F2F2F2"/>
          </w:tcPr>
          <w:p w:rsidR="009571FA" w:rsidRPr="00F30AAB" w:rsidRDefault="009571FA">
            <w:pPr>
              <w:rPr>
                <w:rFonts w:cs="Arial"/>
                <w:color w:val="000000"/>
                <w:sz w:val="18"/>
              </w:rPr>
            </w:pPr>
          </w:p>
          <w:p w:rsidR="009571FA" w:rsidRPr="00F30AAB" w:rsidRDefault="009571FA">
            <w:pPr>
              <w:rPr>
                <w:rFonts w:cs="Arial"/>
                <w:color w:val="000000"/>
                <w:sz w:val="18"/>
              </w:rPr>
            </w:pPr>
          </w:p>
          <w:p w:rsidR="009571FA" w:rsidRPr="00F30AAB" w:rsidRDefault="009571FA">
            <w:pPr>
              <w:rPr>
                <w:rFonts w:cs="Arial"/>
                <w:color w:val="000000"/>
                <w:sz w:val="18"/>
              </w:rPr>
            </w:pPr>
          </w:p>
          <w:p w:rsidR="009571FA" w:rsidRPr="00F30AAB" w:rsidRDefault="009571FA">
            <w:pPr>
              <w:rPr>
                <w:rFonts w:cs="Arial"/>
                <w:color w:val="000000"/>
                <w:sz w:val="18"/>
              </w:rPr>
            </w:pPr>
            <w:r w:rsidRPr="00F30AAB">
              <w:rPr>
                <w:rFonts w:cs="Arial"/>
                <w:color w:val="000000"/>
                <w:sz w:val="18"/>
                <w:szCs w:val="22"/>
              </w:rPr>
              <w:t>Grade</w:t>
            </w:r>
          </w:p>
        </w:tc>
        <w:tc>
          <w:tcPr>
            <w:tcW w:w="3792" w:type="dxa"/>
            <w:tcBorders>
              <w:bottom w:val="nil"/>
            </w:tcBorders>
            <w:shd w:val="clear" w:color="auto" w:fill="F2F2F2"/>
          </w:tcPr>
          <w:p w:rsidR="009571FA" w:rsidRPr="00F30AAB" w:rsidRDefault="009571FA">
            <w:pPr>
              <w:rPr>
                <w:rFonts w:cs="Arial"/>
                <w:color w:val="000000"/>
                <w:sz w:val="18"/>
              </w:rPr>
            </w:pPr>
          </w:p>
          <w:p w:rsidR="009571FA" w:rsidRPr="00F30AAB" w:rsidRDefault="009571FA">
            <w:pPr>
              <w:rPr>
                <w:rFonts w:cs="Arial"/>
                <w:color w:val="000000"/>
                <w:sz w:val="18"/>
              </w:rPr>
            </w:pPr>
            <w:r w:rsidRPr="00F30AAB">
              <w:rPr>
                <w:rFonts w:cs="Arial"/>
                <w:color w:val="000000"/>
                <w:sz w:val="18"/>
                <w:szCs w:val="22"/>
              </w:rPr>
              <w:t>Professionals (including Directors)</w:t>
            </w:r>
          </w:p>
        </w:tc>
        <w:tc>
          <w:tcPr>
            <w:tcW w:w="1309" w:type="dxa"/>
            <w:tcBorders>
              <w:bottom w:val="nil"/>
            </w:tcBorders>
            <w:shd w:val="clear" w:color="auto" w:fill="F2F2F2"/>
          </w:tcPr>
          <w:p w:rsidR="009571FA" w:rsidRPr="00F30AAB" w:rsidRDefault="009571FA">
            <w:pPr>
              <w:jc w:val="center"/>
              <w:rPr>
                <w:rFonts w:cs="Arial"/>
                <w:color w:val="000000"/>
                <w:sz w:val="18"/>
              </w:rPr>
            </w:pPr>
          </w:p>
          <w:p w:rsidR="009571FA" w:rsidRPr="00F30AAB" w:rsidRDefault="009571FA">
            <w:pPr>
              <w:jc w:val="center"/>
              <w:rPr>
                <w:rFonts w:cs="Arial"/>
                <w:color w:val="000000"/>
                <w:sz w:val="18"/>
              </w:rPr>
            </w:pPr>
            <w:r w:rsidRPr="00F30AAB">
              <w:rPr>
                <w:rFonts w:cs="Arial"/>
                <w:color w:val="000000"/>
                <w:sz w:val="18"/>
                <w:szCs w:val="22"/>
              </w:rPr>
              <w:t>459</w:t>
            </w:r>
          </w:p>
        </w:tc>
        <w:tc>
          <w:tcPr>
            <w:tcW w:w="1337" w:type="dxa"/>
            <w:tcBorders>
              <w:bottom w:val="nil"/>
            </w:tcBorders>
            <w:shd w:val="clear" w:color="auto" w:fill="F2F2F2"/>
          </w:tcPr>
          <w:p w:rsidR="009571FA" w:rsidRPr="00F30AAB" w:rsidRDefault="009571FA">
            <w:pPr>
              <w:jc w:val="center"/>
              <w:rPr>
                <w:rFonts w:cs="Arial"/>
                <w:color w:val="000000"/>
                <w:sz w:val="18"/>
              </w:rPr>
            </w:pPr>
          </w:p>
          <w:p w:rsidR="009571FA" w:rsidRPr="00F30AAB" w:rsidRDefault="009571FA">
            <w:pPr>
              <w:jc w:val="center"/>
              <w:rPr>
                <w:rFonts w:cs="Arial"/>
                <w:color w:val="000000"/>
                <w:sz w:val="18"/>
              </w:rPr>
            </w:pPr>
            <w:r w:rsidRPr="00F30AAB">
              <w:rPr>
                <w:rFonts w:cs="Arial"/>
                <w:color w:val="000000"/>
                <w:sz w:val="18"/>
                <w:szCs w:val="22"/>
              </w:rPr>
              <w:t>272</w:t>
            </w:r>
          </w:p>
        </w:tc>
        <w:tc>
          <w:tcPr>
            <w:tcW w:w="1264" w:type="dxa"/>
            <w:tcBorders>
              <w:bottom w:val="nil"/>
            </w:tcBorders>
            <w:shd w:val="clear" w:color="auto" w:fill="F2F2F2"/>
          </w:tcPr>
          <w:p w:rsidR="009571FA" w:rsidRPr="00F30AAB" w:rsidRDefault="009571FA">
            <w:pPr>
              <w:jc w:val="center"/>
              <w:rPr>
                <w:rFonts w:cs="Arial"/>
                <w:color w:val="000000"/>
                <w:sz w:val="18"/>
              </w:rPr>
            </w:pPr>
          </w:p>
          <w:p w:rsidR="009571FA" w:rsidRPr="00F30AAB" w:rsidRDefault="009571FA">
            <w:pPr>
              <w:jc w:val="center"/>
              <w:rPr>
                <w:rFonts w:cs="Arial"/>
                <w:color w:val="000000"/>
                <w:sz w:val="18"/>
              </w:rPr>
            </w:pPr>
            <w:r w:rsidRPr="00F30AAB">
              <w:rPr>
                <w:rFonts w:cs="Arial"/>
                <w:color w:val="000000"/>
                <w:sz w:val="18"/>
                <w:szCs w:val="22"/>
              </w:rPr>
              <w:t>59.26</w:t>
            </w:r>
          </w:p>
        </w:tc>
      </w:tr>
      <w:tr w:rsidR="009571FA" w:rsidRPr="003B3F06" w:rsidTr="006D45E6">
        <w:tc>
          <w:tcPr>
            <w:tcW w:w="776" w:type="dxa"/>
            <w:vMerge/>
            <w:shd w:val="clear" w:color="auto" w:fill="F2F2F2"/>
          </w:tcPr>
          <w:p w:rsidR="009571FA" w:rsidRPr="00F30AAB" w:rsidRDefault="009571FA">
            <w:pPr>
              <w:rPr>
                <w:rFonts w:cs="Arial"/>
                <w:color w:val="000000"/>
                <w:sz w:val="18"/>
              </w:rPr>
            </w:pPr>
          </w:p>
        </w:tc>
        <w:tc>
          <w:tcPr>
            <w:tcW w:w="3792" w:type="dxa"/>
            <w:tcBorders>
              <w:top w:val="nil"/>
              <w:bottom w:val="nil"/>
            </w:tcBorders>
            <w:shd w:val="clear" w:color="auto" w:fill="F2F2F2"/>
          </w:tcPr>
          <w:p w:rsidR="009571FA" w:rsidRPr="00F30AAB" w:rsidRDefault="009571FA">
            <w:pPr>
              <w:rPr>
                <w:rFonts w:cs="Arial"/>
                <w:color w:val="000000"/>
                <w:sz w:val="18"/>
              </w:rPr>
            </w:pPr>
          </w:p>
          <w:p w:rsidR="009571FA" w:rsidRPr="00F30AAB" w:rsidRDefault="009571FA">
            <w:pPr>
              <w:rPr>
                <w:rFonts w:cs="Arial"/>
                <w:color w:val="000000"/>
                <w:sz w:val="18"/>
              </w:rPr>
            </w:pPr>
            <w:r w:rsidRPr="00F30AAB">
              <w:rPr>
                <w:rFonts w:cs="Arial"/>
                <w:color w:val="000000"/>
                <w:sz w:val="18"/>
                <w:szCs w:val="22"/>
              </w:rPr>
              <w:t>General Services</w:t>
            </w:r>
          </w:p>
        </w:tc>
        <w:tc>
          <w:tcPr>
            <w:tcW w:w="1309" w:type="dxa"/>
            <w:tcBorders>
              <w:top w:val="nil"/>
              <w:bottom w:val="nil"/>
            </w:tcBorders>
            <w:shd w:val="clear" w:color="auto" w:fill="F2F2F2"/>
          </w:tcPr>
          <w:p w:rsidR="009571FA" w:rsidRPr="00F30AAB" w:rsidRDefault="009571FA">
            <w:pPr>
              <w:jc w:val="center"/>
              <w:rPr>
                <w:rFonts w:cs="Arial"/>
                <w:color w:val="000000"/>
                <w:sz w:val="18"/>
              </w:rPr>
            </w:pPr>
          </w:p>
          <w:p w:rsidR="009571FA" w:rsidRPr="00F30AAB" w:rsidRDefault="009571FA">
            <w:pPr>
              <w:jc w:val="center"/>
              <w:rPr>
                <w:rFonts w:cs="Arial"/>
                <w:color w:val="000000"/>
                <w:sz w:val="18"/>
              </w:rPr>
            </w:pPr>
            <w:r w:rsidRPr="00F30AAB">
              <w:rPr>
                <w:rFonts w:cs="Arial"/>
                <w:color w:val="000000"/>
                <w:sz w:val="18"/>
                <w:szCs w:val="22"/>
              </w:rPr>
              <w:t>397</w:t>
            </w:r>
          </w:p>
        </w:tc>
        <w:tc>
          <w:tcPr>
            <w:tcW w:w="1337" w:type="dxa"/>
            <w:tcBorders>
              <w:top w:val="nil"/>
              <w:bottom w:val="nil"/>
            </w:tcBorders>
            <w:shd w:val="clear" w:color="auto" w:fill="F2F2F2"/>
          </w:tcPr>
          <w:p w:rsidR="009571FA" w:rsidRPr="00F30AAB" w:rsidRDefault="009571FA">
            <w:pPr>
              <w:jc w:val="center"/>
              <w:rPr>
                <w:rFonts w:cs="Arial"/>
                <w:color w:val="000000"/>
                <w:sz w:val="18"/>
              </w:rPr>
            </w:pPr>
          </w:p>
          <w:p w:rsidR="009571FA" w:rsidRPr="00F30AAB" w:rsidRDefault="009571FA">
            <w:pPr>
              <w:jc w:val="center"/>
              <w:rPr>
                <w:rFonts w:cs="Arial"/>
                <w:color w:val="000000"/>
                <w:sz w:val="18"/>
              </w:rPr>
            </w:pPr>
            <w:r w:rsidRPr="00F30AAB">
              <w:rPr>
                <w:rFonts w:cs="Arial"/>
                <w:color w:val="000000"/>
                <w:sz w:val="18"/>
                <w:szCs w:val="22"/>
              </w:rPr>
              <w:t>104</w:t>
            </w:r>
          </w:p>
        </w:tc>
        <w:tc>
          <w:tcPr>
            <w:tcW w:w="1264" w:type="dxa"/>
            <w:tcBorders>
              <w:top w:val="nil"/>
              <w:bottom w:val="nil"/>
            </w:tcBorders>
            <w:shd w:val="clear" w:color="auto" w:fill="F2F2F2"/>
          </w:tcPr>
          <w:p w:rsidR="009571FA" w:rsidRPr="00F30AAB" w:rsidRDefault="009571FA">
            <w:pPr>
              <w:jc w:val="center"/>
              <w:rPr>
                <w:rFonts w:cs="Arial"/>
                <w:color w:val="000000"/>
                <w:sz w:val="18"/>
              </w:rPr>
            </w:pPr>
          </w:p>
          <w:p w:rsidR="009571FA" w:rsidRPr="00F30AAB" w:rsidRDefault="009571FA">
            <w:pPr>
              <w:jc w:val="center"/>
              <w:rPr>
                <w:rFonts w:cs="Arial"/>
                <w:color w:val="000000"/>
                <w:sz w:val="18"/>
              </w:rPr>
            </w:pPr>
            <w:r w:rsidRPr="00F30AAB">
              <w:rPr>
                <w:rFonts w:cs="Arial"/>
                <w:color w:val="000000"/>
                <w:sz w:val="18"/>
                <w:szCs w:val="22"/>
              </w:rPr>
              <w:t>26.20</w:t>
            </w:r>
          </w:p>
        </w:tc>
      </w:tr>
      <w:tr w:rsidR="009571FA" w:rsidRPr="003B3F06" w:rsidTr="006D45E6">
        <w:trPr>
          <w:trHeight w:val="566"/>
        </w:trPr>
        <w:tc>
          <w:tcPr>
            <w:tcW w:w="776" w:type="dxa"/>
            <w:vMerge/>
            <w:shd w:val="clear" w:color="auto" w:fill="F2F2F2"/>
          </w:tcPr>
          <w:p w:rsidR="009571FA" w:rsidRPr="00F30AAB" w:rsidRDefault="009571FA">
            <w:pPr>
              <w:rPr>
                <w:rFonts w:cs="Arial"/>
                <w:color w:val="000000"/>
                <w:sz w:val="18"/>
              </w:rPr>
            </w:pPr>
          </w:p>
        </w:tc>
        <w:tc>
          <w:tcPr>
            <w:tcW w:w="3792" w:type="dxa"/>
            <w:tcBorders>
              <w:top w:val="nil"/>
            </w:tcBorders>
            <w:shd w:val="clear" w:color="auto" w:fill="F2F2F2"/>
          </w:tcPr>
          <w:p w:rsidR="009571FA" w:rsidRPr="00F30AAB" w:rsidRDefault="009571FA">
            <w:pPr>
              <w:rPr>
                <w:rFonts w:cs="Arial"/>
                <w:color w:val="000000"/>
                <w:sz w:val="18"/>
              </w:rPr>
            </w:pPr>
          </w:p>
          <w:p w:rsidR="009571FA" w:rsidRPr="00F30AAB" w:rsidRDefault="009571FA">
            <w:pPr>
              <w:rPr>
                <w:rFonts w:cs="Arial"/>
                <w:color w:val="000000"/>
                <w:sz w:val="18"/>
              </w:rPr>
            </w:pPr>
            <w:r w:rsidRPr="00F30AAB">
              <w:rPr>
                <w:rFonts w:cs="Arial"/>
                <w:color w:val="000000"/>
                <w:sz w:val="18"/>
                <w:szCs w:val="22"/>
              </w:rPr>
              <w:t>Others (presumably National Officers)</w:t>
            </w:r>
          </w:p>
        </w:tc>
        <w:tc>
          <w:tcPr>
            <w:tcW w:w="1309" w:type="dxa"/>
            <w:tcBorders>
              <w:top w:val="nil"/>
            </w:tcBorders>
            <w:shd w:val="clear" w:color="auto" w:fill="F2F2F2"/>
          </w:tcPr>
          <w:p w:rsidR="009571FA" w:rsidRPr="00F30AAB" w:rsidRDefault="009571FA">
            <w:pPr>
              <w:jc w:val="center"/>
              <w:rPr>
                <w:rFonts w:cs="Arial"/>
                <w:color w:val="000000"/>
                <w:sz w:val="18"/>
              </w:rPr>
            </w:pPr>
          </w:p>
          <w:p w:rsidR="009571FA" w:rsidRPr="00F30AAB" w:rsidRDefault="009571FA">
            <w:pPr>
              <w:jc w:val="center"/>
              <w:rPr>
                <w:rFonts w:cs="Arial"/>
                <w:color w:val="000000"/>
                <w:sz w:val="18"/>
              </w:rPr>
            </w:pPr>
            <w:r w:rsidRPr="00F30AAB">
              <w:rPr>
                <w:rFonts w:cs="Arial"/>
                <w:color w:val="000000"/>
                <w:sz w:val="18"/>
                <w:szCs w:val="22"/>
              </w:rPr>
              <w:t>33</w:t>
            </w:r>
          </w:p>
        </w:tc>
        <w:tc>
          <w:tcPr>
            <w:tcW w:w="1337" w:type="dxa"/>
            <w:tcBorders>
              <w:top w:val="nil"/>
            </w:tcBorders>
            <w:shd w:val="clear" w:color="auto" w:fill="F2F2F2"/>
          </w:tcPr>
          <w:p w:rsidR="009571FA" w:rsidRPr="00F30AAB" w:rsidRDefault="009571FA">
            <w:pPr>
              <w:jc w:val="center"/>
              <w:rPr>
                <w:rFonts w:cs="Arial"/>
                <w:color w:val="000000"/>
                <w:sz w:val="18"/>
              </w:rPr>
            </w:pPr>
          </w:p>
          <w:p w:rsidR="009571FA" w:rsidRPr="00F30AAB" w:rsidRDefault="009571FA">
            <w:pPr>
              <w:jc w:val="center"/>
              <w:rPr>
                <w:rFonts w:cs="Arial"/>
                <w:color w:val="000000"/>
                <w:sz w:val="18"/>
              </w:rPr>
            </w:pPr>
            <w:r w:rsidRPr="00F30AAB">
              <w:rPr>
                <w:rFonts w:cs="Arial"/>
                <w:color w:val="000000"/>
                <w:sz w:val="18"/>
                <w:szCs w:val="22"/>
              </w:rPr>
              <w:t>14</w:t>
            </w:r>
          </w:p>
        </w:tc>
        <w:tc>
          <w:tcPr>
            <w:tcW w:w="1264" w:type="dxa"/>
            <w:tcBorders>
              <w:top w:val="nil"/>
            </w:tcBorders>
            <w:shd w:val="clear" w:color="auto" w:fill="F2F2F2"/>
          </w:tcPr>
          <w:p w:rsidR="009571FA" w:rsidRPr="00F30AAB" w:rsidRDefault="009571FA">
            <w:pPr>
              <w:jc w:val="center"/>
              <w:rPr>
                <w:rFonts w:cs="Arial"/>
                <w:color w:val="000000"/>
                <w:sz w:val="18"/>
              </w:rPr>
            </w:pPr>
          </w:p>
          <w:p w:rsidR="009571FA" w:rsidRPr="00F30AAB" w:rsidRDefault="009571FA">
            <w:pPr>
              <w:jc w:val="center"/>
              <w:rPr>
                <w:rFonts w:cs="Arial"/>
                <w:color w:val="000000"/>
                <w:sz w:val="18"/>
              </w:rPr>
            </w:pPr>
            <w:r w:rsidRPr="00F30AAB">
              <w:rPr>
                <w:rFonts w:cs="Arial"/>
                <w:color w:val="000000"/>
                <w:sz w:val="18"/>
                <w:szCs w:val="22"/>
              </w:rPr>
              <w:t>42.42</w:t>
            </w:r>
          </w:p>
          <w:p w:rsidR="009571FA" w:rsidRPr="00F30AAB" w:rsidRDefault="009571FA">
            <w:pPr>
              <w:jc w:val="center"/>
              <w:rPr>
                <w:rFonts w:cs="Arial"/>
                <w:color w:val="000000"/>
                <w:sz w:val="2"/>
              </w:rPr>
            </w:pPr>
          </w:p>
        </w:tc>
      </w:tr>
    </w:tbl>
    <w:p w:rsidR="009571FA" w:rsidRDefault="009571FA" w:rsidP="003B3F06">
      <w:pPr>
        <w:ind w:left="720"/>
        <w:rPr>
          <w:rFonts w:cs="Arial"/>
          <w:b/>
          <w:color w:val="000000"/>
          <w:sz w:val="22"/>
          <w:szCs w:val="22"/>
        </w:rPr>
      </w:pPr>
    </w:p>
    <w:p w:rsidR="009571FA" w:rsidRPr="003B2735" w:rsidRDefault="009571FA" w:rsidP="007F2C63">
      <w:pPr>
        <w:jc w:val="both"/>
        <w:rPr>
          <w:rFonts w:cs="Arial"/>
          <w:color w:val="000000"/>
          <w:sz w:val="12"/>
          <w:szCs w:val="22"/>
        </w:rPr>
      </w:pPr>
    </w:p>
    <w:p w:rsidR="009571FA" w:rsidRPr="00635770" w:rsidRDefault="009571FA" w:rsidP="00415105">
      <w:pPr>
        <w:jc w:val="both"/>
        <w:rPr>
          <w:rFonts w:cs="Arial"/>
          <w:bCs/>
          <w:sz w:val="4"/>
          <w:szCs w:val="22"/>
        </w:rPr>
      </w:pPr>
    </w:p>
    <w:p w:rsidR="009571FA" w:rsidRDefault="008D401A" w:rsidP="006B166F">
      <w:pPr>
        <w:jc w:val="both"/>
        <w:rPr>
          <w:sz w:val="22"/>
          <w:szCs w:val="22"/>
        </w:rPr>
      </w:pPr>
      <w:r>
        <w:rPr>
          <w:rFonts w:cs="Arial"/>
          <w:bCs/>
          <w:sz w:val="22"/>
          <w:szCs w:val="22"/>
        </w:rPr>
        <w:t>Th</w:t>
      </w:r>
      <w:r w:rsidR="00C64E75">
        <w:rPr>
          <w:rFonts w:cs="Arial"/>
          <w:bCs/>
          <w:sz w:val="22"/>
          <w:szCs w:val="22"/>
        </w:rPr>
        <w:t>e main findings of this</w:t>
      </w:r>
      <w:r w:rsidR="009571FA" w:rsidRPr="0064344F">
        <w:rPr>
          <w:rFonts w:cs="Arial"/>
          <w:bCs/>
          <w:sz w:val="22"/>
          <w:szCs w:val="22"/>
        </w:rPr>
        <w:t xml:space="preserve"> E Survey </w:t>
      </w:r>
      <w:r>
        <w:rPr>
          <w:rFonts w:cs="Arial"/>
          <w:bCs/>
          <w:sz w:val="22"/>
          <w:szCs w:val="22"/>
        </w:rPr>
        <w:t xml:space="preserve">are presented </w:t>
      </w:r>
      <w:r w:rsidR="009571FA">
        <w:rPr>
          <w:rFonts w:cs="Arial"/>
          <w:bCs/>
          <w:sz w:val="22"/>
          <w:szCs w:val="22"/>
        </w:rPr>
        <w:t xml:space="preserve">in relation to </w:t>
      </w:r>
      <w:r w:rsidR="009571FA" w:rsidRPr="0064344F">
        <w:rPr>
          <w:rFonts w:cs="Arial"/>
          <w:bCs/>
          <w:sz w:val="22"/>
          <w:szCs w:val="22"/>
        </w:rPr>
        <w:t xml:space="preserve">two </w:t>
      </w:r>
      <w:r w:rsidR="009571FA">
        <w:rPr>
          <w:rFonts w:cs="Arial"/>
          <w:bCs/>
          <w:sz w:val="22"/>
          <w:szCs w:val="22"/>
        </w:rPr>
        <w:t xml:space="preserve">aspects: </w:t>
      </w:r>
      <w:r w:rsidR="009571FA" w:rsidRPr="00645FE1">
        <w:rPr>
          <w:rFonts w:cs="Arial"/>
          <w:b/>
          <w:bCs/>
          <w:i/>
          <w:sz w:val="22"/>
          <w:szCs w:val="22"/>
        </w:rPr>
        <w:t>First</w:t>
      </w:r>
      <w:r>
        <w:rPr>
          <w:rFonts w:cs="Arial"/>
          <w:b/>
          <w:bCs/>
          <w:i/>
          <w:sz w:val="22"/>
          <w:szCs w:val="22"/>
        </w:rPr>
        <w:t xml:space="preserve">, </w:t>
      </w:r>
      <w:r w:rsidR="00027A40">
        <w:rPr>
          <w:rFonts w:cs="Arial"/>
          <w:bCs/>
          <w:sz w:val="22"/>
          <w:szCs w:val="22"/>
        </w:rPr>
        <w:t>the re</w:t>
      </w:r>
      <w:r w:rsidR="009571FA">
        <w:rPr>
          <w:rFonts w:cs="Arial"/>
          <w:bCs/>
          <w:sz w:val="22"/>
          <w:szCs w:val="22"/>
        </w:rPr>
        <w:t>lative standing</w:t>
      </w:r>
      <w:r w:rsidR="00027A40">
        <w:rPr>
          <w:rFonts w:cs="Arial"/>
          <w:bCs/>
          <w:sz w:val="22"/>
          <w:szCs w:val="22"/>
        </w:rPr>
        <w:t xml:space="preserve">, </w:t>
      </w:r>
      <w:r w:rsidR="009571FA">
        <w:rPr>
          <w:rFonts w:cs="Arial"/>
          <w:bCs/>
          <w:sz w:val="22"/>
          <w:szCs w:val="22"/>
        </w:rPr>
        <w:t>of PAHO staff on</w:t>
      </w:r>
      <w:r w:rsidR="009571FA" w:rsidRPr="0064344F">
        <w:rPr>
          <w:rFonts w:cs="Arial"/>
          <w:bCs/>
          <w:sz w:val="22"/>
          <w:szCs w:val="22"/>
        </w:rPr>
        <w:t xml:space="preserve"> th</w:t>
      </w:r>
      <w:r w:rsidR="009571FA">
        <w:rPr>
          <w:rFonts w:cs="Arial"/>
          <w:bCs/>
          <w:sz w:val="22"/>
          <w:szCs w:val="22"/>
        </w:rPr>
        <w:t xml:space="preserve">ree measurement areas: </w:t>
      </w:r>
      <w:r w:rsidR="009571FA" w:rsidRPr="0064344F">
        <w:rPr>
          <w:rFonts w:cs="Arial"/>
          <w:bCs/>
          <w:sz w:val="22"/>
          <w:szCs w:val="22"/>
        </w:rPr>
        <w:t>knowledge</w:t>
      </w:r>
      <w:r w:rsidR="009571FA">
        <w:rPr>
          <w:rFonts w:cs="Arial"/>
          <w:bCs/>
          <w:sz w:val="22"/>
          <w:szCs w:val="22"/>
        </w:rPr>
        <w:t xml:space="preserve"> level,</w:t>
      </w:r>
      <w:r w:rsidR="009571FA" w:rsidRPr="0064344F">
        <w:rPr>
          <w:rFonts w:cs="Arial"/>
          <w:bCs/>
          <w:sz w:val="22"/>
          <w:szCs w:val="22"/>
        </w:rPr>
        <w:t xml:space="preserve"> knowledge </w:t>
      </w:r>
      <w:r w:rsidR="009571FA">
        <w:rPr>
          <w:rFonts w:cs="Arial"/>
          <w:bCs/>
          <w:sz w:val="22"/>
          <w:szCs w:val="22"/>
        </w:rPr>
        <w:t>application</w:t>
      </w:r>
      <w:r w:rsidR="009571FA" w:rsidRPr="0064344F">
        <w:rPr>
          <w:rFonts w:cs="Arial"/>
          <w:bCs/>
          <w:sz w:val="22"/>
          <w:szCs w:val="22"/>
        </w:rPr>
        <w:t xml:space="preserve">, and institutional support </w:t>
      </w:r>
      <w:r w:rsidR="009571FA">
        <w:rPr>
          <w:rFonts w:cs="Arial"/>
          <w:bCs/>
          <w:sz w:val="22"/>
          <w:szCs w:val="22"/>
        </w:rPr>
        <w:t xml:space="preserve">received </w:t>
      </w:r>
      <w:r w:rsidR="009571FA" w:rsidRPr="0064344F">
        <w:rPr>
          <w:rFonts w:cs="Arial"/>
          <w:bCs/>
          <w:sz w:val="22"/>
          <w:szCs w:val="22"/>
        </w:rPr>
        <w:t xml:space="preserve">to integrate gender into </w:t>
      </w:r>
      <w:r w:rsidR="009571FA">
        <w:rPr>
          <w:rFonts w:cs="Arial"/>
          <w:bCs/>
          <w:sz w:val="22"/>
          <w:szCs w:val="22"/>
        </w:rPr>
        <w:t xml:space="preserve">their </w:t>
      </w:r>
      <w:r w:rsidR="009571FA" w:rsidRPr="0064344F">
        <w:rPr>
          <w:rFonts w:cs="Arial"/>
          <w:bCs/>
          <w:sz w:val="22"/>
          <w:szCs w:val="22"/>
        </w:rPr>
        <w:t xml:space="preserve">work.  </w:t>
      </w:r>
      <w:r w:rsidR="009571FA" w:rsidRPr="00431597">
        <w:rPr>
          <w:rFonts w:cs="Arial"/>
          <w:b/>
          <w:bCs/>
          <w:i/>
          <w:sz w:val="22"/>
          <w:szCs w:val="22"/>
        </w:rPr>
        <w:t>S</w:t>
      </w:r>
      <w:r w:rsidR="009571FA" w:rsidRPr="00645FE1">
        <w:rPr>
          <w:rFonts w:cs="Arial"/>
          <w:b/>
          <w:bCs/>
          <w:i/>
          <w:sz w:val="22"/>
          <w:szCs w:val="22"/>
        </w:rPr>
        <w:t>econd</w:t>
      </w:r>
      <w:r w:rsidR="009571FA">
        <w:rPr>
          <w:rFonts w:cs="Arial"/>
          <w:b/>
          <w:bCs/>
          <w:i/>
          <w:sz w:val="22"/>
          <w:szCs w:val="22"/>
        </w:rPr>
        <w:t>,</w:t>
      </w:r>
      <w:r w:rsidR="009571FA" w:rsidRPr="0064344F">
        <w:rPr>
          <w:rFonts w:cs="Arial"/>
          <w:bCs/>
          <w:sz w:val="22"/>
          <w:szCs w:val="22"/>
        </w:rPr>
        <w:t xml:space="preserve"> </w:t>
      </w:r>
      <w:r w:rsidR="00027A40">
        <w:rPr>
          <w:rFonts w:cs="Arial"/>
          <w:bCs/>
          <w:sz w:val="22"/>
          <w:szCs w:val="22"/>
        </w:rPr>
        <w:t xml:space="preserve">the </w:t>
      </w:r>
      <w:r w:rsidR="009571FA">
        <w:rPr>
          <w:rFonts w:cs="Arial"/>
          <w:bCs/>
          <w:sz w:val="22"/>
          <w:szCs w:val="22"/>
        </w:rPr>
        <w:t xml:space="preserve">staff perceptions on </w:t>
      </w:r>
      <w:r>
        <w:rPr>
          <w:rFonts w:cs="Arial"/>
          <w:bCs/>
          <w:sz w:val="22"/>
          <w:szCs w:val="22"/>
        </w:rPr>
        <w:t xml:space="preserve">factors </w:t>
      </w:r>
      <w:r w:rsidR="00027A40">
        <w:rPr>
          <w:rFonts w:cs="Arial"/>
          <w:bCs/>
          <w:sz w:val="22"/>
          <w:szCs w:val="22"/>
        </w:rPr>
        <w:t xml:space="preserve">that have </w:t>
      </w:r>
      <w:r>
        <w:rPr>
          <w:rFonts w:cs="Arial"/>
          <w:bCs/>
          <w:sz w:val="22"/>
          <w:szCs w:val="22"/>
        </w:rPr>
        <w:t>facilitate</w:t>
      </w:r>
      <w:r w:rsidR="00027A40">
        <w:rPr>
          <w:rFonts w:cs="Arial"/>
          <w:bCs/>
          <w:sz w:val="22"/>
          <w:szCs w:val="22"/>
        </w:rPr>
        <w:t>d</w:t>
      </w:r>
      <w:r>
        <w:rPr>
          <w:rFonts w:cs="Arial"/>
          <w:bCs/>
          <w:sz w:val="22"/>
          <w:szCs w:val="22"/>
        </w:rPr>
        <w:t xml:space="preserve"> or inhibit</w:t>
      </w:r>
      <w:r w:rsidR="00027A40">
        <w:rPr>
          <w:rFonts w:cs="Arial"/>
          <w:bCs/>
          <w:sz w:val="22"/>
          <w:szCs w:val="22"/>
        </w:rPr>
        <w:t>ed</w:t>
      </w:r>
      <w:r>
        <w:rPr>
          <w:rFonts w:cs="Arial"/>
          <w:bCs/>
          <w:sz w:val="22"/>
          <w:szCs w:val="22"/>
        </w:rPr>
        <w:t xml:space="preserve"> gender mainstreaming</w:t>
      </w:r>
      <w:r w:rsidR="00797CBA">
        <w:rPr>
          <w:rFonts w:cs="Arial"/>
          <w:bCs/>
          <w:sz w:val="22"/>
          <w:szCs w:val="22"/>
        </w:rPr>
        <w:t xml:space="preserve"> in their work; </w:t>
      </w:r>
      <w:r>
        <w:rPr>
          <w:rFonts w:cs="Arial"/>
          <w:bCs/>
          <w:sz w:val="22"/>
          <w:szCs w:val="22"/>
        </w:rPr>
        <w:t xml:space="preserve">and on </w:t>
      </w:r>
      <w:r w:rsidR="009571FA" w:rsidRPr="0064344F">
        <w:rPr>
          <w:sz w:val="22"/>
          <w:szCs w:val="22"/>
        </w:rPr>
        <w:t xml:space="preserve">types of </w:t>
      </w:r>
      <w:r w:rsidR="009571FA" w:rsidRPr="00CD0739">
        <w:rPr>
          <w:sz w:val="22"/>
          <w:szCs w:val="22"/>
        </w:rPr>
        <w:t>institutional support</w:t>
      </w:r>
      <w:r w:rsidR="009571FA" w:rsidRPr="00E234F2">
        <w:rPr>
          <w:rFonts w:cs="Arial"/>
          <w:bCs/>
          <w:sz w:val="22"/>
          <w:szCs w:val="22"/>
        </w:rPr>
        <w:t xml:space="preserve"> </w:t>
      </w:r>
      <w:r w:rsidR="00027A40">
        <w:rPr>
          <w:rFonts w:cs="Arial"/>
          <w:bCs/>
          <w:sz w:val="22"/>
          <w:szCs w:val="22"/>
        </w:rPr>
        <w:t>needed</w:t>
      </w:r>
      <w:r w:rsidR="009571FA" w:rsidRPr="00CD0739">
        <w:rPr>
          <w:sz w:val="22"/>
          <w:szCs w:val="22"/>
        </w:rPr>
        <w:t xml:space="preserve"> </w:t>
      </w:r>
      <w:r w:rsidR="009571FA">
        <w:rPr>
          <w:rFonts w:cs="Arial"/>
          <w:bCs/>
          <w:sz w:val="22"/>
          <w:szCs w:val="22"/>
        </w:rPr>
        <w:t xml:space="preserve">for </w:t>
      </w:r>
      <w:r>
        <w:rPr>
          <w:rFonts w:cs="Arial"/>
          <w:bCs/>
          <w:sz w:val="22"/>
          <w:szCs w:val="22"/>
        </w:rPr>
        <w:t>that purpose. T</w:t>
      </w:r>
      <w:r w:rsidR="009571FA" w:rsidRPr="00CD0739">
        <w:rPr>
          <w:sz w:val="22"/>
          <w:szCs w:val="22"/>
        </w:rPr>
        <w:t xml:space="preserve">he </w:t>
      </w:r>
      <w:r w:rsidR="009571FA">
        <w:rPr>
          <w:sz w:val="22"/>
          <w:szCs w:val="22"/>
        </w:rPr>
        <w:t xml:space="preserve">first type of </w:t>
      </w:r>
      <w:r w:rsidR="009571FA" w:rsidRPr="00CD0739">
        <w:rPr>
          <w:sz w:val="22"/>
          <w:szCs w:val="22"/>
        </w:rPr>
        <w:t>indicators</w:t>
      </w:r>
      <w:r w:rsidR="009571FA">
        <w:t xml:space="preserve"> </w:t>
      </w:r>
      <w:r w:rsidR="009571FA" w:rsidRPr="00CD0739">
        <w:rPr>
          <w:sz w:val="22"/>
          <w:szCs w:val="22"/>
        </w:rPr>
        <w:t xml:space="preserve">will </w:t>
      </w:r>
      <w:r w:rsidR="00027A40">
        <w:rPr>
          <w:sz w:val="22"/>
          <w:szCs w:val="22"/>
        </w:rPr>
        <w:t xml:space="preserve">aid the </w:t>
      </w:r>
      <w:r>
        <w:rPr>
          <w:sz w:val="22"/>
          <w:szCs w:val="22"/>
        </w:rPr>
        <w:t>tracking progress over time;</w:t>
      </w:r>
      <w:r w:rsidR="009571FA" w:rsidRPr="00CD0739">
        <w:rPr>
          <w:sz w:val="22"/>
          <w:szCs w:val="22"/>
        </w:rPr>
        <w:t xml:space="preserve"> the </w:t>
      </w:r>
      <w:r>
        <w:rPr>
          <w:sz w:val="22"/>
          <w:szCs w:val="22"/>
        </w:rPr>
        <w:t xml:space="preserve">second </w:t>
      </w:r>
      <w:r w:rsidR="009571FA">
        <w:rPr>
          <w:sz w:val="22"/>
          <w:szCs w:val="22"/>
        </w:rPr>
        <w:t xml:space="preserve">will </w:t>
      </w:r>
      <w:r>
        <w:rPr>
          <w:sz w:val="22"/>
          <w:szCs w:val="22"/>
        </w:rPr>
        <w:t xml:space="preserve">contribute </w:t>
      </w:r>
      <w:r w:rsidR="009571FA">
        <w:rPr>
          <w:sz w:val="22"/>
          <w:szCs w:val="22"/>
        </w:rPr>
        <w:t>to identify</w:t>
      </w:r>
      <w:r w:rsidR="009571FA" w:rsidRPr="00CD0739">
        <w:rPr>
          <w:sz w:val="22"/>
          <w:szCs w:val="22"/>
        </w:rPr>
        <w:t xml:space="preserve"> </w:t>
      </w:r>
      <w:r w:rsidR="009571FA">
        <w:rPr>
          <w:sz w:val="22"/>
          <w:szCs w:val="22"/>
        </w:rPr>
        <w:t xml:space="preserve">the </w:t>
      </w:r>
      <w:r w:rsidR="009571FA" w:rsidRPr="00CD0739">
        <w:rPr>
          <w:sz w:val="22"/>
          <w:szCs w:val="22"/>
        </w:rPr>
        <w:t>actions needed to move the gender strategy in the right direction.</w:t>
      </w:r>
      <w:r w:rsidR="009571FA">
        <w:rPr>
          <w:sz w:val="22"/>
          <w:szCs w:val="22"/>
        </w:rPr>
        <w:t xml:space="preserve"> </w:t>
      </w:r>
    </w:p>
    <w:p w:rsidR="00027A40" w:rsidRPr="001C271F" w:rsidRDefault="00027A40" w:rsidP="006B166F">
      <w:pPr>
        <w:jc w:val="both"/>
        <w:rPr>
          <w:rFonts w:cs="Arial"/>
          <w:b/>
          <w:bCs/>
          <w:sz w:val="8"/>
          <w:szCs w:val="22"/>
        </w:rPr>
      </w:pPr>
    </w:p>
    <w:p w:rsidR="009571FA" w:rsidRDefault="009571FA" w:rsidP="00C03F69">
      <w:pPr>
        <w:shd w:val="clear" w:color="auto" w:fill="FFFFFF"/>
        <w:ind w:left="720"/>
        <w:rPr>
          <w:rFonts w:cs="Arial"/>
          <w:b/>
          <w:sz w:val="24"/>
          <w:szCs w:val="22"/>
        </w:rPr>
      </w:pPr>
    </w:p>
    <w:p w:rsidR="009571FA" w:rsidRDefault="007B5DC4" w:rsidP="007B5DC4">
      <w:pPr>
        <w:shd w:val="clear" w:color="auto" w:fill="FFFFFF"/>
        <w:rPr>
          <w:rFonts w:cs="Arial"/>
          <w:b/>
          <w:sz w:val="24"/>
          <w:szCs w:val="22"/>
        </w:rPr>
      </w:pPr>
      <w:r>
        <w:rPr>
          <w:rFonts w:cs="Arial"/>
          <w:b/>
          <w:sz w:val="24"/>
          <w:szCs w:val="22"/>
        </w:rPr>
        <w:t>1.</w:t>
      </w:r>
      <w:r w:rsidR="009571FA">
        <w:rPr>
          <w:rFonts w:cs="Arial"/>
          <w:b/>
          <w:sz w:val="24"/>
          <w:szCs w:val="22"/>
        </w:rPr>
        <w:t xml:space="preserve">   </w:t>
      </w:r>
      <w:r w:rsidR="009571FA" w:rsidRPr="006F2590">
        <w:rPr>
          <w:rFonts w:cs="Arial"/>
          <w:b/>
          <w:sz w:val="24"/>
          <w:szCs w:val="22"/>
        </w:rPr>
        <w:t>B</w:t>
      </w:r>
      <w:r w:rsidR="009571FA" w:rsidRPr="006F2590">
        <w:rPr>
          <w:rFonts w:cs="Arial"/>
          <w:b/>
          <w:bCs/>
          <w:sz w:val="24"/>
          <w:szCs w:val="22"/>
        </w:rPr>
        <w:t>asic understanding</w:t>
      </w:r>
      <w:r w:rsidR="009571FA" w:rsidRPr="006F2590">
        <w:rPr>
          <w:rFonts w:cs="Arial"/>
          <w:b/>
          <w:sz w:val="24"/>
          <w:szCs w:val="22"/>
        </w:rPr>
        <w:t xml:space="preserve"> of gender and health </w:t>
      </w:r>
    </w:p>
    <w:p w:rsidR="009571FA" w:rsidRDefault="009571FA" w:rsidP="00842E16">
      <w:pPr>
        <w:rPr>
          <w:rFonts w:cs="Arial"/>
          <w:sz w:val="22"/>
          <w:szCs w:val="22"/>
        </w:rPr>
      </w:pPr>
    </w:p>
    <w:p w:rsidR="009571FA" w:rsidRDefault="009571FA" w:rsidP="00842E16">
      <w:pPr>
        <w:rPr>
          <w:rFonts w:cs="Arial"/>
          <w:sz w:val="22"/>
          <w:szCs w:val="22"/>
        </w:rPr>
      </w:pPr>
      <w:r w:rsidRPr="0073360A">
        <w:rPr>
          <w:rFonts w:cs="Arial"/>
          <w:sz w:val="22"/>
          <w:szCs w:val="22"/>
        </w:rPr>
        <w:t xml:space="preserve">Three dimensions or sub indicators were considered in this overall indicator: </w:t>
      </w:r>
    </w:p>
    <w:p w:rsidR="009571FA" w:rsidRDefault="009571FA" w:rsidP="00581596">
      <w:pPr>
        <w:numPr>
          <w:ilvl w:val="0"/>
          <w:numId w:val="5"/>
        </w:numPr>
        <w:rPr>
          <w:rFonts w:cs="Arial"/>
          <w:sz w:val="22"/>
          <w:szCs w:val="22"/>
        </w:rPr>
      </w:pPr>
      <w:r>
        <w:rPr>
          <w:rFonts w:cs="Arial"/>
          <w:bCs/>
          <w:sz w:val="22"/>
          <w:szCs w:val="22"/>
        </w:rPr>
        <w:t>A</w:t>
      </w:r>
      <w:r w:rsidRPr="0073360A">
        <w:rPr>
          <w:rFonts w:cs="Arial"/>
          <w:bCs/>
          <w:sz w:val="22"/>
          <w:szCs w:val="22"/>
        </w:rPr>
        <w:t>wareness</w:t>
      </w:r>
      <w:r w:rsidRPr="0073360A">
        <w:rPr>
          <w:rFonts w:cs="Arial"/>
          <w:sz w:val="22"/>
          <w:szCs w:val="22"/>
        </w:rPr>
        <w:t xml:space="preserve"> of WHO gender policies or strategies classified according to which particular WHO gender policy or strategy they know and if respo</w:t>
      </w:r>
      <w:r>
        <w:rPr>
          <w:rFonts w:cs="Arial"/>
          <w:sz w:val="22"/>
          <w:szCs w:val="22"/>
        </w:rPr>
        <w:t>ndent does not know of any</w:t>
      </w:r>
      <w:r w:rsidRPr="0073360A">
        <w:rPr>
          <w:rFonts w:cs="Arial"/>
          <w:sz w:val="22"/>
          <w:szCs w:val="22"/>
        </w:rPr>
        <w:t xml:space="preserve"> </w:t>
      </w:r>
    </w:p>
    <w:p w:rsidR="009571FA" w:rsidRDefault="009571FA" w:rsidP="00581596">
      <w:pPr>
        <w:numPr>
          <w:ilvl w:val="0"/>
          <w:numId w:val="5"/>
        </w:numPr>
        <w:rPr>
          <w:rFonts w:cs="Arial"/>
          <w:sz w:val="22"/>
          <w:szCs w:val="22"/>
        </w:rPr>
      </w:pPr>
      <w:r>
        <w:rPr>
          <w:rFonts w:cs="Arial"/>
          <w:sz w:val="22"/>
          <w:szCs w:val="22"/>
        </w:rPr>
        <w:t>K</w:t>
      </w:r>
      <w:r w:rsidRPr="0073360A">
        <w:rPr>
          <w:rFonts w:cs="Arial"/>
          <w:bCs/>
          <w:sz w:val="22"/>
          <w:szCs w:val="22"/>
        </w:rPr>
        <w:t>nowledge of gender concepts</w:t>
      </w:r>
      <w:r w:rsidRPr="0073360A">
        <w:rPr>
          <w:rFonts w:cs="Arial"/>
          <w:sz w:val="22"/>
          <w:szCs w:val="22"/>
        </w:rPr>
        <w:t xml:space="preserve"> classified as no knowledge, some knowledge and good knowledge </w:t>
      </w:r>
    </w:p>
    <w:p w:rsidR="009571FA" w:rsidRPr="002D350C" w:rsidRDefault="009571FA" w:rsidP="00581596">
      <w:pPr>
        <w:numPr>
          <w:ilvl w:val="0"/>
          <w:numId w:val="5"/>
        </w:numPr>
        <w:jc w:val="both"/>
        <w:rPr>
          <w:rFonts w:cs="Arial"/>
          <w:b/>
          <w:bCs/>
          <w:sz w:val="24"/>
          <w:szCs w:val="22"/>
        </w:rPr>
      </w:pPr>
      <w:r w:rsidRPr="002D350C">
        <w:rPr>
          <w:rFonts w:cs="Arial"/>
          <w:bCs/>
          <w:sz w:val="22"/>
          <w:szCs w:val="22"/>
        </w:rPr>
        <w:t xml:space="preserve">Relevance of gender </w:t>
      </w:r>
      <w:r w:rsidRPr="002D350C">
        <w:rPr>
          <w:rFonts w:cs="Arial"/>
          <w:sz w:val="22"/>
          <w:szCs w:val="22"/>
        </w:rPr>
        <w:t xml:space="preserve">to their own work and to the work of their unit   </w:t>
      </w:r>
    </w:p>
    <w:p w:rsidR="009571FA" w:rsidRDefault="009571FA" w:rsidP="00842E16">
      <w:pPr>
        <w:ind w:left="1440"/>
        <w:rPr>
          <w:rFonts w:cs="Arial"/>
          <w:b/>
          <w:sz w:val="24"/>
          <w:szCs w:val="22"/>
        </w:rPr>
      </w:pPr>
    </w:p>
    <w:p w:rsidR="009571FA" w:rsidRPr="00C03F69" w:rsidRDefault="009571FA" w:rsidP="00581596">
      <w:pPr>
        <w:numPr>
          <w:ilvl w:val="1"/>
          <w:numId w:val="44"/>
        </w:numPr>
        <w:rPr>
          <w:rFonts w:cs="Arial"/>
          <w:b/>
          <w:sz w:val="22"/>
          <w:szCs w:val="22"/>
        </w:rPr>
      </w:pPr>
      <w:r w:rsidRPr="00C03F69">
        <w:rPr>
          <w:rFonts w:cs="Arial"/>
          <w:b/>
          <w:sz w:val="22"/>
          <w:szCs w:val="22"/>
        </w:rPr>
        <w:t xml:space="preserve"> Awareness of WHO gender policies or strategies</w:t>
      </w:r>
    </w:p>
    <w:p w:rsidR="009571FA" w:rsidRPr="00C03F69" w:rsidRDefault="009571FA" w:rsidP="00F30AAB">
      <w:pPr>
        <w:ind w:left="1440"/>
        <w:rPr>
          <w:rFonts w:cs="Arial"/>
          <w:b/>
          <w:sz w:val="14"/>
          <w:szCs w:val="22"/>
        </w:rPr>
      </w:pPr>
    </w:p>
    <w:p w:rsidR="009571FA" w:rsidRDefault="009571FA" w:rsidP="00415105">
      <w:pPr>
        <w:pStyle w:val="ListParagraph"/>
        <w:ind w:left="0"/>
        <w:jc w:val="both"/>
        <w:rPr>
          <w:rFonts w:cs="Arial"/>
          <w:sz w:val="22"/>
          <w:szCs w:val="22"/>
        </w:rPr>
      </w:pPr>
      <w:r w:rsidRPr="00D8519A">
        <w:rPr>
          <w:rFonts w:cs="Arial"/>
          <w:sz w:val="22"/>
          <w:szCs w:val="22"/>
        </w:rPr>
        <w:t>9</w:t>
      </w:r>
      <w:r>
        <w:rPr>
          <w:rFonts w:cs="Arial"/>
          <w:sz w:val="22"/>
          <w:szCs w:val="22"/>
        </w:rPr>
        <w:t>3</w:t>
      </w:r>
      <w:r w:rsidRPr="00D8519A">
        <w:rPr>
          <w:rFonts w:cs="Arial"/>
          <w:sz w:val="22"/>
          <w:szCs w:val="22"/>
        </w:rPr>
        <w:t>%</w:t>
      </w:r>
      <w:r>
        <w:rPr>
          <w:rFonts w:cs="Arial"/>
          <w:sz w:val="22"/>
          <w:szCs w:val="22"/>
        </w:rPr>
        <w:t xml:space="preserve"> of</w:t>
      </w:r>
      <w:r w:rsidRPr="00D8519A">
        <w:rPr>
          <w:rFonts w:cs="Arial"/>
          <w:sz w:val="22"/>
          <w:szCs w:val="22"/>
        </w:rPr>
        <w:t xml:space="preserve"> PAHO staff </w:t>
      </w:r>
      <w:r>
        <w:rPr>
          <w:rFonts w:cs="Arial"/>
          <w:sz w:val="22"/>
          <w:szCs w:val="22"/>
        </w:rPr>
        <w:t>respondents</w:t>
      </w:r>
      <w:r w:rsidRPr="00D8519A">
        <w:rPr>
          <w:rFonts w:cs="Arial"/>
          <w:sz w:val="22"/>
          <w:szCs w:val="22"/>
        </w:rPr>
        <w:t xml:space="preserve">, reported awareness of </w:t>
      </w:r>
      <w:r w:rsidRPr="00D8519A">
        <w:rPr>
          <w:rFonts w:cs="Arial"/>
          <w:b/>
          <w:sz w:val="22"/>
          <w:szCs w:val="22"/>
        </w:rPr>
        <w:t>at least one</w:t>
      </w:r>
      <w:r w:rsidRPr="00D8519A">
        <w:rPr>
          <w:rFonts w:cs="Arial"/>
          <w:sz w:val="22"/>
          <w:szCs w:val="22"/>
        </w:rPr>
        <w:t xml:space="preserve"> WHO gender policy or strategy.  As expected, the PAHO Gender Equality Policy was the </w:t>
      </w:r>
      <w:r>
        <w:rPr>
          <w:rFonts w:cs="Arial"/>
          <w:sz w:val="22"/>
          <w:szCs w:val="22"/>
        </w:rPr>
        <w:t xml:space="preserve">policy piece most frequently acknowledged. </w:t>
      </w:r>
      <w:r w:rsidRPr="00D8519A">
        <w:rPr>
          <w:rFonts w:cs="Arial"/>
          <w:sz w:val="22"/>
          <w:szCs w:val="22"/>
        </w:rPr>
        <w:t xml:space="preserve">88% of </w:t>
      </w:r>
      <w:r>
        <w:rPr>
          <w:rFonts w:cs="Arial"/>
          <w:sz w:val="22"/>
          <w:szCs w:val="22"/>
        </w:rPr>
        <w:t xml:space="preserve">respondents </w:t>
      </w:r>
      <w:r w:rsidRPr="00D8519A">
        <w:rPr>
          <w:rFonts w:cs="Arial"/>
          <w:sz w:val="22"/>
          <w:szCs w:val="22"/>
        </w:rPr>
        <w:t>recogniz</w:t>
      </w:r>
      <w:r>
        <w:rPr>
          <w:rFonts w:cs="Arial"/>
          <w:sz w:val="22"/>
          <w:szCs w:val="22"/>
        </w:rPr>
        <w:t>ed</w:t>
      </w:r>
      <w:r w:rsidRPr="00D8519A">
        <w:rPr>
          <w:rFonts w:cs="Arial"/>
          <w:sz w:val="22"/>
          <w:szCs w:val="22"/>
        </w:rPr>
        <w:t xml:space="preserve"> </w:t>
      </w:r>
      <w:r>
        <w:rPr>
          <w:rFonts w:cs="Arial"/>
          <w:sz w:val="22"/>
          <w:szCs w:val="22"/>
        </w:rPr>
        <w:t xml:space="preserve">the </w:t>
      </w:r>
      <w:r w:rsidRPr="00D8519A">
        <w:rPr>
          <w:rFonts w:cs="Arial"/>
          <w:sz w:val="22"/>
          <w:szCs w:val="22"/>
        </w:rPr>
        <w:t>existence</w:t>
      </w:r>
      <w:r>
        <w:rPr>
          <w:rFonts w:cs="Arial"/>
          <w:sz w:val="22"/>
          <w:szCs w:val="22"/>
        </w:rPr>
        <w:t xml:space="preserve"> of the PAHO Gender Equality Policy, while </w:t>
      </w:r>
      <w:r w:rsidRPr="00D8519A">
        <w:rPr>
          <w:rFonts w:cs="Arial"/>
          <w:sz w:val="22"/>
          <w:szCs w:val="22"/>
        </w:rPr>
        <w:t>63% and 42%</w:t>
      </w:r>
      <w:r>
        <w:rPr>
          <w:rFonts w:cs="Arial"/>
          <w:sz w:val="22"/>
          <w:szCs w:val="22"/>
        </w:rPr>
        <w:t xml:space="preserve">, respectively, acknowledged the </w:t>
      </w:r>
      <w:r w:rsidRPr="00D8519A">
        <w:rPr>
          <w:rFonts w:cs="Arial"/>
          <w:sz w:val="22"/>
          <w:szCs w:val="22"/>
        </w:rPr>
        <w:t xml:space="preserve">WHO Gender Policy and </w:t>
      </w:r>
      <w:r>
        <w:rPr>
          <w:rFonts w:cs="Arial"/>
          <w:sz w:val="22"/>
          <w:szCs w:val="22"/>
        </w:rPr>
        <w:t xml:space="preserve">WHO </w:t>
      </w:r>
      <w:r w:rsidRPr="00D8519A">
        <w:rPr>
          <w:rFonts w:cs="Arial"/>
          <w:sz w:val="22"/>
          <w:szCs w:val="22"/>
        </w:rPr>
        <w:t>Gender Strategy</w:t>
      </w:r>
      <w:r>
        <w:rPr>
          <w:rFonts w:cs="Arial"/>
          <w:sz w:val="22"/>
          <w:szCs w:val="22"/>
        </w:rPr>
        <w:t>.</w:t>
      </w:r>
    </w:p>
    <w:p w:rsidR="00EF6EC8" w:rsidRPr="00D8519A" w:rsidRDefault="00EF6EC8" w:rsidP="00415105">
      <w:pPr>
        <w:pStyle w:val="ListParagraph"/>
        <w:ind w:left="0"/>
        <w:jc w:val="both"/>
        <w:rPr>
          <w:rFonts w:cs="Arial"/>
          <w:sz w:val="22"/>
          <w:szCs w:val="22"/>
        </w:rPr>
      </w:pPr>
    </w:p>
    <w:p w:rsidR="009571FA" w:rsidRPr="00B378E6" w:rsidRDefault="009571FA" w:rsidP="00415105">
      <w:pPr>
        <w:pStyle w:val="ListParagraph"/>
        <w:ind w:left="0" w:firstLine="720"/>
        <w:jc w:val="both"/>
        <w:rPr>
          <w:rFonts w:cs="Arial"/>
          <w:i/>
          <w:sz w:val="16"/>
          <w:szCs w:val="22"/>
        </w:rPr>
      </w:pPr>
    </w:p>
    <w:p w:rsidR="009571FA" w:rsidRPr="00DF1CDC" w:rsidRDefault="009571FA" w:rsidP="00581596">
      <w:pPr>
        <w:pStyle w:val="ListParagraph"/>
        <w:numPr>
          <w:ilvl w:val="0"/>
          <w:numId w:val="6"/>
        </w:numPr>
        <w:jc w:val="both"/>
        <w:rPr>
          <w:rFonts w:cs="Arial"/>
          <w:i/>
          <w:sz w:val="22"/>
          <w:szCs w:val="22"/>
        </w:rPr>
      </w:pPr>
      <w:r>
        <w:rPr>
          <w:rFonts w:cs="Arial"/>
          <w:i/>
          <w:sz w:val="22"/>
          <w:szCs w:val="22"/>
        </w:rPr>
        <w:t xml:space="preserve"> </w:t>
      </w:r>
      <w:r w:rsidRPr="00DF1CDC">
        <w:rPr>
          <w:rFonts w:cs="Arial"/>
          <w:i/>
          <w:sz w:val="22"/>
          <w:szCs w:val="22"/>
        </w:rPr>
        <w:t>Differentials by sex and grade</w:t>
      </w:r>
    </w:p>
    <w:p w:rsidR="009571FA" w:rsidRPr="006B166F" w:rsidRDefault="009571FA" w:rsidP="00415105">
      <w:pPr>
        <w:pStyle w:val="ListParagraph"/>
        <w:ind w:left="0"/>
        <w:jc w:val="both"/>
        <w:rPr>
          <w:rFonts w:cs="Arial"/>
          <w:sz w:val="4"/>
          <w:szCs w:val="22"/>
        </w:rPr>
      </w:pPr>
    </w:p>
    <w:p w:rsidR="009571FA" w:rsidRDefault="009571FA" w:rsidP="00415105">
      <w:pPr>
        <w:pStyle w:val="ListParagraph"/>
        <w:ind w:left="0"/>
        <w:jc w:val="both"/>
        <w:rPr>
          <w:rFonts w:cs="Arial"/>
          <w:sz w:val="22"/>
          <w:szCs w:val="22"/>
        </w:rPr>
      </w:pPr>
      <w:r>
        <w:rPr>
          <w:rFonts w:cs="Arial"/>
          <w:sz w:val="22"/>
          <w:szCs w:val="22"/>
        </w:rPr>
        <w:t>There was no</w:t>
      </w:r>
      <w:r w:rsidR="00EC3B13">
        <w:rPr>
          <w:rFonts w:cs="Arial"/>
          <w:sz w:val="22"/>
          <w:szCs w:val="22"/>
        </w:rPr>
        <w:t xml:space="preserve"> </w:t>
      </w:r>
      <w:r>
        <w:rPr>
          <w:rFonts w:cs="Arial"/>
          <w:sz w:val="22"/>
          <w:szCs w:val="22"/>
        </w:rPr>
        <w:t xml:space="preserve">statistically significant difference by sex regarding awareness of </w:t>
      </w:r>
      <w:r w:rsidRPr="000D7E08">
        <w:rPr>
          <w:rFonts w:cs="Arial"/>
          <w:b/>
          <w:sz w:val="22"/>
          <w:szCs w:val="22"/>
        </w:rPr>
        <w:t>at least one</w:t>
      </w:r>
      <w:r>
        <w:rPr>
          <w:rFonts w:cs="Arial"/>
          <w:sz w:val="22"/>
          <w:szCs w:val="22"/>
        </w:rPr>
        <w:t xml:space="preserve"> WHO ge</w:t>
      </w:r>
      <w:r w:rsidRPr="00D8519A">
        <w:rPr>
          <w:rFonts w:cs="Arial"/>
          <w:sz w:val="22"/>
          <w:szCs w:val="22"/>
        </w:rPr>
        <w:t>nder policy/strategy</w:t>
      </w:r>
      <w:r>
        <w:rPr>
          <w:rFonts w:cs="Arial"/>
          <w:sz w:val="22"/>
          <w:szCs w:val="22"/>
        </w:rPr>
        <w:t xml:space="preserve"> and, more specifically, of the PAHO Gender Equality Policy. </w:t>
      </w:r>
      <w:r w:rsidR="00EC3B13">
        <w:rPr>
          <w:rFonts w:cs="Arial"/>
          <w:sz w:val="22"/>
          <w:szCs w:val="22"/>
        </w:rPr>
        <w:t xml:space="preserve">Directors and professionals </w:t>
      </w:r>
      <w:r>
        <w:rPr>
          <w:rFonts w:cs="Arial"/>
          <w:sz w:val="22"/>
          <w:szCs w:val="22"/>
        </w:rPr>
        <w:t>tend</w:t>
      </w:r>
      <w:r w:rsidR="00EC3B13">
        <w:rPr>
          <w:rFonts w:cs="Arial"/>
          <w:sz w:val="22"/>
          <w:szCs w:val="22"/>
        </w:rPr>
        <w:t>ed</w:t>
      </w:r>
      <w:r>
        <w:rPr>
          <w:rFonts w:cs="Arial"/>
          <w:sz w:val="22"/>
          <w:szCs w:val="22"/>
        </w:rPr>
        <w:t xml:space="preserve"> to be more aware of </w:t>
      </w:r>
      <w:r w:rsidRPr="007105FF">
        <w:rPr>
          <w:rFonts w:cs="Arial"/>
          <w:b/>
          <w:sz w:val="22"/>
          <w:szCs w:val="22"/>
        </w:rPr>
        <w:t>at least one</w:t>
      </w:r>
      <w:r>
        <w:rPr>
          <w:rFonts w:cs="Arial"/>
          <w:sz w:val="22"/>
          <w:szCs w:val="22"/>
        </w:rPr>
        <w:t xml:space="preserve"> policy</w:t>
      </w:r>
      <w:r w:rsidR="003B2735">
        <w:rPr>
          <w:rFonts w:cs="Arial"/>
          <w:sz w:val="22"/>
          <w:szCs w:val="22"/>
        </w:rPr>
        <w:t>,</w:t>
      </w:r>
      <w:r>
        <w:rPr>
          <w:rFonts w:cs="Arial"/>
          <w:sz w:val="22"/>
          <w:szCs w:val="22"/>
        </w:rPr>
        <w:t xml:space="preserve"> but the difference by grade was n</w:t>
      </w:r>
      <w:r w:rsidR="00F15F76">
        <w:rPr>
          <w:rFonts w:cs="Arial"/>
          <w:sz w:val="22"/>
          <w:szCs w:val="22"/>
        </w:rPr>
        <w:t xml:space="preserve">ot </w:t>
      </w:r>
      <w:r>
        <w:rPr>
          <w:rFonts w:cs="Arial"/>
          <w:sz w:val="22"/>
          <w:szCs w:val="22"/>
        </w:rPr>
        <w:t>statistically significant</w:t>
      </w:r>
      <w:r w:rsidR="00C64E75">
        <w:rPr>
          <w:rFonts w:cs="Arial"/>
          <w:sz w:val="22"/>
          <w:szCs w:val="22"/>
        </w:rPr>
        <w:t xml:space="preserve"> either</w:t>
      </w:r>
      <w:r w:rsidR="00F15F76">
        <w:rPr>
          <w:rFonts w:cs="Arial"/>
          <w:sz w:val="22"/>
          <w:szCs w:val="22"/>
        </w:rPr>
        <w:t>.</w:t>
      </w:r>
      <w:r>
        <w:rPr>
          <w:rFonts w:cs="Arial"/>
          <w:sz w:val="22"/>
          <w:szCs w:val="22"/>
        </w:rPr>
        <w:t xml:space="preserve"> However, when individual policies were considered separately, a statistically significant difference by grade was observed regarding awareness of both the WHO Gender Policy and Strategy (Table 2). </w:t>
      </w:r>
    </w:p>
    <w:p w:rsidR="00F15F76" w:rsidRDefault="00F15F76" w:rsidP="006B166F">
      <w:pPr>
        <w:pStyle w:val="ListParagraph"/>
        <w:ind w:left="0"/>
        <w:jc w:val="both"/>
        <w:rPr>
          <w:rFonts w:cs="Arial"/>
          <w:b/>
          <w:sz w:val="22"/>
          <w:szCs w:val="22"/>
        </w:rPr>
      </w:pPr>
    </w:p>
    <w:p w:rsidR="009571FA" w:rsidRDefault="009571FA" w:rsidP="009C7DAB">
      <w:pPr>
        <w:pStyle w:val="ListParagraph"/>
        <w:ind w:left="450"/>
        <w:rPr>
          <w:rFonts w:cs="Arial"/>
          <w:sz w:val="22"/>
          <w:szCs w:val="22"/>
        </w:rPr>
      </w:pPr>
      <w:r w:rsidRPr="009C7DAB">
        <w:rPr>
          <w:rFonts w:cs="Arial"/>
          <w:b/>
          <w:sz w:val="22"/>
          <w:szCs w:val="22"/>
        </w:rPr>
        <w:t>Table 2.</w:t>
      </w:r>
      <w:r>
        <w:rPr>
          <w:rFonts w:cs="Arial"/>
          <w:sz w:val="22"/>
          <w:szCs w:val="22"/>
        </w:rPr>
        <w:t xml:space="preserve"> Percentages of PAHO staff members reporting awareness of WHO gender policies or strategies, by sex and grade. 2008. </w:t>
      </w:r>
    </w:p>
    <w:p w:rsidR="009571FA" w:rsidRDefault="009571FA" w:rsidP="00420A12">
      <w:pPr>
        <w:pStyle w:val="ListParagraph"/>
        <w:ind w:left="0"/>
        <w:rPr>
          <w:rFonts w:cs="Arial"/>
          <w:sz w:val="22"/>
          <w:szCs w:val="22"/>
        </w:rPr>
      </w:pPr>
    </w:p>
    <w:tbl>
      <w:tblPr>
        <w:tblW w:w="0" w:type="auto"/>
        <w:jc w:val="center"/>
        <w:tblLook w:val="00BF"/>
      </w:tblPr>
      <w:tblGrid>
        <w:gridCol w:w="1408"/>
        <w:gridCol w:w="521"/>
        <w:gridCol w:w="521"/>
        <w:gridCol w:w="609"/>
        <w:gridCol w:w="667"/>
        <w:gridCol w:w="678"/>
        <w:gridCol w:w="647"/>
        <w:gridCol w:w="720"/>
        <w:gridCol w:w="720"/>
        <w:gridCol w:w="571"/>
        <w:gridCol w:w="720"/>
        <w:gridCol w:w="810"/>
      </w:tblGrid>
      <w:tr w:rsidR="009571FA" w:rsidTr="009C7DAB">
        <w:trPr>
          <w:trHeight w:val="340"/>
          <w:jc w:val="center"/>
        </w:trPr>
        <w:tc>
          <w:tcPr>
            <w:tcW w:w="1408" w:type="dxa"/>
            <w:vMerge w:val="restart"/>
            <w:tcBorders>
              <w:top w:val="single" w:sz="4" w:space="0" w:color="auto"/>
              <w:left w:val="single" w:sz="4" w:space="0" w:color="auto"/>
              <w:bottom w:val="single" w:sz="4" w:space="0" w:color="auto"/>
              <w:right w:val="single" w:sz="4" w:space="0" w:color="auto"/>
            </w:tcBorders>
            <w:shd w:val="clear" w:color="auto" w:fill="C6D9F1"/>
            <w:tcMar>
              <w:top w:w="0" w:type="dxa"/>
              <w:left w:w="28" w:type="dxa"/>
              <w:bottom w:w="0" w:type="dxa"/>
              <w:right w:w="28" w:type="dxa"/>
            </w:tcMar>
            <w:vAlign w:val="center"/>
          </w:tcPr>
          <w:p w:rsidR="009571FA" w:rsidRDefault="009571FA">
            <w:pPr>
              <w:tabs>
                <w:tab w:val="left" w:pos="253"/>
              </w:tabs>
              <w:spacing w:line="276" w:lineRule="auto"/>
              <w:rPr>
                <w:rFonts w:ascii="Calibri" w:hAnsi="Calibri"/>
                <w:b/>
              </w:rPr>
            </w:pPr>
            <w:r>
              <w:rPr>
                <w:rFonts w:ascii="Calibri" w:hAnsi="Calibri"/>
                <w:b/>
              </w:rPr>
              <w:t xml:space="preserve">  Staff</w:t>
            </w:r>
          </w:p>
          <w:p w:rsidR="009571FA" w:rsidRDefault="009571FA">
            <w:pPr>
              <w:tabs>
                <w:tab w:val="left" w:pos="253"/>
              </w:tabs>
              <w:spacing w:line="276" w:lineRule="auto"/>
              <w:rPr>
                <w:rFonts w:ascii="Calibri" w:hAnsi="Calibri"/>
              </w:rPr>
            </w:pPr>
            <w:r>
              <w:rPr>
                <w:rFonts w:ascii="Calibri" w:hAnsi="Calibri"/>
                <w:b/>
              </w:rPr>
              <w:t xml:space="preserve">  Categories</w:t>
            </w:r>
          </w:p>
        </w:tc>
        <w:tc>
          <w:tcPr>
            <w:tcW w:w="508"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9571FA" w:rsidRDefault="009571FA">
            <w:pPr>
              <w:tabs>
                <w:tab w:val="left" w:pos="253"/>
              </w:tabs>
              <w:spacing w:line="276" w:lineRule="auto"/>
              <w:jc w:val="center"/>
              <w:rPr>
                <w:rFonts w:ascii="Calibri" w:hAnsi="Calibri"/>
                <w:lang w:val="es-ES_tradnl"/>
              </w:rPr>
            </w:pPr>
            <w:r>
              <w:rPr>
                <w:rFonts w:ascii="Calibri" w:hAnsi="Calibri"/>
                <w:lang w:val="es-ES_tradnl"/>
              </w:rPr>
              <w:t>N</w:t>
            </w:r>
          </w:p>
        </w:tc>
        <w:tc>
          <w:tcPr>
            <w:tcW w:w="1099" w:type="dxa"/>
            <w:gridSpan w:val="2"/>
            <w:tcBorders>
              <w:top w:val="single" w:sz="4" w:space="0" w:color="auto"/>
              <w:left w:val="single" w:sz="4" w:space="0" w:color="auto"/>
              <w:bottom w:val="single" w:sz="4" w:space="0" w:color="auto"/>
              <w:right w:val="single" w:sz="4" w:space="0" w:color="auto"/>
            </w:tcBorders>
            <w:shd w:val="clear" w:color="auto" w:fill="C6D9F1"/>
            <w:vAlign w:val="center"/>
          </w:tcPr>
          <w:p w:rsidR="009571FA" w:rsidRPr="009C7DAB" w:rsidRDefault="009571FA">
            <w:pPr>
              <w:spacing w:line="276" w:lineRule="auto"/>
              <w:jc w:val="center"/>
              <w:rPr>
                <w:rFonts w:ascii="Calibri" w:hAnsi="Calibri"/>
                <w:b/>
                <w:lang w:val="es-ES_tradnl"/>
              </w:rPr>
            </w:pPr>
            <w:r w:rsidRPr="009C7DAB">
              <w:rPr>
                <w:rFonts w:ascii="Calibri" w:hAnsi="Calibri"/>
                <w:b/>
                <w:lang w:val="es-ES_tradnl"/>
              </w:rPr>
              <w:t>WHO Gender Policy</w:t>
            </w:r>
          </w:p>
        </w:tc>
        <w:tc>
          <w:tcPr>
            <w:tcW w:w="1345" w:type="dxa"/>
            <w:gridSpan w:val="2"/>
            <w:tcBorders>
              <w:top w:val="single" w:sz="4" w:space="0" w:color="auto"/>
              <w:left w:val="single" w:sz="4" w:space="0" w:color="auto"/>
              <w:bottom w:val="single" w:sz="4" w:space="0" w:color="auto"/>
              <w:right w:val="single" w:sz="4" w:space="0" w:color="auto"/>
            </w:tcBorders>
            <w:shd w:val="clear" w:color="auto" w:fill="C6D9F1"/>
            <w:vAlign w:val="center"/>
          </w:tcPr>
          <w:p w:rsidR="009571FA" w:rsidRPr="009C7DAB" w:rsidRDefault="009571FA">
            <w:pPr>
              <w:spacing w:line="276" w:lineRule="auto"/>
              <w:jc w:val="center"/>
              <w:rPr>
                <w:rFonts w:ascii="Calibri" w:hAnsi="Calibri"/>
                <w:b/>
                <w:lang w:val="es-ES_tradnl"/>
              </w:rPr>
            </w:pPr>
            <w:r w:rsidRPr="009C7DAB">
              <w:rPr>
                <w:rFonts w:ascii="Calibri" w:hAnsi="Calibri"/>
                <w:b/>
                <w:lang w:val="es-ES_tradnl"/>
              </w:rPr>
              <w:t xml:space="preserve">PAHO Gender </w:t>
            </w:r>
            <w:r w:rsidRPr="009C7DAB">
              <w:rPr>
                <w:rFonts w:ascii="Calibri" w:hAnsi="Calibri"/>
                <w:b/>
                <w:lang w:val="es-ES_tradnl"/>
              </w:rPr>
              <w:br/>
              <w:t>Equality Policy</w:t>
            </w:r>
          </w:p>
        </w:tc>
        <w:tc>
          <w:tcPr>
            <w:tcW w:w="1367" w:type="dxa"/>
            <w:gridSpan w:val="2"/>
            <w:tcBorders>
              <w:top w:val="single" w:sz="4" w:space="0" w:color="auto"/>
              <w:left w:val="single" w:sz="4" w:space="0" w:color="auto"/>
              <w:bottom w:val="single" w:sz="4" w:space="0" w:color="auto"/>
              <w:right w:val="single" w:sz="4" w:space="0" w:color="auto"/>
            </w:tcBorders>
            <w:shd w:val="clear" w:color="auto" w:fill="C6D9F1"/>
            <w:vAlign w:val="center"/>
          </w:tcPr>
          <w:p w:rsidR="009571FA" w:rsidRPr="009C7DAB" w:rsidRDefault="009571FA">
            <w:pPr>
              <w:spacing w:line="276" w:lineRule="auto"/>
              <w:jc w:val="center"/>
              <w:rPr>
                <w:rFonts w:ascii="Calibri" w:hAnsi="Calibri"/>
                <w:b/>
                <w:lang w:val="es-ES_tradnl"/>
              </w:rPr>
            </w:pPr>
            <w:r w:rsidRPr="009C7DAB">
              <w:rPr>
                <w:rFonts w:ascii="Calibri" w:hAnsi="Calibri"/>
                <w:b/>
                <w:lang w:val="es-ES_tradnl"/>
              </w:rPr>
              <w:t xml:space="preserve">Other Regional </w:t>
            </w:r>
            <w:r w:rsidRPr="009C7DAB">
              <w:rPr>
                <w:rFonts w:ascii="Calibri" w:hAnsi="Calibri"/>
                <w:b/>
                <w:lang w:val="es-ES_tradnl"/>
              </w:rPr>
              <w:br/>
              <w:t>Gender Policy</w:t>
            </w:r>
          </w:p>
        </w:tc>
        <w:tc>
          <w:tcPr>
            <w:tcW w:w="1260" w:type="dxa"/>
            <w:gridSpan w:val="2"/>
            <w:tcBorders>
              <w:top w:val="single" w:sz="4" w:space="0" w:color="auto"/>
              <w:left w:val="single" w:sz="4" w:space="0" w:color="auto"/>
              <w:bottom w:val="single" w:sz="4" w:space="0" w:color="auto"/>
              <w:right w:val="single" w:sz="4" w:space="0" w:color="auto"/>
            </w:tcBorders>
            <w:shd w:val="clear" w:color="auto" w:fill="C6D9F1"/>
            <w:vAlign w:val="center"/>
          </w:tcPr>
          <w:p w:rsidR="009571FA" w:rsidRPr="009C7DAB" w:rsidRDefault="009571FA">
            <w:pPr>
              <w:spacing w:line="276" w:lineRule="auto"/>
              <w:jc w:val="center"/>
              <w:rPr>
                <w:rFonts w:ascii="Calibri" w:hAnsi="Calibri"/>
                <w:b/>
              </w:rPr>
            </w:pPr>
            <w:r w:rsidRPr="009C7DAB">
              <w:rPr>
                <w:rFonts w:ascii="Calibri" w:hAnsi="Calibri"/>
                <w:b/>
              </w:rPr>
              <w:t xml:space="preserve">WHO Strategy on Integrating Gender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6D9F1"/>
            <w:vAlign w:val="center"/>
          </w:tcPr>
          <w:p w:rsidR="009571FA" w:rsidRPr="009C7DAB" w:rsidRDefault="009571FA">
            <w:pPr>
              <w:spacing w:line="276" w:lineRule="auto"/>
              <w:jc w:val="center"/>
              <w:rPr>
                <w:rFonts w:ascii="Calibri" w:hAnsi="Calibri"/>
                <w:b/>
              </w:rPr>
            </w:pPr>
            <w:r w:rsidRPr="009C7DAB">
              <w:rPr>
                <w:rFonts w:ascii="Calibri" w:hAnsi="Calibri"/>
                <w:b/>
              </w:rPr>
              <w:t>Dont' know of any of these Policies/ Strategy</w:t>
            </w:r>
          </w:p>
        </w:tc>
      </w:tr>
      <w:tr w:rsidR="009571FA" w:rsidTr="009C7DAB">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571FA" w:rsidRDefault="009571FA">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571FA" w:rsidRPr="009C7DAB" w:rsidRDefault="009571FA">
            <w:pPr>
              <w:rPr>
                <w:rFonts w:ascii="Calibri" w:hAnsi="Calibri"/>
                <w:lang w:val="en-US"/>
              </w:rPr>
            </w:pPr>
          </w:p>
        </w:tc>
        <w:tc>
          <w:tcPr>
            <w:tcW w:w="490" w:type="dxa"/>
            <w:tcBorders>
              <w:top w:val="single" w:sz="4" w:space="0" w:color="auto"/>
              <w:left w:val="single" w:sz="4" w:space="0" w:color="auto"/>
              <w:bottom w:val="single" w:sz="4" w:space="0" w:color="auto"/>
              <w:right w:val="nil"/>
            </w:tcBorders>
            <w:shd w:val="clear" w:color="auto" w:fill="C6D9F1"/>
            <w:vAlign w:val="center"/>
          </w:tcPr>
          <w:p w:rsidR="009571FA" w:rsidRDefault="009571FA">
            <w:pPr>
              <w:spacing w:line="276" w:lineRule="auto"/>
              <w:jc w:val="center"/>
              <w:rPr>
                <w:rFonts w:ascii="Calibri" w:hAnsi="Calibri"/>
                <w:sz w:val="18"/>
                <w:lang w:val="es-ES_tradnl"/>
              </w:rPr>
            </w:pPr>
            <w:r>
              <w:rPr>
                <w:rFonts w:ascii="Calibri" w:hAnsi="Calibri"/>
                <w:sz w:val="18"/>
                <w:lang w:val="es-ES_tradnl"/>
              </w:rPr>
              <w:t>n</w:t>
            </w:r>
          </w:p>
        </w:tc>
        <w:tc>
          <w:tcPr>
            <w:tcW w:w="609" w:type="dxa"/>
            <w:tcBorders>
              <w:top w:val="single" w:sz="4" w:space="0" w:color="auto"/>
              <w:left w:val="nil"/>
              <w:bottom w:val="single" w:sz="4" w:space="0" w:color="auto"/>
              <w:right w:val="single" w:sz="4" w:space="0" w:color="auto"/>
            </w:tcBorders>
            <w:shd w:val="clear" w:color="auto" w:fill="C6D9F1"/>
            <w:vAlign w:val="center"/>
          </w:tcPr>
          <w:p w:rsidR="009571FA" w:rsidRDefault="009571FA">
            <w:pPr>
              <w:spacing w:line="276" w:lineRule="auto"/>
              <w:jc w:val="center"/>
              <w:rPr>
                <w:rFonts w:ascii="Calibri" w:hAnsi="Calibri"/>
                <w:sz w:val="18"/>
                <w:lang w:val="es-ES_tradnl"/>
              </w:rPr>
            </w:pPr>
            <w:r>
              <w:rPr>
                <w:rFonts w:ascii="Calibri" w:hAnsi="Calibri"/>
                <w:sz w:val="18"/>
                <w:lang w:val="es-ES_tradnl"/>
              </w:rPr>
              <w:t>%</w:t>
            </w:r>
          </w:p>
        </w:tc>
        <w:tc>
          <w:tcPr>
            <w:tcW w:w="667" w:type="dxa"/>
            <w:tcBorders>
              <w:top w:val="single" w:sz="4" w:space="0" w:color="auto"/>
              <w:left w:val="single" w:sz="4" w:space="0" w:color="auto"/>
              <w:bottom w:val="single" w:sz="4" w:space="0" w:color="auto"/>
              <w:right w:val="nil"/>
            </w:tcBorders>
            <w:shd w:val="clear" w:color="auto" w:fill="C6D9F1"/>
            <w:vAlign w:val="center"/>
          </w:tcPr>
          <w:p w:rsidR="009571FA" w:rsidRDefault="009571FA">
            <w:pPr>
              <w:spacing w:line="276" w:lineRule="auto"/>
              <w:jc w:val="center"/>
              <w:rPr>
                <w:rFonts w:ascii="Calibri" w:hAnsi="Calibri"/>
                <w:sz w:val="18"/>
                <w:lang w:val="es-ES_tradnl"/>
              </w:rPr>
            </w:pPr>
            <w:r>
              <w:rPr>
                <w:rFonts w:ascii="Calibri" w:hAnsi="Calibri"/>
                <w:sz w:val="18"/>
                <w:lang w:val="es-ES_tradnl"/>
              </w:rPr>
              <w:t>n</w:t>
            </w:r>
          </w:p>
        </w:tc>
        <w:tc>
          <w:tcPr>
            <w:tcW w:w="678" w:type="dxa"/>
            <w:tcBorders>
              <w:top w:val="single" w:sz="4" w:space="0" w:color="auto"/>
              <w:left w:val="nil"/>
              <w:bottom w:val="single" w:sz="4" w:space="0" w:color="auto"/>
              <w:right w:val="single" w:sz="4" w:space="0" w:color="auto"/>
            </w:tcBorders>
            <w:shd w:val="clear" w:color="auto" w:fill="C6D9F1"/>
            <w:vAlign w:val="center"/>
          </w:tcPr>
          <w:p w:rsidR="009571FA" w:rsidRDefault="009571FA">
            <w:pPr>
              <w:spacing w:line="276" w:lineRule="auto"/>
              <w:jc w:val="center"/>
              <w:rPr>
                <w:rFonts w:ascii="Calibri" w:hAnsi="Calibri"/>
                <w:sz w:val="18"/>
                <w:lang w:val="es-ES_tradnl"/>
              </w:rPr>
            </w:pPr>
            <w:r>
              <w:rPr>
                <w:rFonts w:ascii="Calibri" w:hAnsi="Calibri"/>
                <w:sz w:val="18"/>
                <w:lang w:val="es-ES_tradnl"/>
              </w:rPr>
              <w:t>%</w:t>
            </w:r>
          </w:p>
        </w:tc>
        <w:tc>
          <w:tcPr>
            <w:tcW w:w="647" w:type="dxa"/>
            <w:tcBorders>
              <w:top w:val="single" w:sz="4" w:space="0" w:color="auto"/>
              <w:left w:val="single" w:sz="4" w:space="0" w:color="auto"/>
              <w:bottom w:val="single" w:sz="4" w:space="0" w:color="auto"/>
              <w:right w:val="nil"/>
            </w:tcBorders>
            <w:shd w:val="clear" w:color="auto" w:fill="C6D9F1"/>
            <w:vAlign w:val="center"/>
          </w:tcPr>
          <w:p w:rsidR="009571FA" w:rsidRDefault="009571FA">
            <w:pPr>
              <w:spacing w:line="276" w:lineRule="auto"/>
              <w:jc w:val="center"/>
              <w:rPr>
                <w:rFonts w:ascii="Calibri" w:hAnsi="Calibri"/>
                <w:sz w:val="18"/>
                <w:lang w:val="es-ES_tradnl"/>
              </w:rPr>
            </w:pPr>
            <w:r>
              <w:rPr>
                <w:rFonts w:ascii="Calibri" w:hAnsi="Calibri"/>
                <w:sz w:val="18"/>
                <w:lang w:val="es-ES_tradnl"/>
              </w:rPr>
              <w:t>n</w:t>
            </w:r>
          </w:p>
        </w:tc>
        <w:tc>
          <w:tcPr>
            <w:tcW w:w="720" w:type="dxa"/>
            <w:tcBorders>
              <w:top w:val="single" w:sz="4" w:space="0" w:color="auto"/>
              <w:left w:val="nil"/>
              <w:bottom w:val="single" w:sz="4" w:space="0" w:color="auto"/>
              <w:right w:val="single" w:sz="4" w:space="0" w:color="auto"/>
            </w:tcBorders>
            <w:shd w:val="clear" w:color="auto" w:fill="C6D9F1"/>
            <w:vAlign w:val="center"/>
          </w:tcPr>
          <w:p w:rsidR="009571FA" w:rsidRDefault="009571FA">
            <w:pPr>
              <w:spacing w:line="276" w:lineRule="auto"/>
              <w:jc w:val="center"/>
              <w:rPr>
                <w:rFonts w:ascii="Calibri" w:hAnsi="Calibri"/>
                <w:sz w:val="18"/>
                <w:lang w:val="es-ES_tradnl"/>
              </w:rPr>
            </w:pPr>
            <w:r>
              <w:rPr>
                <w:rFonts w:ascii="Calibri" w:hAnsi="Calibri"/>
                <w:sz w:val="18"/>
                <w:lang w:val="es-ES_tradnl"/>
              </w:rPr>
              <w:t>%</w:t>
            </w:r>
          </w:p>
        </w:tc>
        <w:tc>
          <w:tcPr>
            <w:tcW w:w="720" w:type="dxa"/>
            <w:tcBorders>
              <w:top w:val="single" w:sz="4" w:space="0" w:color="auto"/>
              <w:left w:val="single" w:sz="4" w:space="0" w:color="auto"/>
              <w:bottom w:val="single" w:sz="4" w:space="0" w:color="auto"/>
              <w:right w:val="nil"/>
            </w:tcBorders>
            <w:shd w:val="clear" w:color="auto" w:fill="C6D9F1"/>
            <w:vAlign w:val="center"/>
          </w:tcPr>
          <w:p w:rsidR="009571FA" w:rsidRDefault="009571FA">
            <w:pPr>
              <w:spacing w:line="276" w:lineRule="auto"/>
              <w:jc w:val="center"/>
              <w:rPr>
                <w:rFonts w:ascii="Calibri" w:hAnsi="Calibri"/>
                <w:sz w:val="18"/>
                <w:lang w:val="es-ES_tradnl"/>
              </w:rPr>
            </w:pPr>
            <w:r>
              <w:rPr>
                <w:rFonts w:ascii="Calibri" w:hAnsi="Calibri"/>
                <w:sz w:val="18"/>
                <w:lang w:val="es-ES_tradnl"/>
              </w:rPr>
              <w:t>n</w:t>
            </w:r>
          </w:p>
        </w:tc>
        <w:tc>
          <w:tcPr>
            <w:tcW w:w="540" w:type="dxa"/>
            <w:tcBorders>
              <w:top w:val="single" w:sz="4" w:space="0" w:color="auto"/>
              <w:left w:val="nil"/>
              <w:bottom w:val="single" w:sz="4" w:space="0" w:color="auto"/>
              <w:right w:val="single" w:sz="4" w:space="0" w:color="auto"/>
            </w:tcBorders>
            <w:shd w:val="clear" w:color="auto" w:fill="C6D9F1"/>
            <w:vAlign w:val="center"/>
          </w:tcPr>
          <w:p w:rsidR="009571FA" w:rsidRDefault="009571FA">
            <w:pPr>
              <w:spacing w:line="276" w:lineRule="auto"/>
              <w:jc w:val="center"/>
              <w:rPr>
                <w:rFonts w:ascii="Calibri" w:hAnsi="Calibri"/>
                <w:sz w:val="18"/>
                <w:lang w:val="es-ES_tradnl"/>
              </w:rPr>
            </w:pPr>
            <w:r>
              <w:rPr>
                <w:rFonts w:ascii="Calibri" w:hAnsi="Calibri"/>
                <w:sz w:val="18"/>
                <w:lang w:val="es-ES_tradnl"/>
              </w:rPr>
              <w:t>%</w:t>
            </w:r>
          </w:p>
        </w:tc>
        <w:tc>
          <w:tcPr>
            <w:tcW w:w="720" w:type="dxa"/>
            <w:tcBorders>
              <w:top w:val="single" w:sz="4" w:space="0" w:color="auto"/>
              <w:left w:val="single" w:sz="4" w:space="0" w:color="auto"/>
              <w:bottom w:val="single" w:sz="4" w:space="0" w:color="auto"/>
              <w:right w:val="nil"/>
            </w:tcBorders>
            <w:shd w:val="clear" w:color="auto" w:fill="C6D9F1"/>
            <w:vAlign w:val="center"/>
          </w:tcPr>
          <w:p w:rsidR="009571FA" w:rsidRDefault="009571FA">
            <w:pPr>
              <w:spacing w:line="276" w:lineRule="auto"/>
              <w:jc w:val="center"/>
              <w:rPr>
                <w:rFonts w:ascii="Calibri" w:hAnsi="Calibri"/>
                <w:sz w:val="18"/>
                <w:lang w:val="es-ES_tradnl"/>
              </w:rPr>
            </w:pPr>
            <w:r>
              <w:rPr>
                <w:rFonts w:ascii="Calibri" w:hAnsi="Calibri"/>
                <w:sz w:val="18"/>
                <w:lang w:val="es-ES_tradnl"/>
              </w:rPr>
              <w:t>n</w:t>
            </w:r>
          </w:p>
        </w:tc>
        <w:tc>
          <w:tcPr>
            <w:tcW w:w="810" w:type="dxa"/>
            <w:tcBorders>
              <w:top w:val="single" w:sz="4" w:space="0" w:color="auto"/>
              <w:left w:val="nil"/>
              <w:bottom w:val="single" w:sz="4" w:space="0" w:color="auto"/>
              <w:right w:val="single" w:sz="4" w:space="0" w:color="auto"/>
            </w:tcBorders>
            <w:shd w:val="clear" w:color="auto" w:fill="C6D9F1"/>
            <w:vAlign w:val="center"/>
          </w:tcPr>
          <w:p w:rsidR="009571FA" w:rsidRDefault="009571FA">
            <w:pPr>
              <w:spacing w:line="276" w:lineRule="auto"/>
              <w:jc w:val="center"/>
              <w:rPr>
                <w:rFonts w:ascii="Calibri" w:hAnsi="Calibri"/>
                <w:sz w:val="18"/>
                <w:lang w:val="es-ES_tradnl"/>
              </w:rPr>
            </w:pPr>
            <w:r>
              <w:rPr>
                <w:rFonts w:ascii="Calibri" w:hAnsi="Calibri"/>
                <w:sz w:val="18"/>
                <w:lang w:val="es-ES_tradnl"/>
              </w:rPr>
              <w:t>%</w:t>
            </w:r>
          </w:p>
        </w:tc>
      </w:tr>
      <w:tr w:rsidR="009571FA" w:rsidRPr="005176F6" w:rsidTr="009C7DAB">
        <w:trPr>
          <w:trHeight w:val="284"/>
          <w:jc w:val="center"/>
        </w:trPr>
        <w:tc>
          <w:tcPr>
            <w:tcW w:w="14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571FA" w:rsidRPr="005176F6" w:rsidRDefault="009571FA">
            <w:pPr>
              <w:tabs>
                <w:tab w:val="left" w:pos="253"/>
              </w:tabs>
              <w:spacing w:line="276" w:lineRule="auto"/>
              <w:rPr>
                <w:rFonts w:ascii="Calibri" w:hAnsi="Calibri"/>
                <w:b/>
                <w:sz w:val="22"/>
                <w:lang w:val="es-ES_tradnl"/>
              </w:rPr>
            </w:pPr>
            <w:r w:rsidRPr="005176F6">
              <w:rPr>
                <w:rFonts w:ascii="Calibri" w:hAnsi="Calibri"/>
                <w:b/>
                <w:sz w:val="22"/>
                <w:lang w:val="es-ES_tradnl"/>
              </w:rPr>
              <w:t xml:space="preserve"> All AMRO/   </w:t>
            </w:r>
          </w:p>
          <w:p w:rsidR="009571FA" w:rsidRPr="005176F6" w:rsidRDefault="009571FA">
            <w:pPr>
              <w:tabs>
                <w:tab w:val="left" w:pos="253"/>
              </w:tabs>
              <w:spacing w:line="276" w:lineRule="auto"/>
              <w:rPr>
                <w:rFonts w:ascii="Calibri" w:hAnsi="Calibri"/>
                <w:b/>
                <w:sz w:val="22"/>
                <w:lang w:val="es-ES_tradnl"/>
              </w:rPr>
            </w:pPr>
            <w:r w:rsidRPr="005176F6">
              <w:rPr>
                <w:rFonts w:ascii="Calibri" w:hAnsi="Calibri"/>
                <w:b/>
                <w:sz w:val="22"/>
                <w:lang w:val="es-ES_tradnl"/>
              </w:rPr>
              <w:t xml:space="preserve"> PAHO Staff</w:t>
            </w:r>
          </w:p>
        </w:tc>
        <w:tc>
          <w:tcPr>
            <w:tcW w:w="508" w:type="dxa"/>
            <w:tcBorders>
              <w:top w:val="single" w:sz="4" w:space="0" w:color="auto"/>
              <w:left w:val="single" w:sz="4" w:space="0" w:color="auto"/>
              <w:bottom w:val="single" w:sz="4" w:space="0" w:color="auto"/>
              <w:right w:val="single" w:sz="4" w:space="0" w:color="auto"/>
            </w:tcBorders>
            <w:vAlign w:val="center"/>
          </w:tcPr>
          <w:p w:rsidR="009571FA" w:rsidRPr="005176F6" w:rsidRDefault="009571FA">
            <w:pPr>
              <w:tabs>
                <w:tab w:val="left" w:pos="253"/>
              </w:tabs>
              <w:spacing w:line="276" w:lineRule="auto"/>
              <w:jc w:val="center"/>
              <w:rPr>
                <w:rFonts w:ascii="Calibri" w:hAnsi="Calibri"/>
                <w:lang w:val="es-ES_tradnl"/>
              </w:rPr>
            </w:pPr>
            <w:r w:rsidRPr="005176F6">
              <w:rPr>
                <w:rFonts w:ascii="Calibri" w:hAnsi="Calibri"/>
                <w:lang w:val="es-ES_tradnl"/>
              </w:rPr>
              <w:t>390</w:t>
            </w:r>
          </w:p>
        </w:tc>
        <w:tc>
          <w:tcPr>
            <w:tcW w:w="490" w:type="dxa"/>
            <w:tcBorders>
              <w:top w:val="single" w:sz="4" w:space="0" w:color="auto"/>
              <w:left w:val="single" w:sz="4" w:space="0" w:color="auto"/>
              <w:bottom w:val="single" w:sz="4" w:space="0" w:color="auto"/>
              <w:right w:val="nil"/>
            </w:tcBorders>
            <w:vAlign w:val="center"/>
          </w:tcPr>
          <w:p w:rsidR="009571FA" w:rsidRPr="005176F6" w:rsidRDefault="009571FA">
            <w:pPr>
              <w:spacing w:line="276" w:lineRule="auto"/>
              <w:jc w:val="center"/>
              <w:rPr>
                <w:rFonts w:ascii="Calibri" w:hAnsi="Calibri"/>
                <w:lang w:val="es-ES_tradnl"/>
              </w:rPr>
            </w:pPr>
            <w:r w:rsidRPr="005176F6">
              <w:rPr>
                <w:rFonts w:ascii="Calibri" w:hAnsi="Calibri"/>
                <w:lang w:val="es-ES_tradnl"/>
              </w:rPr>
              <w:t>244</w:t>
            </w:r>
          </w:p>
        </w:tc>
        <w:tc>
          <w:tcPr>
            <w:tcW w:w="609" w:type="dxa"/>
            <w:tcBorders>
              <w:top w:val="single" w:sz="4" w:space="0" w:color="auto"/>
              <w:left w:val="nil"/>
              <w:bottom w:val="single" w:sz="4" w:space="0" w:color="auto"/>
              <w:right w:val="single" w:sz="4" w:space="0" w:color="auto"/>
            </w:tcBorders>
            <w:vAlign w:val="center"/>
          </w:tcPr>
          <w:p w:rsidR="009571FA" w:rsidRPr="005176F6" w:rsidRDefault="009571FA">
            <w:pPr>
              <w:spacing w:line="276" w:lineRule="auto"/>
              <w:jc w:val="center"/>
              <w:rPr>
                <w:rFonts w:ascii="Calibri" w:hAnsi="Calibri"/>
                <w:lang w:val="es-ES_tradnl"/>
              </w:rPr>
            </w:pPr>
            <w:r w:rsidRPr="005176F6">
              <w:rPr>
                <w:rFonts w:ascii="Calibri" w:hAnsi="Calibri"/>
                <w:lang w:val="es-ES_tradnl"/>
              </w:rPr>
              <w:t>62</w:t>
            </w:r>
            <w:r w:rsidRPr="005176F6">
              <w:rPr>
                <w:rFonts w:ascii="Calibri" w:hAnsi="Calibri"/>
              </w:rPr>
              <w:t>.</w:t>
            </w:r>
            <w:r w:rsidRPr="005176F6">
              <w:rPr>
                <w:rFonts w:ascii="Calibri" w:hAnsi="Calibri"/>
                <w:lang w:val="es-ES_tradnl"/>
              </w:rPr>
              <w:t>6</w:t>
            </w:r>
          </w:p>
        </w:tc>
        <w:tc>
          <w:tcPr>
            <w:tcW w:w="667" w:type="dxa"/>
            <w:tcBorders>
              <w:top w:val="single" w:sz="4" w:space="0" w:color="auto"/>
              <w:left w:val="single" w:sz="4" w:space="0" w:color="auto"/>
              <w:bottom w:val="single" w:sz="4" w:space="0" w:color="auto"/>
              <w:right w:val="nil"/>
            </w:tcBorders>
            <w:vAlign w:val="center"/>
          </w:tcPr>
          <w:p w:rsidR="009571FA" w:rsidRPr="005176F6" w:rsidRDefault="009571FA">
            <w:pPr>
              <w:spacing w:line="276" w:lineRule="auto"/>
              <w:jc w:val="center"/>
              <w:rPr>
                <w:rFonts w:ascii="Calibri" w:hAnsi="Calibri"/>
                <w:lang w:val="es-ES_tradnl"/>
              </w:rPr>
            </w:pPr>
            <w:r w:rsidRPr="005176F6">
              <w:rPr>
                <w:rFonts w:ascii="Calibri" w:hAnsi="Calibri"/>
                <w:lang w:val="es-ES_tradnl"/>
              </w:rPr>
              <w:t>343</w:t>
            </w:r>
          </w:p>
        </w:tc>
        <w:tc>
          <w:tcPr>
            <w:tcW w:w="678" w:type="dxa"/>
            <w:tcBorders>
              <w:top w:val="single" w:sz="4" w:space="0" w:color="auto"/>
              <w:left w:val="nil"/>
              <w:bottom w:val="single" w:sz="4" w:space="0" w:color="auto"/>
              <w:right w:val="single" w:sz="4" w:space="0" w:color="auto"/>
            </w:tcBorders>
            <w:vAlign w:val="center"/>
          </w:tcPr>
          <w:p w:rsidR="009571FA" w:rsidRPr="005176F6" w:rsidRDefault="009571FA">
            <w:pPr>
              <w:spacing w:line="276" w:lineRule="auto"/>
              <w:jc w:val="center"/>
              <w:rPr>
                <w:rFonts w:ascii="Calibri" w:hAnsi="Calibri"/>
                <w:lang w:val="es-ES_tradnl"/>
              </w:rPr>
            </w:pPr>
            <w:r w:rsidRPr="005176F6">
              <w:rPr>
                <w:rFonts w:ascii="Calibri" w:hAnsi="Calibri"/>
                <w:lang w:val="es-ES_tradnl"/>
              </w:rPr>
              <w:t>88.0</w:t>
            </w:r>
          </w:p>
        </w:tc>
        <w:tc>
          <w:tcPr>
            <w:tcW w:w="647" w:type="dxa"/>
            <w:tcBorders>
              <w:top w:val="single" w:sz="4" w:space="0" w:color="auto"/>
              <w:left w:val="single" w:sz="4" w:space="0" w:color="auto"/>
              <w:bottom w:val="single" w:sz="4" w:space="0" w:color="auto"/>
              <w:right w:val="nil"/>
            </w:tcBorders>
            <w:vAlign w:val="center"/>
          </w:tcPr>
          <w:p w:rsidR="009571FA" w:rsidRPr="005176F6" w:rsidRDefault="009571FA">
            <w:pPr>
              <w:spacing w:line="276" w:lineRule="auto"/>
              <w:jc w:val="center"/>
              <w:rPr>
                <w:rFonts w:ascii="Calibri" w:hAnsi="Calibri"/>
                <w:lang w:val="es-ES_tradnl"/>
              </w:rPr>
            </w:pPr>
            <w:r w:rsidRPr="005176F6">
              <w:rPr>
                <w:rFonts w:ascii="Calibri" w:hAnsi="Calibri"/>
                <w:lang w:val="es-ES_tradnl"/>
              </w:rPr>
              <w:t>33</w:t>
            </w:r>
          </w:p>
        </w:tc>
        <w:tc>
          <w:tcPr>
            <w:tcW w:w="720" w:type="dxa"/>
            <w:tcBorders>
              <w:top w:val="single" w:sz="4" w:space="0" w:color="auto"/>
              <w:left w:val="nil"/>
              <w:bottom w:val="single" w:sz="4" w:space="0" w:color="auto"/>
              <w:right w:val="single" w:sz="4" w:space="0" w:color="auto"/>
            </w:tcBorders>
            <w:vAlign w:val="center"/>
          </w:tcPr>
          <w:p w:rsidR="009571FA" w:rsidRPr="005176F6" w:rsidRDefault="009571FA">
            <w:pPr>
              <w:spacing w:line="276" w:lineRule="auto"/>
              <w:jc w:val="center"/>
              <w:rPr>
                <w:rFonts w:ascii="Calibri" w:hAnsi="Calibri"/>
                <w:lang w:val="es-ES_tradnl"/>
              </w:rPr>
            </w:pPr>
            <w:r w:rsidRPr="005176F6">
              <w:rPr>
                <w:rFonts w:ascii="Calibri" w:hAnsi="Calibri"/>
                <w:lang w:val="es-ES_tradnl"/>
              </w:rPr>
              <w:t>8.5</w:t>
            </w:r>
          </w:p>
        </w:tc>
        <w:tc>
          <w:tcPr>
            <w:tcW w:w="720" w:type="dxa"/>
            <w:tcBorders>
              <w:top w:val="single" w:sz="4" w:space="0" w:color="auto"/>
              <w:left w:val="single" w:sz="4" w:space="0" w:color="auto"/>
              <w:bottom w:val="single" w:sz="4" w:space="0" w:color="auto"/>
              <w:right w:val="nil"/>
            </w:tcBorders>
            <w:vAlign w:val="center"/>
          </w:tcPr>
          <w:p w:rsidR="009571FA" w:rsidRPr="005176F6" w:rsidRDefault="009571FA">
            <w:pPr>
              <w:spacing w:line="276" w:lineRule="auto"/>
              <w:jc w:val="center"/>
              <w:rPr>
                <w:rFonts w:ascii="Calibri" w:hAnsi="Calibri"/>
                <w:lang w:val="es-ES_tradnl"/>
              </w:rPr>
            </w:pPr>
            <w:r w:rsidRPr="005176F6">
              <w:rPr>
                <w:rFonts w:ascii="Calibri" w:hAnsi="Calibri"/>
                <w:lang w:val="es-ES_tradnl"/>
              </w:rPr>
              <w:t>165</w:t>
            </w:r>
          </w:p>
        </w:tc>
        <w:tc>
          <w:tcPr>
            <w:tcW w:w="540" w:type="dxa"/>
            <w:tcBorders>
              <w:top w:val="single" w:sz="4" w:space="0" w:color="auto"/>
              <w:left w:val="nil"/>
              <w:bottom w:val="single" w:sz="4" w:space="0" w:color="auto"/>
              <w:right w:val="single" w:sz="4" w:space="0" w:color="auto"/>
            </w:tcBorders>
            <w:vAlign w:val="center"/>
          </w:tcPr>
          <w:p w:rsidR="009571FA" w:rsidRPr="005176F6" w:rsidRDefault="009571FA">
            <w:pPr>
              <w:spacing w:line="276" w:lineRule="auto"/>
              <w:jc w:val="center"/>
              <w:rPr>
                <w:rFonts w:ascii="Calibri" w:hAnsi="Calibri"/>
                <w:lang w:val="es-ES_tradnl"/>
              </w:rPr>
            </w:pPr>
            <w:r w:rsidRPr="005176F6">
              <w:rPr>
                <w:rFonts w:ascii="Calibri" w:hAnsi="Calibri"/>
                <w:lang w:val="es-ES_tradnl"/>
              </w:rPr>
              <w:t>42.3</w:t>
            </w:r>
          </w:p>
        </w:tc>
        <w:tc>
          <w:tcPr>
            <w:tcW w:w="720" w:type="dxa"/>
            <w:tcBorders>
              <w:top w:val="single" w:sz="4" w:space="0" w:color="auto"/>
              <w:left w:val="single" w:sz="4" w:space="0" w:color="auto"/>
              <w:bottom w:val="single" w:sz="4" w:space="0" w:color="auto"/>
              <w:right w:val="nil"/>
            </w:tcBorders>
            <w:vAlign w:val="center"/>
          </w:tcPr>
          <w:p w:rsidR="009571FA" w:rsidRPr="005176F6" w:rsidRDefault="009571FA">
            <w:pPr>
              <w:spacing w:line="276" w:lineRule="auto"/>
              <w:jc w:val="center"/>
              <w:rPr>
                <w:rFonts w:ascii="Calibri" w:hAnsi="Calibri"/>
                <w:lang w:val="es-ES_tradnl"/>
              </w:rPr>
            </w:pPr>
            <w:r w:rsidRPr="005176F6">
              <w:rPr>
                <w:rFonts w:ascii="Calibri" w:hAnsi="Calibri"/>
                <w:lang w:val="es-ES_tradnl"/>
              </w:rPr>
              <w:t>29</w:t>
            </w:r>
          </w:p>
        </w:tc>
        <w:tc>
          <w:tcPr>
            <w:tcW w:w="810" w:type="dxa"/>
            <w:tcBorders>
              <w:top w:val="single" w:sz="4" w:space="0" w:color="auto"/>
              <w:left w:val="nil"/>
              <w:bottom w:val="single" w:sz="4" w:space="0" w:color="auto"/>
              <w:right w:val="single" w:sz="4" w:space="0" w:color="auto"/>
            </w:tcBorders>
            <w:vAlign w:val="center"/>
          </w:tcPr>
          <w:p w:rsidR="009571FA" w:rsidRPr="005176F6" w:rsidRDefault="009571FA">
            <w:pPr>
              <w:spacing w:line="276" w:lineRule="auto"/>
              <w:jc w:val="center"/>
              <w:rPr>
                <w:rFonts w:ascii="Calibri" w:hAnsi="Calibri"/>
                <w:lang w:val="es-ES_tradnl"/>
              </w:rPr>
            </w:pPr>
            <w:r w:rsidRPr="005176F6">
              <w:rPr>
                <w:rFonts w:ascii="Calibri" w:hAnsi="Calibri"/>
                <w:lang w:val="es-ES_tradnl"/>
              </w:rPr>
              <w:t>7.4</w:t>
            </w:r>
          </w:p>
        </w:tc>
      </w:tr>
      <w:tr w:rsidR="009571FA" w:rsidRPr="005176F6" w:rsidTr="009C7DAB">
        <w:trPr>
          <w:trHeight w:val="359"/>
          <w:jc w:val="center"/>
        </w:trPr>
        <w:tc>
          <w:tcPr>
            <w:tcW w:w="1408" w:type="dxa"/>
            <w:tcBorders>
              <w:top w:val="single" w:sz="4" w:space="0" w:color="auto"/>
              <w:left w:val="single" w:sz="4" w:space="0" w:color="auto"/>
              <w:bottom w:val="single" w:sz="4" w:space="0" w:color="auto"/>
              <w:right w:val="single" w:sz="4" w:space="0" w:color="auto"/>
            </w:tcBorders>
            <w:shd w:val="clear" w:color="auto" w:fill="DBE5F1"/>
            <w:tcMar>
              <w:top w:w="0" w:type="dxa"/>
              <w:left w:w="28" w:type="dxa"/>
              <w:bottom w:w="0" w:type="dxa"/>
              <w:right w:w="28" w:type="dxa"/>
            </w:tcMar>
            <w:vAlign w:val="center"/>
          </w:tcPr>
          <w:p w:rsidR="009571FA" w:rsidRPr="005176F6" w:rsidRDefault="009571FA">
            <w:pPr>
              <w:tabs>
                <w:tab w:val="left" w:pos="253"/>
              </w:tabs>
              <w:spacing w:line="276" w:lineRule="auto"/>
              <w:rPr>
                <w:rFonts w:ascii="Calibri" w:hAnsi="Calibri"/>
                <w:b/>
                <w:sz w:val="22"/>
                <w:lang w:val="es-ES_tradnl"/>
              </w:rPr>
            </w:pPr>
            <w:r w:rsidRPr="005176F6">
              <w:rPr>
                <w:rFonts w:ascii="Calibri" w:hAnsi="Calibri"/>
                <w:b/>
                <w:sz w:val="22"/>
                <w:lang w:val="es-ES_tradnl"/>
              </w:rPr>
              <w:t xml:space="preserve"> By Sex</w:t>
            </w:r>
          </w:p>
        </w:tc>
        <w:tc>
          <w:tcPr>
            <w:tcW w:w="508" w:type="dxa"/>
            <w:tcBorders>
              <w:top w:val="single" w:sz="4" w:space="0" w:color="auto"/>
              <w:left w:val="single" w:sz="4" w:space="0" w:color="auto"/>
              <w:bottom w:val="single" w:sz="4" w:space="0" w:color="auto"/>
              <w:right w:val="single" w:sz="4" w:space="0" w:color="auto"/>
            </w:tcBorders>
            <w:shd w:val="clear" w:color="auto" w:fill="DBE5F1"/>
            <w:vAlign w:val="center"/>
          </w:tcPr>
          <w:p w:rsidR="009571FA" w:rsidRPr="005176F6" w:rsidRDefault="009571FA">
            <w:pPr>
              <w:tabs>
                <w:tab w:val="left" w:pos="253"/>
              </w:tabs>
              <w:spacing w:line="276" w:lineRule="auto"/>
              <w:jc w:val="center"/>
              <w:rPr>
                <w:rFonts w:ascii="Calibri" w:hAnsi="Calibri"/>
                <w:lang w:val="es-ES_tradnl"/>
              </w:rPr>
            </w:pPr>
          </w:p>
        </w:tc>
        <w:tc>
          <w:tcPr>
            <w:tcW w:w="490" w:type="dxa"/>
            <w:tcBorders>
              <w:top w:val="single" w:sz="4" w:space="0" w:color="auto"/>
              <w:left w:val="single" w:sz="4" w:space="0" w:color="auto"/>
              <w:bottom w:val="single" w:sz="4" w:space="0" w:color="auto"/>
              <w:right w:val="nil"/>
            </w:tcBorders>
            <w:shd w:val="clear" w:color="auto" w:fill="DBE5F1"/>
            <w:vAlign w:val="center"/>
          </w:tcPr>
          <w:p w:rsidR="009571FA" w:rsidRPr="005176F6" w:rsidRDefault="009571FA">
            <w:pPr>
              <w:spacing w:line="276" w:lineRule="auto"/>
              <w:jc w:val="center"/>
              <w:rPr>
                <w:rFonts w:ascii="Calibri" w:hAnsi="Calibri"/>
                <w:lang w:val="es-ES_tradnl"/>
              </w:rPr>
            </w:pPr>
          </w:p>
        </w:tc>
        <w:tc>
          <w:tcPr>
            <w:tcW w:w="609" w:type="dxa"/>
            <w:tcBorders>
              <w:top w:val="single" w:sz="4" w:space="0" w:color="auto"/>
              <w:left w:val="nil"/>
              <w:bottom w:val="single" w:sz="4" w:space="0" w:color="auto"/>
              <w:right w:val="single" w:sz="4" w:space="0" w:color="auto"/>
            </w:tcBorders>
            <w:shd w:val="clear" w:color="auto" w:fill="DBE5F1"/>
            <w:vAlign w:val="center"/>
          </w:tcPr>
          <w:p w:rsidR="009571FA" w:rsidRPr="005176F6" w:rsidRDefault="009571FA">
            <w:pPr>
              <w:spacing w:line="276" w:lineRule="auto"/>
              <w:jc w:val="center"/>
              <w:rPr>
                <w:rFonts w:ascii="Calibri" w:hAnsi="Calibri"/>
                <w:lang w:val="es-ES_tradnl"/>
              </w:rPr>
            </w:pPr>
          </w:p>
        </w:tc>
        <w:tc>
          <w:tcPr>
            <w:tcW w:w="667" w:type="dxa"/>
            <w:tcBorders>
              <w:top w:val="single" w:sz="4" w:space="0" w:color="auto"/>
              <w:left w:val="single" w:sz="4" w:space="0" w:color="auto"/>
              <w:bottom w:val="single" w:sz="4" w:space="0" w:color="auto"/>
              <w:right w:val="nil"/>
            </w:tcBorders>
            <w:shd w:val="clear" w:color="auto" w:fill="DBE5F1"/>
            <w:vAlign w:val="center"/>
          </w:tcPr>
          <w:p w:rsidR="009571FA" w:rsidRPr="005176F6" w:rsidRDefault="009571FA">
            <w:pPr>
              <w:spacing w:line="276" w:lineRule="auto"/>
              <w:jc w:val="center"/>
              <w:rPr>
                <w:rFonts w:ascii="Calibri" w:hAnsi="Calibri"/>
                <w:lang w:val="es-ES_tradnl"/>
              </w:rPr>
            </w:pPr>
          </w:p>
        </w:tc>
        <w:tc>
          <w:tcPr>
            <w:tcW w:w="678" w:type="dxa"/>
            <w:tcBorders>
              <w:top w:val="single" w:sz="4" w:space="0" w:color="auto"/>
              <w:left w:val="nil"/>
              <w:bottom w:val="single" w:sz="4" w:space="0" w:color="auto"/>
              <w:right w:val="single" w:sz="4" w:space="0" w:color="auto"/>
            </w:tcBorders>
            <w:shd w:val="clear" w:color="auto" w:fill="DBE5F1"/>
            <w:vAlign w:val="center"/>
          </w:tcPr>
          <w:p w:rsidR="009571FA" w:rsidRPr="005176F6" w:rsidRDefault="009571FA">
            <w:pPr>
              <w:spacing w:line="276" w:lineRule="auto"/>
              <w:jc w:val="center"/>
              <w:rPr>
                <w:rFonts w:ascii="Calibri" w:hAnsi="Calibri"/>
                <w:lang w:val="es-ES_tradnl"/>
              </w:rPr>
            </w:pPr>
          </w:p>
        </w:tc>
        <w:tc>
          <w:tcPr>
            <w:tcW w:w="647" w:type="dxa"/>
            <w:tcBorders>
              <w:top w:val="single" w:sz="4" w:space="0" w:color="auto"/>
              <w:left w:val="single" w:sz="4" w:space="0" w:color="auto"/>
              <w:bottom w:val="single" w:sz="4" w:space="0" w:color="auto"/>
              <w:right w:val="nil"/>
            </w:tcBorders>
            <w:shd w:val="clear" w:color="auto" w:fill="DBE5F1"/>
            <w:vAlign w:val="center"/>
          </w:tcPr>
          <w:p w:rsidR="009571FA" w:rsidRPr="005176F6" w:rsidRDefault="009571FA">
            <w:pPr>
              <w:spacing w:line="276" w:lineRule="auto"/>
              <w:jc w:val="center"/>
              <w:rPr>
                <w:rFonts w:ascii="Calibri" w:hAnsi="Calibri"/>
                <w:lang w:val="es-ES_tradnl"/>
              </w:rPr>
            </w:pPr>
          </w:p>
        </w:tc>
        <w:tc>
          <w:tcPr>
            <w:tcW w:w="720" w:type="dxa"/>
            <w:tcBorders>
              <w:top w:val="single" w:sz="4" w:space="0" w:color="auto"/>
              <w:left w:val="nil"/>
              <w:bottom w:val="single" w:sz="4" w:space="0" w:color="auto"/>
              <w:right w:val="single" w:sz="4" w:space="0" w:color="auto"/>
            </w:tcBorders>
            <w:shd w:val="clear" w:color="auto" w:fill="DBE5F1"/>
            <w:vAlign w:val="center"/>
          </w:tcPr>
          <w:p w:rsidR="009571FA" w:rsidRPr="005176F6" w:rsidRDefault="009571FA">
            <w:pPr>
              <w:spacing w:line="276" w:lineRule="auto"/>
              <w:jc w:val="center"/>
              <w:rPr>
                <w:rFonts w:ascii="Calibri" w:hAnsi="Calibri"/>
                <w:lang w:val="es-ES_tradnl"/>
              </w:rPr>
            </w:pPr>
          </w:p>
        </w:tc>
        <w:tc>
          <w:tcPr>
            <w:tcW w:w="720" w:type="dxa"/>
            <w:tcBorders>
              <w:top w:val="single" w:sz="4" w:space="0" w:color="auto"/>
              <w:left w:val="single" w:sz="4" w:space="0" w:color="auto"/>
              <w:bottom w:val="single" w:sz="4" w:space="0" w:color="auto"/>
              <w:right w:val="nil"/>
            </w:tcBorders>
            <w:shd w:val="clear" w:color="auto" w:fill="DBE5F1"/>
            <w:vAlign w:val="center"/>
          </w:tcPr>
          <w:p w:rsidR="009571FA" w:rsidRPr="005176F6" w:rsidRDefault="009571FA">
            <w:pPr>
              <w:spacing w:line="276" w:lineRule="auto"/>
              <w:jc w:val="center"/>
              <w:rPr>
                <w:rFonts w:ascii="Calibri" w:hAnsi="Calibri"/>
                <w:lang w:val="es-ES_tradnl"/>
              </w:rPr>
            </w:pPr>
          </w:p>
        </w:tc>
        <w:tc>
          <w:tcPr>
            <w:tcW w:w="540" w:type="dxa"/>
            <w:tcBorders>
              <w:top w:val="single" w:sz="4" w:space="0" w:color="auto"/>
              <w:left w:val="nil"/>
              <w:bottom w:val="single" w:sz="4" w:space="0" w:color="auto"/>
              <w:right w:val="single" w:sz="4" w:space="0" w:color="auto"/>
            </w:tcBorders>
            <w:shd w:val="clear" w:color="auto" w:fill="DBE5F1"/>
            <w:vAlign w:val="center"/>
          </w:tcPr>
          <w:p w:rsidR="009571FA" w:rsidRPr="005176F6" w:rsidRDefault="009571FA">
            <w:pPr>
              <w:spacing w:line="276" w:lineRule="auto"/>
              <w:jc w:val="center"/>
              <w:rPr>
                <w:rFonts w:ascii="Calibri" w:hAnsi="Calibri"/>
                <w:lang w:val="es-ES_tradnl"/>
              </w:rPr>
            </w:pPr>
          </w:p>
        </w:tc>
        <w:tc>
          <w:tcPr>
            <w:tcW w:w="720" w:type="dxa"/>
            <w:tcBorders>
              <w:top w:val="single" w:sz="4" w:space="0" w:color="auto"/>
              <w:left w:val="single" w:sz="4" w:space="0" w:color="auto"/>
              <w:bottom w:val="single" w:sz="4" w:space="0" w:color="auto"/>
              <w:right w:val="nil"/>
            </w:tcBorders>
            <w:shd w:val="clear" w:color="auto" w:fill="DBE5F1"/>
            <w:vAlign w:val="center"/>
          </w:tcPr>
          <w:p w:rsidR="009571FA" w:rsidRPr="005176F6" w:rsidRDefault="009571FA">
            <w:pPr>
              <w:spacing w:line="276" w:lineRule="auto"/>
              <w:jc w:val="center"/>
              <w:rPr>
                <w:rFonts w:ascii="Calibri" w:hAnsi="Calibri"/>
                <w:lang w:val="es-ES_tradnl"/>
              </w:rPr>
            </w:pPr>
          </w:p>
        </w:tc>
        <w:tc>
          <w:tcPr>
            <w:tcW w:w="810" w:type="dxa"/>
            <w:tcBorders>
              <w:top w:val="single" w:sz="4" w:space="0" w:color="auto"/>
              <w:left w:val="nil"/>
              <w:bottom w:val="single" w:sz="4" w:space="0" w:color="auto"/>
              <w:right w:val="single" w:sz="4" w:space="0" w:color="auto"/>
            </w:tcBorders>
            <w:shd w:val="clear" w:color="auto" w:fill="DBE5F1"/>
            <w:vAlign w:val="center"/>
          </w:tcPr>
          <w:p w:rsidR="009571FA" w:rsidRPr="005176F6" w:rsidRDefault="009571FA">
            <w:pPr>
              <w:spacing w:line="276" w:lineRule="auto"/>
              <w:jc w:val="center"/>
              <w:rPr>
                <w:rFonts w:ascii="Calibri" w:hAnsi="Calibri"/>
                <w:lang w:val="es-ES_tradnl"/>
              </w:rPr>
            </w:pPr>
          </w:p>
        </w:tc>
      </w:tr>
      <w:tr w:rsidR="009571FA" w:rsidRPr="005176F6" w:rsidTr="009C7DAB">
        <w:trPr>
          <w:trHeight w:val="284"/>
          <w:jc w:val="center"/>
        </w:trPr>
        <w:tc>
          <w:tcPr>
            <w:tcW w:w="1408" w:type="dxa"/>
            <w:tcBorders>
              <w:top w:val="single" w:sz="4" w:space="0" w:color="auto"/>
              <w:left w:val="single" w:sz="4" w:space="0" w:color="auto"/>
              <w:bottom w:val="single" w:sz="4" w:space="0" w:color="BFBFBF"/>
              <w:right w:val="single" w:sz="4" w:space="0" w:color="auto"/>
            </w:tcBorders>
            <w:tcMar>
              <w:top w:w="0" w:type="dxa"/>
              <w:left w:w="28" w:type="dxa"/>
              <w:bottom w:w="0" w:type="dxa"/>
              <w:right w:w="28" w:type="dxa"/>
            </w:tcMar>
            <w:vAlign w:val="center"/>
          </w:tcPr>
          <w:p w:rsidR="009571FA" w:rsidRPr="005176F6" w:rsidRDefault="009571FA">
            <w:pPr>
              <w:tabs>
                <w:tab w:val="left" w:pos="253"/>
              </w:tabs>
              <w:spacing w:line="276" w:lineRule="auto"/>
              <w:rPr>
                <w:rFonts w:ascii="Calibri" w:hAnsi="Calibri"/>
                <w:sz w:val="22"/>
                <w:lang w:val="es-ES_tradnl"/>
              </w:rPr>
            </w:pPr>
            <w:r w:rsidRPr="005176F6">
              <w:rPr>
                <w:rFonts w:ascii="Calibri" w:hAnsi="Calibri"/>
                <w:sz w:val="22"/>
                <w:lang w:val="es-ES_tradnl"/>
              </w:rPr>
              <w:tab/>
              <w:t>Male Staff</w:t>
            </w:r>
          </w:p>
        </w:tc>
        <w:tc>
          <w:tcPr>
            <w:tcW w:w="508" w:type="dxa"/>
            <w:tcBorders>
              <w:top w:val="single" w:sz="4" w:space="0" w:color="auto"/>
              <w:left w:val="single" w:sz="4" w:space="0" w:color="auto"/>
              <w:bottom w:val="single" w:sz="4" w:space="0" w:color="BFBFBF"/>
              <w:right w:val="single" w:sz="4" w:space="0" w:color="auto"/>
            </w:tcBorders>
            <w:vAlign w:val="center"/>
          </w:tcPr>
          <w:p w:rsidR="009571FA" w:rsidRPr="005176F6" w:rsidRDefault="009571FA">
            <w:pPr>
              <w:tabs>
                <w:tab w:val="left" w:pos="253"/>
              </w:tabs>
              <w:spacing w:line="276" w:lineRule="auto"/>
              <w:jc w:val="center"/>
              <w:rPr>
                <w:rFonts w:ascii="Calibri" w:hAnsi="Calibri"/>
                <w:lang w:val="es-ES_tradnl"/>
              </w:rPr>
            </w:pPr>
            <w:r w:rsidRPr="005176F6">
              <w:rPr>
                <w:rFonts w:ascii="Calibri" w:hAnsi="Calibri"/>
                <w:lang w:val="es-ES_tradnl"/>
              </w:rPr>
              <w:t>161</w:t>
            </w:r>
          </w:p>
        </w:tc>
        <w:tc>
          <w:tcPr>
            <w:tcW w:w="490" w:type="dxa"/>
            <w:tcBorders>
              <w:top w:val="single" w:sz="4" w:space="0" w:color="auto"/>
              <w:left w:val="single" w:sz="4" w:space="0" w:color="auto"/>
              <w:bottom w:val="single" w:sz="4" w:space="0" w:color="BFBFBF"/>
              <w:right w:val="nil"/>
            </w:tcBorders>
            <w:vAlign w:val="center"/>
          </w:tcPr>
          <w:p w:rsidR="009571FA" w:rsidRPr="005176F6" w:rsidRDefault="009571FA">
            <w:pPr>
              <w:spacing w:line="276" w:lineRule="auto"/>
              <w:jc w:val="center"/>
              <w:rPr>
                <w:rFonts w:ascii="Calibri" w:hAnsi="Calibri"/>
                <w:lang w:val="es-ES_tradnl"/>
              </w:rPr>
            </w:pPr>
            <w:r w:rsidRPr="005176F6">
              <w:rPr>
                <w:rFonts w:ascii="Calibri" w:hAnsi="Calibri"/>
                <w:lang w:val="es-ES_tradnl"/>
              </w:rPr>
              <w:t>108</w:t>
            </w:r>
          </w:p>
        </w:tc>
        <w:tc>
          <w:tcPr>
            <w:tcW w:w="609" w:type="dxa"/>
            <w:tcBorders>
              <w:top w:val="single" w:sz="4" w:space="0" w:color="auto"/>
              <w:left w:val="nil"/>
              <w:bottom w:val="single" w:sz="4" w:space="0" w:color="BFBFBF"/>
              <w:right w:val="single" w:sz="4" w:space="0" w:color="auto"/>
            </w:tcBorders>
            <w:vAlign w:val="center"/>
          </w:tcPr>
          <w:p w:rsidR="009571FA" w:rsidRPr="005176F6" w:rsidRDefault="009571FA">
            <w:pPr>
              <w:spacing w:line="276" w:lineRule="auto"/>
              <w:jc w:val="center"/>
              <w:rPr>
                <w:rFonts w:ascii="Calibri" w:hAnsi="Calibri"/>
                <w:lang w:val="es-ES_tradnl"/>
              </w:rPr>
            </w:pPr>
            <w:r w:rsidRPr="005176F6">
              <w:rPr>
                <w:rFonts w:ascii="Calibri" w:hAnsi="Calibri"/>
                <w:lang w:val="es-ES_tradnl"/>
              </w:rPr>
              <w:t>67.1</w:t>
            </w:r>
          </w:p>
        </w:tc>
        <w:tc>
          <w:tcPr>
            <w:tcW w:w="667" w:type="dxa"/>
            <w:tcBorders>
              <w:top w:val="single" w:sz="4" w:space="0" w:color="auto"/>
              <w:left w:val="single" w:sz="4" w:space="0" w:color="auto"/>
              <w:bottom w:val="single" w:sz="4" w:space="0" w:color="BFBFBF"/>
              <w:right w:val="nil"/>
            </w:tcBorders>
            <w:vAlign w:val="center"/>
          </w:tcPr>
          <w:p w:rsidR="009571FA" w:rsidRPr="005176F6" w:rsidRDefault="009571FA">
            <w:pPr>
              <w:spacing w:line="276" w:lineRule="auto"/>
              <w:jc w:val="center"/>
              <w:rPr>
                <w:rFonts w:ascii="Calibri" w:hAnsi="Calibri"/>
                <w:lang w:val="es-ES_tradnl"/>
              </w:rPr>
            </w:pPr>
            <w:r w:rsidRPr="005176F6">
              <w:rPr>
                <w:rFonts w:ascii="Calibri" w:hAnsi="Calibri"/>
                <w:lang w:val="es-ES_tradnl"/>
              </w:rPr>
              <w:t>141</w:t>
            </w:r>
          </w:p>
        </w:tc>
        <w:tc>
          <w:tcPr>
            <w:tcW w:w="678" w:type="dxa"/>
            <w:tcBorders>
              <w:top w:val="single" w:sz="4" w:space="0" w:color="auto"/>
              <w:left w:val="nil"/>
              <w:bottom w:val="single" w:sz="4" w:space="0" w:color="BFBFBF"/>
              <w:right w:val="single" w:sz="4" w:space="0" w:color="auto"/>
            </w:tcBorders>
            <w:vAlign w:val="center"/>
          </w:tcPr>
          <w:p w:rsidR="009571FA" w:rsidRPr="005176F6" w:rsidRDefault="009571FA">
            <w:pPr>
              <w:spacing w:line="276" w:lineRule="auto"/>
              <w:jc w:val="center"/>
              <w:rPr>
                <w:rFonts w:ascii="Calibri" w:hAnsi="Calibri"/>
                <w:lang w:val="es-ES_tradnl"/>
              </w:rPr>
            </w:pPr>
            <w:r w:rsidRPr="005176F6">
              <w:rPr>
                <w:rFonts w:ascii="Calibri" w:hAnsi="Calibri"/>
                <w:lang w:val="es-ES_tradnl"/>
              </w:rPr>
              <w:t>87.6</w:t>
            </w:r>
          </w:p>
        </w:tc>
        <w:tc>
          <w:tcPr>
            <w:tcW w:w="647" w:type="dxa"/>
            <w:tcBorders>
              <w:top w:val="single" w:sz="4" w:space="0" w:color="auto"/>
              <w:left w:val="single" w:sz="4" w:space="0" w:color="auto"/>
              <w:bottom w:val="single" w:sz="4" w:space="0" w:color="BFBFBF"/>
              <w:right w:val="nil"/>
            </w:tcBorders>
            <w:vAlign w:val="center"/>
          </w:tcPr>
          <w:p w:rsidR="009571FA" w:rsidRPr="005176F6" w:rsidRDefault="009571FA">
            <w:pPr>
              <w:spacing w:line="276" w:lineRule="auto"/>
              <w:jc w:val="center"/>
              <w:rPr>
                <w:rFonts w:ascii="Calibri" w:hAnsi="Calibri"/>
                <w:lang w:val="es-ES_tradnl"/>
              </w:rPr>
            </w:pPr>
            <w:r w:rsidRPr="005176F6">
              <w:rPr>
                <w:rFonts w:ascii="Calibri" w:hAnsi="Calibri"/>
                <w:lang w:val="es-ES_tradnl"/>
              </w:rPr>
              <w:t>20</w:t>
            </w:r>
          </w:p>
        </w:tc>
        <w:tc>
          <w:tcPr>
            <w:tcW w:w="720" w:type="dxa"/>
            <w:tcBorders>
              <w:top w:val="single" w:sz="4" w:space="0" w:color="auto"/>
              <w:left w:val="nil"/>
              <w:bottom w:val="single" w:sz="4" w:space="0" w:color="BFBFBF"/>
              <w:right w:val="single" w:sz="4" w:space="0" w:color="auto"/>
            </w:tcBorders>
            <w:vAlign w:val="center"/>
          </w:tcPr>
          <w:p w:rsidR="009571FA" w:rsidRPr="005176F6" w:rsidRDefault="009571FA">
            <w:pPr>
              <w:spacing w:line="276" w:lineRule="auto"/>
              <w:jc w:val="center"/>
              <w:rPr>
                <w:rFonts w:ascii="Calibri" w:hAnsi="Calibri"/>
                <w:lang w:val="es-ES_tradnl"/>
              </w:rPr>
            </w:pPr>
            <w:r w:rsidRPr="005176F6">
              <w:rPr>
                <w:rFonts w:ascii="Calibri" w:hAnsi="Calibri"/>
                <w:lang w:val="es-ES_tradnl"/>
              </w:rPr>
              <w:t>12.4</w:t>
            </w:r>
          </w:p>
        </w:tc>
        <w:tc>
          <w:tcPr>
            <w:tcW w:w="720" w:type="dxa"/>
            <w:tcBorders>
              <w:top w:val="single" w:sz="4" w:space="0" w:color="auto"/>
              <w:left w:val="single" w:sz="4" w:space="0" w:color="auto"/>
              <w:bottom w:val="single" w:sz="4" w:space="0" w:color="BFBFBF"/>
              <w:right w:val="nil"/>
            </w:tcBorders>
            <w:vAlign w:val="center"/>
          </w:tcPr>
          <w:p w:rsidR="009571FA" w:rsidRPr="005176F6" w:rsidRDefault="009571FA">
            <w:pPr>
              <w:spacing w:line="276" w:lineRule="auto"/>
              <w:jc w:val="center"/>
              <w:rPr>
                <w:rFonts w:ascii="Calibri" w:hAnsi="Calibri"/>
                <w:lang w:val="es-ES_tradnl"/>
              </w:rPr>
            </w:pPr>
            <w:r w:rsidRPr="005176F6">
              <w:rPr>
                <w:rFonts w:ascii="Calibri" w:hAnsi="Calibri"/>
                <w:lang w:val="es-ES_tradnl"/>
              </w:rPr>
              <w:t>72</w:t>
            </w:r>
          </w:p>
        </w:tc>
        <w:tc>
          <w:tcPr>
            <w:tcW w:w="540" w:type="dxa"/>
            <w:tcBorders>
              <w:top w:val="single" w:sz="4" w:space="0" w:color="auto"/>
              <w:left w:val="nil"/>
              <w:bottom w:val="single" w:sz="4" w:space="0" w:color="BFBFBF"/>
              <w:right w:val="single" w:sz="4" w:space="0" w:color="auto"/>
            </w:tcBorders>
            <w:vAlign w:val="center"/>
          </w:tcPr>
          <w:p w:rsidR="009571FA" w:rsidRPr="005176F6" w:rsidRDefault="009571FA">
            <w:pPr>
              <w:spacing w:line="276" w:lineRule="auto"/>
              <w:jc w:val="center"/>
              <w:rPr>
                <w:rFonts w:ascii="Calibri" w:hAnsi="Calibri"/>
                <w:lang w:val="es-ES_tradnl"/>
              </w:rPr>
            </w:pPr>
            <w:r w:rsidRPr="005176F6">
              <w:rPr>
                <w:rFonts w:ascii="Calibri" w:hAnsi="Calibri"/>
                <w:lang w:val="es-ES_tradnl"/>
              </w:rPr>
              <w:t>44.7</w:t>
            </w:r>
          </w:p>
        </w:tc>
        <w:tc>
          <w:tcPr>
            <w:tcW w:w="720" w:type="dxa"/>
            <w:tcBorders>
              <w:top w:val="single" w:sz="4" w:space="0" w:color="auto"/>
              <w:left w:val="single" w:sz="4" w:space="0" w:color="auto"/>
              <w:bottom w:val="single" w:sz="4" w:space="0" w:color="BFBFBF"/>
              <w:right w:val="nil"/>
            </w:tcBorders>
            <w:vAlign w:val="center"/>
          </w:tcPr>
          <w:p w:rsidR="009571FA" w:rsidRPr="005176F6" w:rsidRDefault="009571FA">
            <w:pPr>
              <w:spacing w:line="276" w:lineRule="auto"/>
              <w:jc w:val="center"/>
              <w:rPr>
                <w:rFonts w:ascii="Calibri" w:hAnsi="Calibri"/>
                <w:lang w:val="es-ES_tradnl"/>
              </w:rPr>
            </w:pPr>
            <w:r w:rsidRPr="005176F6">
              <w:rPr>
                <w:rFonts w:ascii="Calibri" w:hAnsi="Calibri"/>
                <w:lang w:val="es-ES_tradnl"/>
              </w:rPr>
              <w:t>12</w:t>
            </w:r>
          </w:p>
        </w:tc>
        <w:tc>
          <w:tcPr>
            <w:tcW w:w="810" w:type="dxa"/>
            <w:tcBorders>
              <w:top w:val="single" w:sz="4" w:space="0" w:color="auto"/>
              <w:left w:val="nil"/>
              <w:bottom w:val="single" w:sz="4" w:space="0" w:color="BFBFBF"/>
              <w:right w:val="single" w:sz="4" w:space="0" w:color="auto"/>
            </w:tcBorders>
            <w:vAlign w:val="center"/>
          </w:tcPr>
          <w:p w:rsidR="009571FA" w:rsidRPr="005176F6" w:rsidRDefault="009571FA">
            <w:pPr>
              <w:spacing w:line="276" w:lineRule="auto"/>
              <w:jc w:val="center"/>
              <w:rPr>
                <w:rFonts w:ascii="Calibri" w:hAnsi="Calibri"/>
                <w:lang w:val="es-ES_tradnl"/>
              </w:rPr>
            </w:pPr>
            <w:r w:rsidRPr="005176F6">
              <w:rPr>
                <w:rFonts w:ascii="Calibri" w:hAnsi="Calibri"/>
                <w:lang w:val="es-ES_tradnl"/>
              </w:rPr>
              <w:t>7.5</w:t>
            </w:r>
          </w:p>
        </w:tc>
      </w:tr>
      <w:tr w:rsidR="009571FA" w:rsidRPr="005176F6" w:rsidTr="009C7DAB">
        <w:trPr>
          <w:trHeight w:val="284"/>
          <w:jc w:val="center"/>
        </w:trPr>
        <w:tc>
          <w:tcPr>
            <w:tcW w:w="1408" w:type="dxa"/>
            <w:tcBorders>
              <w:top w:val="single" w:sz="4" w:space="0" w:color="BFBFBF"/>
              <w:left w:val="single" w:sz="4" w:space="0" w:color="auto"/>
              <w:bottom w:val="single" w:sz="4" w:space="0" w:color="auto"/>
              <w:right w:val="single" w:sz="4" w:space="0" w:color="auto"/>
            </w:tcBorders>
            <w:tcMar>
              <w:top w:w="0" w:type="dxa"/>
              <w:left w:w="28" w:type="dxa"/>
              <w:bottom w:w="0" w:type="dxa"/>
              <w:right w:w="28" w:type="dxa"/>
            </w:tcMar>
            <w:vAlign w:val="center"/>
          </w:tcPr>
          <w:p w:rsidR="009571FA" w:rsidRPr="005176F6" w:rsidRDefault="009571FA">
            <w:pPr>
              <w:tabs>
                <w:tab w:val="left" w:pos="253"/>
              </w:tabs>
              <w:spacing w:line="276" w:lineRule="auto"/>
              <w:rPr>
                <w:rFonts w:ascii="Calibri" w:hAnsi="Calibri"/>
                <w:sz w:val="22"/>
                <w:lang w:val="es-ES_tradnl"/>
              </w:rPr>
            </w:pPr>
            <w:r w:rsidRPr="005176F6">
              <w:rPr>
                <w:rFonts w:ascii="Calibri" w:hAnsi="Calibri"/>
                <w:sz w:val="22"/>
                <w:lang w:val="es-ES_tradnl"/>
              </w:rPr>
              <w:tab/>
              <w:t>Female Staff</w:t>
            </w:r>
          </w:p>
        </w:tc>
        <w:tc>
          <w:tcPr>
            <w:tcW w:w="508" w:type="dxa"/>
            <w:tcBorders>
              <w:top w:val="single" w:sz="4" w:space="0" w:color="BFBFBF"/>
              <w:left w:val="single" w:sz="4" w:space="0" w:color="auto"/>
              <w:bottom w:val="single" w:sz="4" w:space="0" w:color="auto"/>
              <w:right w:val="single" w:sz="4" w:space="0" w:color="auto"/>
            </w:tcBorders>
            <w:vAlign w:val="center"/>
          </w:tcPr>
          <w:p w:rsidR="009571FA" w:rsidRPr="005176F6" w:rsidRDefault="009571FA">
            <w:pPr>
              <w:tabs>
                <w:tab w:val="left" w:pos="253"/>
              </w:tabs>
              <w:spacing w:line="276" w:lineRule="auto"/>
              <w:jc w:val="center"/>
              <w:rPr>
                <w:rFonts w:ascii="Calibri" w:hAnsi="Calibri"/>
                <w:lang w:val="es-ES_tradnl"/>
              </w:rPr>
            </w:pPr>
            <w:r w:rsidRPr="005176F6">
              <w:rPr>
                <w:rFonts w:ascii="Calibri" w:hAnsi="Calibri"/>
                <w:lang w:val="es-ES_tradnl"/>
              </w:rPr>
              <w:t>229</w:t>
            </w:r>
          </w:p>
        </w:tc>
        <w:tc>
          <w:tcPr>
            <w:tcW w:w="490" w:type="dxa"/>
            <w:tcBorders>
              <w:top w:val="single" w:sz="4" w:space="0" w:color="BFBFBF"/>
              <w:left w:val="single" w:sz="4" w:space="0" w:color="auto"/>
              <w:bottom w:val="single" w:sz="4" w:space="0" w:color="auto"/>
              <w:right w:val="nil"/>
            </w:tcBorders>
            <w:vAlign w:val="center"/>
          </w:tcPr>
          <w:p w:rsidR="009571FA" w:rsidRPr="005176F6" w:rsidRDefault="009571FA">
            <w:pPr>
              <w:spacing w:line="276" w:lineRule="auto"/>
              <w:jc w:val="center"/>
              <w:rPr>
                <w:rFonts w:ascii="Calibri" w:hAnsi="Calibri"/>
                <w:lang w:val="es-ES_tradnl"/>
              </w:rPr>
            </w:pPr>
            <w:r w:rsidRPr="005176F6">
              <w:rPr>
                <w:rFonts w:ascii="Calibri" w:hAnsi="Calibri"/>
                <w:lang w:val="es-ES_tradnl"/>
              </w:rPr>
              <w:t>136</w:t>
            </w:r>
          </w:p>
        </w:tc>
        <w:tc>
          <w:tcPr>
            <w:tcW w:w="609" w:type="dxa"/>
            <w:tcBorders>
              <w:top w:val="single" w:sz="4" w:space="0" w:color="BFBFBF"/>
              <w:left w:val="nil"/>
              <w:bottom w:val="single" w:sz="4" w:space="0" w:color="auto"/>
              <w:right w:val="single" w:sz="4" w:space="0" w:color="auto"/>
            </w:tcBorders>
            <w:vAlign w:val="center"/>
          </w:tcPr>
          <w:p w:rsidR="009571FA" w:rsidRPr="005176F6" w:rsidRDefault="009571FA">
            <w:pPr>
              <w:spacing w:line="276" w:lineRule="auto"/>
              <w:jc w:val="center"/>
              <w:rPr>
                <w:rFonts w:ascii="Calibri" w:hAnsi="Calibri"/>
                <w:lang w:val="es-ES_tradnl"/>
              </w:rPr>
            </w:pPr>
            <w:r w:rsidRPr="005176F6">
              <w:rPr>
                <w:rFonts w:ascii="Calibri" w:hAnsi="Calibri"/>
                <w:lang w:val="es-ES_tradnl"/>
              </w:rPr>
              <w:t>59.4</w:t>
            </w:r>
          </w:p>
        </w:tc>
        <w:tc>
          <w:tcPr>
            <w:tcW w:w="667" w:type="dxa"/>
            <w:tcBorders>
              <w:top w:val="single" w:sz="4" w:space="0" w:color="BFBFBF"/>
              <w:left w:val="single" w:sz="4" w:space="0" w:color="auto"/>
              <w:bottom w:val="single" w:sz="4" w:space="0" w:color="auto"/>
              <w:right w:val="nil"/>
            </w:tcBorders>
            <w:vAlign w:val="center"/>
          </w:tcPr>
          <w:p w:rsidR="009571FA" w:rsidRPr="005176F6" w:rsidRDefault="009571FA">
            <w:pPr>
              <w:spacing w:line="276" w:lineRule="auto"/>
              <w:jc w:val="center"/>
              <w:rPr>
                <w:rFonts w:ascii="Calibri" w:hAnsi="Calibri"/>
                <w:lang w:val="es-ES_tradnl"/>
              </w:rPr>
            </w:pPr>
            <w:r w:rsidRPr="005176F6">
              <w:rPr>
                <w:rFonts w:ascii="Calibri" w:hAnsi="Calibri"/>
                <w:lang w:val="es-ES_tradnl"/>
              </w:rPr>
              <w:t>202</w:t>
            </w:r>
          </w:p>
        </w:tc>
        <w:tc>
          <w:tcPr>
            <w:tcW w:w="678" w:type="dxa"/>
            <w:tcBorders>
              <w:top w:val="single" w:sz="4" w:space="0" w:color="BFBFBF"/>
              <w:left w:val="nil"/>
              <w:bottom w:val="single" w:sz="4" w:space="0" w:color="auto"/>
              <w:right w:val="single" w:sz="4" w:space="0" w:color="auto"/>
            </w:tcBorders>
            <w:vAlign w:val="center"/>
          </w:tcPr>
          <w:p w:rsidR="009571FA" w:rsidRPr="005176F6" w:rsidRDefault="009571FA">
            <w:pPr>
              <w:spacing w:line="276" w:lineRule="auto"/>
              <w:jc w:val="center"/>
              <w:rPr>
                <w:rFonts w:ascii="Calibri" w:hAnsi="Calibri"/>
                <w:lang w:val="es-ES_tradnl"/>
              </w:rPr>
            </w:pPr>
            <w:r w:rsidRPr="005176F6">
              <w:rPr>
                <w:rFonts w:ascii="Calibri" w:hAnsi="Calibri"/>
                <w:lang w:val="es-ES_tradnl"/>
              </w:rPr>
              <w:t>88.2</w:t>
            </w:r>
          </w:p>
        </w:tc>
        <w:tc>
          <w:tcPr>
            <w:tcW w:w="647" w:type="dxa"/>
            <w:tcBorders>
              <w:top w:val="single" w:sz="4" w:space="0" w:color="BFBFBF"/>
              <w:left w:val="single" w:sz="4" w:space="0" w:color="auto"/>
              <w:bottom w:val="single" w:sz="4" w:space="0" w:color="auto"/>
              <w:right w:val="nil"/>
            </w:tcBorders>
            <w:vAlign w:val="center"/>
          </w:tcPr>
          <w:p w:rsidR="009571FA" w:rsidRPr="005176F6" w:rsidRDefault="009571FA">
            <w:pPr>
              <w:spacing w:line="276" w:lineRule="auto"/>
              <w:jc w:val="center"/>
              <w:rPr>
                <w:rFonts w:ascii="Calibri" w:hAnsi="Calibri"/>
                <w:lang w:val="es-ES_tradnl"/>
              </w:rPr>
            </w:pPr>
            <w:r w:rsidRPr="005176F6">
              <w:rPr>
                <w:rFonts w:ascii="Calibri" w:hAnsi="Calibri"/>
                <w:lang w:val="es-ES_tradnl"/>
              </w:rPr>
              <w:t>13</w:t>
            </w:r>
          </w:p>
        </w:tc>
        <w:tc>
          <w:tcPr>
            <w:tcW w:w="720" w:type="dxa"/>
            <w:tcBorders>
              <w:top w:val="single" w:sz="4" w:space="0" w:color="BFBFBF"/>
              <w:left w:val="nil"/>
              <w:bottom w:val="single" w:sz="4" w:space="0" w:color="auto"/>
              <w:right w:val="single" w:sz="4" w:space="0" w:color="auto"/>
            </w:tcBorders>
            <w:vAlign w:val="center"/>
          </w:tcPr>
          <w:p w:rsidR="009571FA" w:rsidRPr="005176F6" w:rsidRDefault="009571FA">
            <w:pPr>
              <w:spacing w:line="276" w:lineRule="auto"/>
              <w:jc w:val="center"/>
              <w:rPr>
                <w:rFonts w:ascii="Calibri" w:hAnsi="Calibri"/>
                <w:lang w:val="es-ES_tradnl"/>
              </w:rPr>
            </w:pPr>
            <w:r w:rsidRPr="005176F6">
              <w:rPr>
                <w:rFonts w:ascii="Calibri" w:hAnsi="Calibri"/>
                <w:lang w:val="es-ES_tradnl"/>
              </w:rPr>
              <w:t>5.7</w:t>
            </w:r>
          </w:p>
        </w:tc>
        <w:tc>
          <w:tcPr>
            <w:tcW w:w="720" w:type="dxa"/>
            <w:tcBorders>
              <w:top w:val="single" w:sz="4" w:space="0" w:color="BFBFBF"/>
              <w:left w:val="single" w:sz="4" w:space="0" w:color="auto"/>
              <w:bottom w:val="single" w:sz="4" w:space="0" w:color="auto"/>
              <w:right w:val="nil"/>
            </w:tcBorders>
            <w:vAlign w:val="center"/>
          </w:tcPr>
          <w:p w:rsidR="009571FA" w:rsidRPr="005176F6" w:rsidRDefault="009571FA">
            <w:pPr>
              <w:spacing w:line="276" w:lineRule="auto"/>
              <w:jc w:val="center"/>
              <w:rPr>
                <w:rFonts w:ascii="Calibri" w:hAnsi="Calibri"/>
                <w:lang w:val="es-ES_tradnl"/>
              </w:rPr>
            </w:pPr>
            <w:r w:rsidRPr="005176F6">
              <w:rPr>
                <w:rFonts w:ascii="Calibri" w:hAnsi="Calibri"/>
                <w:lang w:val="es-ES_tradnl"/>
              </w:rPr>
              <w:t>93</w:t>
            </w:r>
          </w:p>
        </w:tc>
        <w:tc>
          <w:tcPr>
            <w:tcW w:w="540" w:type="dxa"/>
            <w:tcBorders>
              <w:top w:val="single" w:sz="4" w:space="0" w:color="BFBFBF"/>
              <w:left w:val="nil"/>
              <w:bottom w:val="single" w:sz="4" w:space="0" w:color="auto"/>
              <w:right w:val="single" w:sz="4" w:space="0" w:color="auto"/>
            </w:tcBorders>
            <w:vAlign w:val="center"/>
          </w:tcPr>
          <w:p w:rsidR="009571FA" w:rsidRPr="005176F6" w:rsidRDefault="009571FA">
            <w:pPr>
              <w:spacing w:line="276" w:lineRule="auto"/>
              <w:jc w:val="center"/>
              <w:rPr>
                <w:rFonts w:ascii="Calibri" w:hAnsi="Calibri"/>
                <w:lang w:val="es-ES_tradnl"/>
              </w:rPr>
            </w:pPr>
            <w:r w:rsidRPr="005176F6">
              <w:rPr>
                <w:rFonts w:ascii="Calibri" w:hAnsi="Calibri"/>
                <w:lang w:val="es-ES_tradnl"/>
              </w:rPr>
              <w:t>40.6</w:t>
            </w:r>
          </w:p>
        </w:tc>
        <w:tc>
          <w:tcPr>
            <w:tcW w:w="720" w:type="dxa"/>
            <w:tcBorders>
              <w:top w:val="single" w:sz="4" w:space="0" w:color="BFBFBF"/>
              <w:left w:val="single" w:sz="4" w:space="0" w:color="auto"/>
              <w:bottom w:val="single" w:sz="4" w:space="0" w:color="auto"/>
              <w:right w:val="nil"/>
            </w:tcBorders>
            <w:vAlign w:val="center"/>
          </w:tcPr>
          <w:p w:rsidR="009571FA" w:rsidRPr="005176F6" w:rsidRDefault="009571FA">
            <w:pPr>
              <w:spacing w:line="276" w:lineRule="auto"/>
              <w:jc w:val="center"/>
              <w:rPr>
                <w:rFonts w:ascii="Calibri" w:hAnsi="Calibri"/>
                <w:lang w:val="es-ES_tradnl"/>
              </w:rPr>
            </w:pPr>
            <w:r w:rsidRPr="005176F6">
              <w:rPr>
                <w:rFonts w:ascii="Calibri" w:hAnsi="Calibri"/>
                <w:lang w:val="es-ES_tradnl"/>
              </w:rPr>
              <w:t>17</w:t>
            </w:r>
          </w:p>
        </w:tc>
        <w:tc>
          <w:tcPr>
            <w:tcW w:w="810" w:type="dxa"/>
            <w:tcBorders>
              <w:top w:val="single" w:sz="4" w:space="0" w:color="BFBFBF"/>
              <w:left w:val="nil"/>
              <w:bottom w:val="single" w:sz="4" w:space="0" w:color="auto"/>
              <w:right w:val="single" w:sz="4" w:space="0" w:color="auto"/>
            </w:tcBorders>
            <w:vAlign w:val="center"/>
          </w:tcPr>
          <w:p w:rsidR="009571FA" w:rsidRPr="005176F6" w:rsidRDefault="009571FA">
            <w:pPr>
              <w:spacing w:line="276" w:lineRule="auto"/>
              <w:jc w:val="center"/>
              <w:rPr>
                <w:rFonts w:ascii="Calibri" w:hAnsi="Calibri"/>
                <w:lang w:val="es-ES_tradnl"/>
              </w:rPr>
            </w:pPr>
            <w:r w:rsidRPr="005176F6">
              <w:rPr>
                <w:rFonts w:ascii="Calibri" w:hAnsi="Calibri"/>
                <w:lang w:val="es-ES_tradnl"/>
              </w:rPr>
              <w:t>7.4</w:t>
            </w:r>
          </w:p>
        </w:tc>
      </w:tr>
      <w:tr w:rsidR="009571FA" w:rsidRPr="005176F6" w:rsidTr="009C7DAB">
        <w:trPr>
          <w:trHeight w:val="284"/>
          <w:jc w:val="center"/>
        </w:trPr>
        <w:tc>
          <w:tcPr>
            <w:tcW w:w="14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571FA" w:rsidRPr="005176F6" w:rsidRDefault="009571FA">
            <w:pPr>
              <w:tabs>
                <w:tab w:val="left" w:pos="253"/>
              </w:tabs>
              <w:spacing w:line="276" w:lineRule="auto"/>
              <w:rPr>
                <w:rFonts w:ascii="Calibri" w:hAnsi="Calibri"/>
                <w:sz w:val="22"/>
                <w:lang w:val="es-ES_tradnl"/>
              </w:rPr>
            </w:pPr>
            <w:r w:rsidRPr="005176F6">
              <w:rPr>
                <w:rFonts w:ascii="Calibri" w:hAnsi="Calibri"/>
                <w:sz w:val="22"/>
                <w:lang w:val="es-ES_tradnl"/>
              </w:rPr>
              <w:t xml:space="preserve"> p-value</w:t>
            </w:r>
          </w:p>
        </w:tc>
        <w:tc>
          <w:tcPr>
            <w:tcW w:w="508" w:type="dxa"/>
            <w:tcBorders>
              <w:top w:val="single" w:sz="4" w:space="0" w:color="auto"/>
              <w:left w:val="single" w:sz="4" w:space="0" w:color="auto"/>
              <w:bottom w:val="single" w:sz="4" w:space="0" w:color="auto"/>
              <w:right w:val="single" w:sz="4" w:space="0" w:color="auto"/>
            </w:tcBorders>
            <w:vAlign w:val="center"/>
          </w:tcPr>
          <w:p w:rsidR="009571FA" w:rsidRPr="005176F6" w:rsidRDefault="009571FA">
            <w:pPr>
              <w:tabs>
                <w:tab w:val="left" w:pos="253"/>
              </w:tabs>
              <w:spacing w:line="276" w:lineRule="auto"/>
              <w:jc w:val="center"/>
              <w:rPr>
                <w:rFonts w:ascii="Calibri" w:hAnsi="Calibri"/>
                <w:lang w:val="es-ES_tradnl"/>
              </w:rPr>
            </w:pPr>
          </w:p>
        </w:tc>
        <w:tc>
          <w:tcPr>
            <w:tcW w:w="1099" w:type="dxa"/>
            <w:gridSpan w:val="2"/>
            <w:tcBorders>
              <w:top w:val="single" w:sz="4" w:space="0" w:color="auto"/>
              <w:left w:val="single" w:sz="4" w:space="0" w:color="auto"/>
              <w:bottom w:val="single" w:sz="4" w:space="0" w:color="auto"/>
              <w:right w:val="single" w:sz="4" w:space="0" w:color="auto"/>
            </w:tcBorders>
            <w:vAlign w:val="center"/>
          </w:tcPr>
          <w:p w:rsidR="009571FA" w:rsidRPr="005176F6" w:rsidRDefault="009571FA">
            <w:pPr>
              <w:spacing w:line="276" w:lineRule="auto"/>
              <w:jc w:val="center"/>
              <w:rPr>
                <w:rFonts w:ascii="Calibri" w:hAnsi="Calibri"/>
                <w:lang w:val="es-ES_tradnl"/>
              </w:rPr>
            </w:pPr>
            <w:r w:rsidRPr="005176F6">
              <w:rPr>
                <w:rFonts w:ascii="Calibri" w:hAnsi="Calibri"/>
                <w:lang w:val="es-ES_tradnl"/>
              </w:rPr>
              <w:t>0.1223</w:t>
            </w:r>
          </w:p>
        </w:tc>
        <w:tc>
          <w:tcPr>
            <w:tcW w:w="1345" w:type="dxa"/>
            <w:gridSpan w:val="2"/>
            <w:tcBorders>
              <w:top w:val="single" w:sz="4" w:space="0" w:color="auto"/>
              <w:left w:val="single" w:sz="4" w:space="0" w:color="auto"/>
              <w:bottom w:val="single" w:sz="4" w:space="0" w:color="auto"/>
              <w:right w:val="single" w:sz="4" w:space="0" w:color="auto"/>
            </w:tcBorders>
            <w:vAlign w:val="center"/>
          </w:tcPr>
          <w:p w:rsidR="009571FA" w:rsidRPr="005176F6" w:rsidRDefault="009571FA">
            <w:pPr>
              <w:spacing w:line="276" w:lineRule="auto"/>
              <w:jc w:val="center"/>
              <w:rPr>
                <w:rFonts w:ascii="Calibri" w:hAnsi="Calibri"/>
                <w:lang w:val="es-ES_tradnl"/>
              </w:rPr>
            </w:pPr>
            <w:r w:rsidRPr="005176F6">
              <w:rPr>
                <w:rFonts w:ascii="Calibri" w:hAnsi="Calibri"/>
                <w:lang w:val="es-ES_tradnl"/>
              </w:rPr>
              <w:t>0.8503</w:t>
            </w:r>
          </w:p>
        </w:tc>
        <w:tc>
          <w:tcPr>
            <w:tcW w:w="1367" w:type="dxa"/>
            <w:gridSpan w:val="2"/>
            <w:tcBorders>
              <w:top w:val="single" w:sz="4" w:space="0" w:color="auto"/>
              <w:left w:val="single" w:sz="4" w:space="0" w:color="auto"/>
              <w:bottom w:val="single" w:sz="4" w:space="0" w:color="auto"/>
              <w:right w:val="single" w:sz="4" w:space="0" w:color="auto"/>
            </w:tcBorders>
            <w:vAlign w:val="center"/>
          </w:tcPr>
          <w:p w:rsidR="009571FA" w:rsidRPr="005176F6" w:rsidRDefault="009571FA">
            <w:pPr>
              <w:spacing w:line="276" w:lineRule="auto"/>
              <w:jc w:val="center"/>
              <w:rPr>
                <w:rFonts w:ascii="Calibri" w:hAnsi="Calibri"/>
                <w:lang w:val="es-ES_tradnl"/>
              </w:rPr>
            </w:pPr>
            <w:r w:rsidRPr="005176F6">
              <w:rPr>
                <w:rFonts w:ascii="Calibri" w:hAnsi="Calibri"/>
                <w:lang w:val="es-ES_tradnl"/>
              </w:rPr>
              <w:t>0.0184</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9571FA" w:rsidRPr="005176F6" w:rsidRDefault="009571FA">
            <w:pPr>
              <w:spacing w:line="276" w:lineRule="auto"/>
              <w:jc w:val="center"/>
              <w:rPr>
                <w:rFonts w:ascii="Calibri" w:hAnsi="Calibri"/>
                <w:lang w:val="es-ES_tradnl"/>
              </w:rPr>
            </w:pPr>
            <w:r w:rsidRPr="005176F6">
              <w:rPr>
                <w:rFonts w:ascii="Calibri" w:hAnsi="Calibri"/>
                <w:lang w:val="es-ES_tradnl"/>
              </w:rPr>
              <w:t>0.4187</w:t>
            </w: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9571FA" w:rsidRPr="005176F6" w:rsidRDefault="009571FA">
            <w:pPr>
              <w:spacing w:line="276" w:lineRule="auto"/>
              <w:jc w:val="center"/>
              <w:rPr>
                <w:rFonts w:ascii="Calibri" w:hAnsi="Calibri"/>
                <w:lang w:val="es-ES_tradnl"/>
              </w:rPr>
            </w:pPr>
            <w:r w:rsidRPr="005176F6">
              <w:rPr>
                <w:rFonts w:ascii="Calibri" w:hAnsi="Calibri"/>
                <w:lang w:val="es-ES_tradnl"/>
              </w:rPr>
              <w:t>0.9912</w:t>
            </w:r>
          </w:p>
        </w:tc>
      </w:tr>
      <w:tr w:rsidR="009571FA" w:rsidRPr="005176F6" w:rsidTr="009C7DAB">
        <w:trPr>
          <w:trHeight w:val="284"/>
          <w:jc w:val="center"/>
        </w:trPr>
        <w:tc>
          <w:tcPr>
            <w:tcW w:w="1408" w:type="dxa"/>
            <w:tcBorders>
              <w:top w:val="single" w:sz="4" w:space="0" w:color="auto"/>
              <w:left w:val="single" w:sz="4" w:space="0" w:color="auto"/>
              <w:bottom w:val="single" w:sz="4" w:space="0" w:color="auto"/>
              <w:right w:val="single" w:sz="4" w:space="0" w:color="auto"/>
            </w:tcBorders>
            <w:shd w:val="clear" w:color="auto" w:fill="DBE5F1"/>
            <w:tcMar>
              <w:top w:w="0" w:type="dxa"/>
              <w:left w:w="28" w:type="dxa"/>
              <w:bottom w:w="0" w:type="dxa"/>
              <w:right w:w="28" w:type="dxa"/>
            </w:tcMar>
            <w:vAlign w:val="center"/>
          </w:tcPr>
          <w:p w:rsidR="009571FA" w:rsidRPr="005176F6" w:rsidRDefault="009571FA">
            <w:pPr>
              <w:tabs>
                <w:tab w:val="left" w:pos="253"/>
              </w:tabs>
              <w:spacing w:line="276" w:lineRule="auto"/>
              <w:rPr>
                <w:rFonts w:ascii="Calibri" w:hAnsi="Calibri"/>
                <w:b/>
                <w:sz w:val="22"/>
                <w:lang w:val="es-ES_tradnl"/>
              </w:rPr>
            </w:pPr>
            <w:r w:rsidRPr="005176F6">
              <w:rPr>
                <w:rFonts w:ascii="Calibri" w:hAnsi="Calibri"/>
                <w:b/>
                <w:sz w:val="22"/>
                <w:lang w:val="es-ES_tradnl"/>
              </w:rPr>
              <w:t xml:space="preserve"> By Grade</w:t>
            </w:r>
          </w:p>
        </w:tc>
        <w:tc>
          <w:tcPr>
            <w:tcW w:w="508" w:type="dxa"/>
            <w:tcBorders>
              <w:top w:val="single" w:sz="4" w:space="0" w:color="auto"/>
              <w:left w:val="single" w:sz="4" w:space="0" w:color="auto"/>
              <w:bottom w:val="single" w:sz="4" w:space="0" w:color="auto"/>
              <w:right w:val="single" w:sz="4" w:space="0" w:color="auto"/>
            </w:tcBorders>
            <w:shd w:val="clear" w:color="auto" w:fill="DBE5F1"/>
            <w:vAlign w:val="center"/>
          </w:tcPr>
          <w:p w:rsidR="009571FA" w:rsidRPr="005176F6" w:rsidRDefault="009571FA">
            <w:pPr>
              <w:tabs>
                <w:tab w:val="left" w:pos="253"/>
              </w:tabs>
              <w:spacing w:line="276" w:lineRule="auto"/>
              <w:jc w:val="center"/>
              <w:rPr>
                <w:rFonts w:ascii="Calibri" w:hAnsi="Calibri"/>
                <w:lang w:val="es-ES_tradnl"/>
              </w:rPr>
            </w:pPr>
          </w:p>
        </w:tc>
        <w:tc>
          <w:tcPr>
            <w:tcW w:w="490" w:type="dxa"/>
            <w:tcBorders>
              <w:top w:val="single" w:sz="4" w:space="0" w:color="auto"/>
              <w:left w:val="single" w:sz="4" w:space="0" w:color="auto"/>
              <w:bottom w:val="single" w:sz="4" w:space="0" w:color="auto"/>
              <w:right w:val="nil"/>
            </w:tcBorders>
            <w:shd w:val="clear" w:color="auto" w:fill="DBE5F1"/>
            <w:vAlign w:val="center"/>
          </w:tcPr>
          <w:p w:rsidR="009571FA" w:rsidRPr="005176F6" w:rsidRDefault="009571FA">
            <w:pPr>
              <w:spacing w:line="276" w:lineRule="auto"/>
              <w:jc w:val="center"/>
              <w:rPr>
                <w:rFonts w:ascii="Calibri" w:hAnsi="Calibri"/>
                <w:lang w:val="es-ES_tradnl"/>
              </w:rPr>
            </w:pPr>
          </w:p>
        </w:tc>
        <w:tc>
          <w:tcPr>
            <w:tcW w:w="609" w:type="dxa"/>
            <w:tcBorders>
              <w:top w:val="single" w:sz="4" w:space="0" w:color="auto"/>
              <w:left w:val="nil"/>
              <w:bottom w:val="single" w:sz="4" w:space="0" w:color="auto"/>
              <w:right w:val="single" w:sz="4" w:space="0" w:color="auto"/>
            </w:tcBorders>
            <w:shd w:val="clear" w:color="auto" w:fill="DBE5F1"/>
            <w:vAlign w:val="center"/>
          </w:tcPr>
          <w:p w:rsidR="009571FA" w:rsidRPr="005176F6" w:rsidRDefault="009571FA">
            <w:pPr>
              <w:spacing w:line="276" w:lineRule="auto"/>
              <w:jc w:val="center"/>
              <w:rPr>
                <w:rFonts w:ascii="Calibri" w:hAnsi="Calibri"/>
                <w:lang w:val="es-ES_tradnl"/>
              </w:rPr>
            </w:pPr>
          </w:p>
        </w:tc>
        <w:tc>
          <w:tcPr>
            <w:tcW w:w="667" w:type="dxa"/>
            <w:tcBorders>
              <w:top w:val="single" w:sz="4" w:space="0" w:color="auto"/>
              <w:left w:val="single" w:sz="4" w:space="0" w:color="auto"/>
              <w:bottom w:val="single" w:sz="4" w:space="0" w:color="auto"/>
              <w:right w:val="nil"/>
            </w:tcBorders>
            <w:shd w:val="clear" w:color="auto" w:fill="DBE5F1"/>
            <w:vAlign w:val="center"/>
          </w:tcPr>
          <w:p w:rsidR="009571FA" w:rsidRPr="005176F6" w:rsidRDefault="009571FA">
            <w:pPr>
              <w:spacing w:line="276" w:lineRule="auto"/>
              <w:jc w:val="center"/>
              <w:rPr>
                <w:rFonts w:ascii="Calibri" w:hAnsi="Calibri"/>
                <w:lang w:val="es-ES_tradnl"/>
              </w:rPr>
            </w:pPr>
          </w:p>
        </w:tc>
        <w:tc>
          <w:tcPr>
            <w:tcW w:w="678" w:type="dxa"/>
            <w:tcBorders>
              <w:top w:val="single" w:sz="4" w:space="0" w:color="auto"/>
              <w:left w:val="nil"/>
              <w:bottom w:val="single" w:sz="4" w:space="0" w:color="auto"/>
              <w:right w:val="single" w:sz="4" w:space="0" w:color="auto"/>
            </w:tcBorders>
            <w:shd w:val="clear" w:color="auto" w:fill="DBE5F1"/>
            <w:vAlign w:val="center"/>
          </w:tcPr>
          <w:p w:rsidR="009571FA" w:rsidRPr="005176F6" w:rsidRDefault="009571FA">
            <w:pPr>
              <w:spacing w:line="276" w:lineRule="auto"/>
              <w:jc w:val="center"/>
              <w:rPr>
                <w:rFonts w:ascii="Calibri" w:hAnsi="Calibri"/>
                <w:lang w:val="es-ES_tradnl"/>
              </w:rPr>
            </w:pPr>
          </w:p>
        </w:tc>
        <w:tc>
          <w:tcPr>
            <w:tcW w:w="647" w:type="dxa"/>
            <w:tcBorders>
              <w:top w:val="single" w:sz="4" w:space="0" w:color="auto"/>
              <w:left w:val="single" w:sz="4" w:space="0" w:color="auto"/>
              <w:bottom w:val="single" w:sz="4" w:space="0" w:color="auto"/>
              <w:right w:val="nil"/>
            </w:tcBorders>
            <w:shd w:val="clear" w:color="auto" w:fill="DBE5F1"/>
            <w:vAlign w:val="center"/>
          </w:tcPr>
          <w:p w:rsidR="009571FA" w:rsidRPr="005176F6" w:rsidRDefault="009571FA">
            <w:pPr>
              <w:spacing w:line="276" w:lineRule="auto"/>
              <w:jc w:val="center"/>
              <w:rPr>
                <w:rFonts w:ascii="Calibri" w:hAnsi="Calibri"/>
                <w:lang w:val="es-ES_tradnl"/>
              </w:rPr>
            </w:pPr>
          </w:p>
        </w:tc>
        <w:tc>
          <w:tcPr>
            <w:tcW w:w="720" w:type="dxa"/>
            <w:tcBorders>
              <w:top w:val="single" w:sz="4" w:space="0" w:color="auto"/>
              <w:left w:val="nil"/>
              <w:bottom w:val="single" w:sz="4" w:space="0" w:color="auto"/>
              <w:right w:val="single" w:sz="4" w:space="0" w:color="auto"/>
            </w:tcBorders>
            <w:shd w:val="clear" w:color="auto" w:fill="DBE5F1"/>
            <w:vAlign w:val="center"/>
          </w:tcPr>
          <w:p w:rsidR="009571FA" w:rsidRPr="005176F6" w:rsidRDefault="009571FA">
            <w:pPr>
              <w:spacing w:line="276" w:lineRule="auto"/>
              <w:jc w:val="center"/>
              <w:rPr>
                <w:rFonts w:ascii="Calibri" w:hAnsi="Calibri"/>
                <w:lang w:val="es-ES_tradnl"/>
              </w:rPr>
            </w:pPr>
          </w:p>
        </w:tc>
        <w:tc>
          <w:tcPr>
            <w:tcW w:w="720" w:type="dxa"/>
            <w:tcBorders>
              <w:top w:val="single" w:sz="4" w:space="0" w:color="auto"/>
              <w:left w:val="single" w:sz="4" w:space="0" w:color="auto"/>
              <w:bottom w:val="single" w:sz="4" w:space="0" w:color="auto"/>
              <w:right w:val="nil"/>
            </w:tcBorders>
            <w:shd w:val="clear" w:color="auto" w:fill="DBE5F1"/>
            <w:vAlign w:val="center"/>
          </w:tcPr>
          <w:p w:rsidR="009571FA" w:rsidRPr="005176F6" w:rsidRDefault="009571FA">
            <w:pPr>
              <w:spacing w:line="276" w:lineRule="auto"/>
              <w:jc w:val="center"/>
              <w:rPr>
                <w:rFonts w:ascii="Calibri" w:hAnsi="Calibri"/>
                <w:lang w:val="es-ES_tradnl"/>
              </w:rPr>
            </w:pPr>
          </w:p>
        </w:tc>
        <w:tc>
          <w:tcPr>
            <w:tcW w:w="540" w:type="dxa"/>
            <w:tcBorders>
              <w:top w:val="single" w:sz="4" w:space="0" w:color="auto"/>
              <w:left w:val="nil"/>
              <w:bottom w:val="single" w:sz="4" w:space="0" w:color="auto"/>
              <w:right w:val="single" w:sz="4" w:space="0" w:color="auto"/>
            </w:tcBorders>
            <w:shd w:val="clear" w:color="auto" w:fill="DBE5F1"/>
            <w:vAlign w:val="center"/>
          </w:tcPr>
          <w:p w:rsidR="009571FA" w:rsidRPr="005176F6" w:rsidRDefault="009571FA">
            <w:pPr>
              <w:spacing w:line="276" w:lineRule="auto"/>
              <w:jc w:val="center"/>
              <w:rPr>
                <w:rFonts w:ascii="Calibri" w:hAnsi="Calibri"/>
                <w:lang w:val="es-ES_tradnl"/>
              </w:rPr>
            </w:pPr>
          </w:p>
        </w:tc>
        <w:tc>
          <w:tcPr>
            <w:tcW w:w="720" w:type="dxa"/>
            <w:tcBorders>
              <w:top w:val="single" w:sz="4" w:space="0" w:color="auto"/>
              <w:left w:val="single" w:sz="4" w:space="0" w:color="auto"/>
              <w:bottom w:val="single" w:sz="4" w:space="0" w:color="auto"/>
              <w:right w:val="nil"/>
            </w:tcBorders>
            <w:shd w:val="clear" w:color="auto" w:fill="DBE5F1"/>
            <w:vAlign w:val="center"/>
          </w:tcPr>
          <w:p w:rsidR="009571FA" w:rsidRPr="005176F6" w:rsidRDefault="009571FA">
            <w:pPr>
              <w:spacing w:line="276" w:lineRule="auto"/>
              <w:jc w:val="center"/>
              <w:rPr>
                <w:rFonts w:ascii="Calibri" w:hAnsi="Calibri"/>
                <w:lang w:val="es-ES_tradnl"/>
              </w:rPr>
            </w:pPr>
          </w:p>
        </w:tc>
        <w:tc>
          <w:tcPr>
            <w:tcW w:w="810" w:type="dxa"/>
            <w:tcBorders>
              <w:top w:val="single" w:sz="4" w:space="0" w:color="auto"/>
              <w:left w:val="nil"/>
              <w:bottom w:val="single" w:sz="4" w:space="0" w:color="auto"/>
              <w:right w:val="single" w:sz="4" w:space="0" w:color="auto"/>
            </w:tcBorders>
            <w:shd w:val="clear" w:color="auto" w:fill="DBE5F1"/>
            <w:vAlign w:val="center"/>
          </w:tcPr>
          <w:p w:rsidR="009571FA" w:rsidRPr="005176F6" w:rsidRDefault="009571FA">
            <w:pPr>
              <w:spacing w:line="276" w:lineRule="auto"/>
              <w:jc w:val="center"/>
              <w:rPr>
                <w:rFonts w:ascii="Calibri" w:hAnsi="Calibri"/>
                <w:lang w:val="es-ES_tradnl"/>
              </w:rPr>
            </w:pPr>
          </w:p>
        </w:tc>
      </w:tr>
      <w:tr w:rsidR="009571FA" w:rsidRPr="005176F6" w:rsidTr="009C7DAB">
        <w:trPr>
          <w:trHeight w:val="284"/>
          <w:jc w:val="center"/>
        </w:trPr>
        <w:tc>
          <w:tcPr>
            <w:tcW w:w="1408" w:type="dxa"/>
            <w:tcBorders>
              <w:top w:val="single" w:sz="4" w:space="0" w:color="auto"/>
              <w:left w:val="single" w:sz="4" w:space="0" w:color="auto"/>
              <w:bottom w:val="single" w:sz="4" w:space="0" w:color="BFBFBF"/>
              <w:right w:val="single" w:sz="4" w:space="0" w:color="auto"/>
            </w:tcBorders>
            <w:tcMar>
              <w:top w:w="0" w:type="dxa"/>
              <w:left w:w="28" w:type="dxa"/>
              <w:bottom w:w="0" w:type="dxa"/>
              <w:right w:w="28" w:type="dxa"/>
            </w:tcMar>
            <w:vAlign w:val="center"/>
          </w:tcPr>
          <w:p w:rsidR="009571FA" w:rsidRPr="005176F6" w:rsidRDefault="009571FA">
            <w:pPr>
              <w:tabs>
                <w:tab w:val="left" w:pos="253"/>
              </w:tabs>
              <w:spacing w:line="276" w:lineRule="auto"/>
              <w:rPr>
                <w:rFonts w:ascii="Calibri" w:hAnsi="Calibri"/>
                <w:sz w:val="22"/>
                <w:lang w:val="es-ES_tradnl"/>
              </w:rPr>
            </w:pPr>
            <w:r w:rsidRPr="005176F6">
              <w:rPr>
                <w:rFonts w:ascii="Calibri" w:hAnsi="Calibri"/>
                <w:sz w:val="22"/>
                <w:lang w:val="es-ES_tradnl"/>
              </w:rPr>
              <w:tab/>
              <w:t>D</w:t>
            </w:r>
          </w:p>
        </w:tc>
        <w:tc>
          <w:tcPr>
            <w:tcW w:w="508" w:type="dxa"/>
            <w:tcBorders>
              <w:top w:val="single" w:sz="4" w:space="0" w:color="auto"/>
              <w:left w:val="single" w:sz="4" w:space="0" w:color="auto"/>
              <w:bottom w:val="single" w:sz="4" w:space="0" w:color="BFBFBF"/>
              <w:right w:val="single" w:sz="4" w:space="0" w:color="auto"/>
            </w:tcBorders>
            <w:vAlign w:val="center"/>
          </w:tcPr>
          <w:p w:rsidR="009571FA" w:rsidRPr="005176F6" w:rsidRDefault="009571FA">
            <w:pPr>
              <w:tabs>
                <w:tab w:val="left" w:pos="253"/>
              </w:tabs>
              <w:spacing w:line="276" w:lineRule="auto"/>
              <w:jc w:val="center"/>
              <w:rPr>
                <w:rFonts w:ascii="Calibri" w:hAnsi="Calibri"/>
                <w:lang w:val="es-ES_tradnl"/>
              </w:rPr>
            </w:pPr>
            <w:r w:rsidRPr="005176F6">
              <w:rPr>
                <w:rFonts w:ascii="Calibri" w:hAnsi="Calibri"/>
                <w:lang w:val="es-ES_tradnl"/>
              </w:rPr>
              <w:t>10</w:t>
            </w:r>
          </w:p>
        </w:tc>
        <w:tc>
          <w:tcPr>
            <w:tcW w:w="490" w:type="dxa"/>
            <w:tcBorders>
              <w:top w:val="single" w:sz="4" w:space="0" w:color="auto"/>
              <w:left w:val="single" w:sz="4" w:space="0" w:color="auto"/>
              <w:bottom w:val="single" w:sz="4" w:space="0" w:color="BFBFBF"/>
              <w:right w:val="nil"/>
            </w:tcBorders>
            <w:vAlign w:val="center"/>
          </w:tcPr>
          <w:p w:rsidR="009571FA" w:rsidRPr="005176F6" w:rsidRDefault="009571FA">
            <w:pPr>
              <w:spacing w:line="276" w:lineRule="auto"/>
              <w:jc w:val="center"/>
              <w:rPr>
                <w:rFonts w:ascii="Calibri" w:hAnsi="Calibri"/>
                <w:lang w:val="es-ES_tradnl"/>
              </w:rPr>
            </w:pPr>
            <w:r w:rsidRPr="005176F6">
              <w:rPr>
                <w:rFonts w:ascii="Calibri" w:hAnsi="Calibri"/>
                <w:lang w:val="es-ES_tradnl"/>
              </w:rPr>
              <w:t>7</w:t>
            </w:r>
          </w:p>
        </w:tc>
        <w:tc>
          <w:tcPr>
            <w:tcW w:w="609" w:type="dxa"/>
            <w:tcBorders>
              <w:top w:val="single" w:sz="4" w:space="0" w:color="auto"/>
              <w:left w:val="nil"/>
              <w:bottom w:val="single" w:sz="4" w:space="0" w:color="BFBFBF"/>
              <w:right w:val="single" w:sz="4" w:space="0" w:color="auto"/>
            </w:tcBorders>
            <w:vAlign w:val="center"/>
          </w:tcPr>
          <w:p w:rsidR="009571FA" w:rsidRPr="005176F6" w:rsidRDefault="009571FA">
            <w:pPr>
              <w:spacing w:line="276" w:lineRule="auto"/>
              <w:jc w:val="center"/>
              <w:rPr>
                <w:rFonts w:ascii="Calibri" w:hAnsi="Calibri"/>
                <w:lang w:val="es-ES_tradnl"/>
              </w:rPr>
            </w:pPr>
            <w:r w:rsidRPr="005176F6">
              <w:rPr>
                <w:rFonts w:ascii="Calibri" w:hAnsi="Calibri"/>
                <w:lang w:val="es-ES_tradnl"/>
              </w:rPr>
              <w:t>70.0</w:t>
            </w:r>
          </w:p>
        </w:tc>
        <w:tc>
          <w:tcPr>
            <w:tcW w:w="667" w:type="dxa"/>
            <w:tcBorders>
              <w:top w:val="single" w:sz="4" w:space="0" w:color="auto"/>
              <w:left w:val="single" w:sz="4" w:space="0" w:color="auto"/>
              <w:bottom w:val="single" w:sz="4" w:space="0" w:color="BFBFBF"/>
              <w:right w:val="nil"/>
            </w:tcBorders>
            <w:vAlign w:val="center"/>
          </w:tcPr>
          <w:p w:rsidR="009571FA" w:rsidRPr="005176F6" w:rsidRDefault="009571FA">
            <w:pPr>
              <w:spacing w:line="276" w:lineRule="auto"/>
              <w:jc w:val="center"/>
              <w:rPr>
                <w:rFonts w:ascii="Calibri" w:hAnsi="Calibri"/>
                <w:lang w:val="es-ES_tradnl"/>
              </w:rPr>
            </w:pPr>
            <w:r w:rsidRPr="005176F6">
              <w:rPr>
                <w:rFonts w:ascii="Calibri" w:hAnsi="Calibri"/>
                <w:lang w:val="es-ES_tradnl"/>
              </w:rPr>
              <w:t>10</w:t>
            </w:r>
          </w:p>
        </w:tc>
        <w:tc>
          <w:tcPr>
            <w:tcW w:w="678" w:type="dxa"/>
            <w:tcBorders>
              <w:top w:val="single" w:sz="4" w:space="0" w:color="auto"/>
              <w:left w:val="nil"/>
              <w:bottom w:val="single" w:sz="4" w:space="0" w:color="BFBFBF"/>
              <w:right w:val="single" w:sz="4" w:space="0" w:color="auto"/>
            </w:tcBorders>
            <w:vAlign w:val="center"/>
          </w:tcPr>
          <w:p w:rsidR="009571FA" w:rsidRPr="005176F6" w:rsidRDefault="009571FA">
            <w:pPr>
              <w:spacing w:line="276" w:lineRule="auto"/>
              <w:jc w:val="center"/>
              <w:rPr>
                <w:rFonts w:ascii="Calibri" w:hAnsi="Calibri"/>
                <w:lang w:val="es-ES_tradnl"/>
              </w:rPr>
            </w:pPr>
            <w:r w:rsidRPr="005176F6">
              <w:rPr>
                <w:rFonts w:ascii="Calibri" w:hAnsi="Calibri"/>
                <w:lang w:val="es-ES_tradnl"/>
              </w:rPr>
              <w:t>100.0</w:t>
            </w:r>
          </w:p>
        </w:tc>
        <w:tc>
          <w:tcPr>
            <w:tcW w:w="647" w:type="dxa"/>
            <w:tcBorders>
              <w:top w:val="single" w:sz="4" w:space="0" w:color="auto"/>
              <w:left w:val="single" w:sz="4" w:space="0" w:color="auto"/>
              <w:bottom w:val="single" w:sz="4" w:space="0" w:color="BFBFBF"/>
              <w:right w:val="nil"/>
            </w:tcBorders>
            <w:vAlign w:val="center"/>
          </w:tcPr>
          <w:p w:rsidR="009571FA" w:rsidRPr="005176F6" w:rsidRDefault="009571FA">
            <w:pPr>
              <w:spacing w:line="276" w:lineRule="auto"/>
              <w:jc w:val="center"/>
              <w:rPr>
                <w:rFonts w:ascii="Calibri" w:hAnsi="Calibri"/>
                <w:lang w:val="es-ES_tradnl"/>
              </w:rPr>
            </w:pPr>
            <w:r w:rsidRPr="005176F6">
              <w:rPr>
                <w:rFonts w:ascii="Calibri" w:hAnsi="Calibri"/>
                <w:lang w:val="es-ES_tradnl"/>
              </w:rPr>
              <w:t>0</w:t>
            </w:r>
          </w:p>
        </w:tc>
        <w:tc>
          <w:tcPr>
            <w:tcW w:w="720" w:type="dxa"/>
            <w:tcBorders>
              <w:top w:val="single" w:sz="4" w:space="0" w:color="auto"/>
              <w:left w:val="nil"/>
              <w:bottom w:val="single" w:sz="4" w:space="0" w:color="BFBFBF"/>
              <w:right w:val="single" w:sz="4" w:space="0" w:color="auto"/>
            </w:tcBorders>
            <w:vAlign w:val="center"/>
          </w:tcPr>
          <w:p w:rsidR="009571FA" w:rsidRPr="005176F6" w:rsidRDefault="009571FA">
            <w:pPr>
              <w:spacing w:line="276" w:lineRule="auto"/>
              <w:jc w:val="center"/>
              <w:rPr>
                <w:rFonts w:ascii="Calibri" w:hAnsi="Calibri"/>
                <w:lang w:val="es-ES_tradnl"/>
              </w:rPr>
            </w:pPr>
            <w:r w:rsidRPr="005176F6">
              <w:rPr>
                <w:rFonts w:ascii="Calibri" w:hAnsi="Calibri"/>
                <w:lang w:val="es-ES_tradnl"/>
              </w:rPr>
              <w:t>0.0</w:t>
            </w:r>
          </w:p>
        </w:tc>
        <w:tc>
          <w:tcPr>
            <w:tcW w:w="720" w:type="dxa"/>
            <w:tcBorders>
              <w:top w:val="single" w:sz="4" w:space="0" w:color="auto"/>
              <w:left w:val="single" w:sz="4" w:space="0" w:color="auto"/>
              <w:bottom w:val="single" w:sz="4" w:space="0" w:color="BFBFBF"/>
              <w:right w:val="nil"/>
            </w:tcBorders>
            <w:vAlign w:val="center"/>
          </w:tcPr>
          <w:p w:rsidR="009571FA" w:rsidRPr="005176F6" w:rsidRDefault="009571FA">
            <w:pPr>
              <w:spacing w:line="276" w:lineRule="auto"/>
              <w:jc w:val="center"/>
              <w:rPr>
                <w:rFonts w:ascii="Calibri" w:hAnsi="Calibri"/>
                <w:lang w:val="es-ES_tradnl"/>
              </w:rPr>
            </w:pPr>
            <w:r w:rsidRPr="005176F6">
              <w:rPr>
                <w:rFonts w:ascii="Calibri" w:hAnsi="Calibri"/>
                <w:lang w:val="es-ES_tradnl"/>
              </w:rPr>
              <w:t>5</w:t>
            </w:r>
          </w:p>
        </w:tc>
        <w:tc>
          <w:tcPr>
            <w:tcW w:w="540" w:type="dxa"/>
            <w:tcBorders>
              <w:top w:val="single" w:sz="4" w:space="0" w:color="auto"/>
              <w:left w:val="nil"/>
              <w:bottom w:val="single" w:sz="4" w:space="0" w:color="BFBFBF"/>
              <w:right w:val="single" w:sz="4" w:space="0" w:color="auto"/>
            </w:tcBorders>
            <w:vAlign w:val="center"/>
          </w:tcPr>
          <w:p w:rsidR="009571FA" w:rsidRPr="005176F6" w:rsidRDefault="009571FA">
            <w:pPr>
              <w:spacing w:line="276" w:lineRule="auto"/>
              <w:jc w:val="center"/>
              <w:rPr>
                <w:rFonts w:ascii="Calibri" w:hAnsi="Calibri"/>
                <w:lang w:val="es-ES_tradnl"/>
              </w:rPr>
            </w:pPr>
            <w:r w:rsidRPr="005176F6">
              <w:rPr>
                <w:rFonts w:ascii="Calibri" w:hAnsi="Calibri"/>
                <w:lang w:val="es-ES_tradnl"/>
              </w:rPr>
              <w:t>50.0</w:t>
            </w:r>
          </w:p>
        </w:tc>
        <w:tc>
          <w:tcPr>
            <w:tcW w:w="720" w:type="dxa"/>
            <w:tcBorders>
              <w:top w:val="single" w:sz="4" w:space="0" w:color="auto"/>
              <w:left w:val="single" w:sz="4" w:space="0" w:color="auto"/>
              <w:bottom w:val="single" w:sz="4" w:space="0" w:color="BFBFBF"/>
              <w:right w:val="nil"/>
            </w:tcBorders>
            <w:vAlign w:val="center"/>
          </w:tcPr>
          <w:p w:rsidR="009571FA" w:rsidRPr="005176F6" w:rsidRDefault="009571FA">
            <w:pPr>
              <w:spacing w:line="276" w:lineRule="auto"/>
              <w:jc w:val="center"/>
              <w:rPr>
                <w:rFonts w:ascii="Calibri" w:hAnsi="Calibri"/>
                <w:lang w:val="es-ES_tradnl"/>
              </w:rPr>
            </w:pPr>
            <w:r w:rsidRPr="005176F6">
              <w:rPr>
                <w:rFonts w:ascii="Calibri" w:hAnsi="Calibri"/>
                <w:lang w:val="es-ES_tradnl"/>
              </w:rPr>
              <w:t>0</w:t>
            </w:r>
          </w:p>
        </w:tc>
        <w:tc>
          <w:tcPr>
            <w:tcW w:w="810" w:type="dxa"/>
            <w:tcBorders>
              <w:top w:val="single" w:sz="4" w:space="0" w:color="auto"/>
              <w:left w:val="nil"/>
              <w:bottom w:val="single" w:sz="4" w:space="0" w:color="BFBFBF"/>
              <w:right w:val="single" w:sz="4" w:space="0" w:color="auto"/>
            </w:tcBorders>
            <w:vAlign w:val="center"/>
          </w:tcPr>
          <w:p w:rsidR="009571FA" w:rsidRPr="005176F6" w:rsidRDefault="009571FA">
            <w:pPr>
              <w:spacing w:line="276" w:lineRule="auto"/>
              <w:jc w:val="center"/>
              <w:rPr>
                <w:rFonts w:ascii="Calibri" w:hAnsi="Calibri"/>
                <w:lang w:val="es-ES_tradnl"/>
              </w:rPr>
            </w:pPr>
            <w:r w:rsidRPr="005176F6">
              <w:rPr>
                <w:rFonts w:ascii="Calibri" w:hAnsi="Calibri"/>
                <w:lang w:val="es-ES_tradnl"/>
              </w:rPr>
              <w:t>0.0</w:t>
            </w:r>
          </w:p>
        </w:tc>
      </w:tr>
      <w:tr w:rsidR="009571FA" w:rsidRPr="005176F6" w:rsidTr="009C7DAB">
        <w:trPr>
          <w:trHeight w:val="284"/>
          <w:jc w:val="center"/>
        </w:trPr>
        <w:tc>
          <w:tcPr>
            <w:tcW w:w="1408" w:type="dxa"/>
            <w:tcBorders>
              <w:top w:val="single" w:sz="4" w:space="0" w:color="BFBFBF"/>
              <w:left w:val="single" w:sz="4" w:space="0" w:color="auto"/>
              <w:bottom w:val="single" w:sz="4" w:space="0" w:color="BFBFBF"/>
              <w:right w:val="single" w:sz="4" w:space="0" w:color="auto"/>
            </w:tcBorders>
            <w:tcMar>
              <w:top w:w="0" w:type="dxa"/>
              <w:left w:w="28" w:type="dxa"/>
              <w:bottom w:w="0" w:type="dxa"/>
              <w:right w:w="28" w:type="dxa"/>
            </w:tcMar>
            <w:vAlign w:val="center"/>
          </w:tcPr>
          <w:p w:rsidR="009571FA" w:rsidRPr="005176F6" w:rsidRDefault="009571FA">
            <w:pPr>
              <w:tabs>
                <w:tab w:val="left" w:pos="253"/>
              </w:tabs>
              <w:spacing w:line="276" w:lineRule="auto"/>
              <w:rPr>
                <w:rFonts w:ascii="Calibri" w:hAnsi="Calibri"/>
                <w:sz w:val="22"/>
                <w:lang w:val="es-ES_tradnl"/>
              </w:rPr>
            </w:pPr>
            <w:r w:rsidRPr="005176F6">
              <w:rPr>
                <w:rFonts w:ascii="Calibri" w:hAnsi="Calibri"/>
                <w:sz w:val="22"/>
                <w:lang w:val="es-ES_tradnl"/>
              </w:rPr>
              <w:tab/>
              <w:t>P</w:t>
            </w:r>
          </w:p>
        </w:tc>
        <w:tc>
          <w:tcPr>
            <w:tcW w:w="508" w:type="dxa"/>
            <w:tcBorders>
              <w:top w:val="single" w:sz="4" w:space="0" w:color="BFBFBF"/>
              <w:left w:val="single" w:sz="4" w:space="0" w:color="auto"/>
              <w:bottom w:val="single" w:sz="4" w:space="0" w:color="BFBFBF"/>
              <w:right w:val="single" w:sz="4" w:space="0" w:color="auto"/>
            </w:tcBorders>
            <w:vAlign w:val="center"/>
          </w:tcPr>
          <w:p w:rsidR="009571FA" w:rsidRPr="005176F6" w:rsidRDefault="009571FA">
            <w:pPr>
              <w:tabs>
                <w:tab w:val="left" w:pos="253"/>
              </w:tabs>
              <w:spacing w:line="276" w:lineRule="auto"/>
              <w:jc w:val="center"/>
              <w:rPr>
                <w:rFonts w:ascii="Calibri" w:hAnsi="Calibri"/>
                <w:lang w:val="es-ES_tradnl"/>
              </w:rPr>
            </w:pPr>
            <w:r w:rsidRPr="005176F6">
              <w:rPr>
                <w:rFonts w:ascii="Calibri" w:hAnsi="Calibri"/>
                <w:lang w:val="es-ES_tradnl"/>
              </w:rPr>
              <w:t>262</w:t>
            </w:r>
          </w:p>
        </w:tc>
        <w:tc>
          <w:tcPr>
            <w:tcW w:w="490" w:type="dxa"/>
            <w:tcBorders>
              <w:top w:val="single" w:sz="4" w:space="0" w:color="BFBFBF"/>
              <w:left w:val="single" w:sz="4" w:space="0" w:color="auto"/>
              <w:bottom w:val="single" w:sz="4" w:space="0" w:color="BFBFBF"/>
              <w:right w:val="nil"/>
            </w:tcBorders>
            <w:vAlign w:val="center"/>
          </w:tcPr>
          <w:p w:rsidR="009571FA" w:rsidRPr="005176F6" w:rsidRDefault="009571FA">
            <w:pPr>
              <w:spacing w:line="276" w:lineRule="auto"/>
              <w:jc w:val="center"/>
              <w:rPr>
                <w:rFonts w:ascii="Calibri" w:hAnsi="Calibri"/>
                <w:lang w:val="es-ES_tradnl"/>
              </w:rPr>
            </w:pPr>
            <w:r w:rsidRPr="005176F6">
              <w:rPr>
                <w:rFonts w:ascii="Calibri" w:hAnsi="Calibri"/>
                <w:lang w:val="es-ES_tradnl"/>
              </w:rPr>
              <w:t>177</w:t>
            </w:r>
          </w:p>
        </w:tc>
        <w:tc>
          <w:tcPr>
            <w:tcW w:w="609" w:type="dxa"/>
            <w:tcBorders>
              <w:top w:val="single" w:sz="4" w:space="0" w:color="BFBFBF"/>
              <w:left w:val="nil"/>
              <w:bottom w:val="single" w:sz="4" w:space="0" w:color="BFBFBF"/>
              <w:right w:val="single" w:sz="4" w:space="0" w:color="auto"/>
            </w:tcBorders>
            <w:vAlign w:val="center"/>
          </w:tcPr>
          <w:p w:rsidR="009571FA" w:rsidRPr="005176F6" w:rsidRDefault="009571FA">
            <w:pPr>
              <w:spacing w:line="276" w:lineRule="auto"/>
              <w:jc w:val="center"/>
              <w:rPr>
                <w:rFonts w:ascii="Calibri" w:hAnsi="Calibri"/>
                <w:lang w:val="es-ES_tradnl"/>
              </w:rPr>
            </w:pPr>
            <w:r w:rsidRPr="005176F6">
              <w:rPr>
                <w:rFonts w:ascii="Calibri" w:hAnsi="Calibri"/>
                <w:lang w:val="es-ES_tradnl"/>
              </w:rPr>
              <w:t>67.6</w:t>
            </w:r>
          </w:p>
        </w:tc>
        <w:tc>
          <w:tcPr>
            <w:tcW w:w="667" w:type="dxa"/>
            <w:tcBorders>
              <w:top w:val="single" w:sz="4" w:space="0" w:color="BFBFBF"/>
              <w:left w:val="single" w:sz="4" w:space="0" w:color="auto"/>
              <w:bottom w:val="single" w:sz="4" w:space="0" w:color="BFBFBF"/>
              <w:right w:val="nil"/>
            </w:tcBorders>
            <w:vAlign w:val="center"/>
          </w:tcPr>
          <w:p w:rsidR="009571FA" w:rsidRPr="005176F6" w:rsidRDefault="009571FA">
            <w:pPr>
              <w:spacing w:line="276" w:lineRule="auto"/>
              <w:jc w:val="center"/>
              <w:rPr>
                <w:rFonts w:ascii="Calibri" w:hAnsi="Calibri"/>
                <w:lang w:val="es-ES_tradnl"/>
              </w:rPr>
            </w:pPr>
            <w:r w:rsidRPr="005176F6">
              <w:rPr>
                <w:rFonts w:ascii="Calibri" w:hAnsi="Calibri"/>
                <w:lang w:val="es-ES_tradnl"/>
              </w:rPr>
              <w:t>235</w:t>
            </w:r>
          </w:p>
        </w:tc>
        <w:tc>
          <w:tcPr>
            <w:tcW w:w="678" w:type="dxa"/>
            <w:tcBorders>
              <w:top w:val="single" w:sz="4" w:space="0" w:color="BFBFBF"/>
              <w:left w:val="nil"/>
              <w:bottom w:val="single" w:sz="4" w:space="0" w:color="BFBFBF"/>
              <w:right w:val="single" w:sz="4" w:space="0" w:color="auto"/>
            </w:tcBorders>
            <w:vAlign w:val="center"/>
          </w:tcPr>
          <w:p w:rsidR="009571FA" w:rsidRPr="005176F6" w:rsidRDefault="009571FA">
            <w:pPr>
              <w:spacing w:line="276" w:lineRule="auto"/>
              <w:jc w:val="center"/>
              <w:rPr>
                <w:rFonts w:ascii="Calibri" w:hAnsi="Calibri"/>
                <w:lang w:val="es-ES_tradnl"/>
              </w:rPr>
            </w:pPr>
            <w:r w:rsidRPr="005176F6">
              <w:rPr>
                <w:rFonts w:ascii="Calibri" w:hAnsi="Calibri"/>
                <w:lang w:val="es-ES_tradnl"/>
              </w:rPr>
              <w:t>89.7</w:t>
            </w:r>
          </w:p>
        </w:tc>
        <w:tc>
          <w:tcPr>
            <w:tcW w:w="647" w:type="dxa"/>
            <w:tcBorders>
              <w:top w:val="single" w:sz="4" w:space="0" w:color="BFBFBF"/>
              <w:left w:val="single" w:sz="4" w:space="0" w:color="auto"/>
              <w:bottom w:val="single" w:sz="4" w:space="0" w:color="BFBFBF"/>
              <w:right w:val="nil"/>
            </w:tcBorders>
            <w:vAlign w:val="center"/>
          </w:tcPr>
          <w:p w:rsidR="009571FA" w:rsidRPr="005176F6" w:rsidRDefault="009571FA">
            <w:pPr>
              <w:spacing w:line="276" w:lineRule="auto"/>
              <w:jc w:val="center"/>
              <w:rPr>
                <w:rFonts w:ascii="Calibri" w:hAnsi="Calibri"/>
                <w:lang w:val="es-ES_tradnl"/>
              </w:rPr>
            </w:pPr>
            <w:r w:rsidRPr="005176F6">
              <w:rPr>
                <w:rFonts w:ascii="Calibri" w:hAnsi="Calibri"/>
                <w:lang w:val="es-ES_tradnl"/>
              </w:rPr>
              <w:t>26</w:t>
            </w:r>
          </w:p>
        </w:tc>
        <w:tc>
          <w:tcPr>
            <w:tcW w:w="720" w:type="dxa"/>
            <w:tcBorders>
              <w:top w:val="single" w:sz="4" w:space="0" w:color="BFBFBF"/>
              <w:left w:val="nil"/>
              <w:bottom w:val="single" w:sz="4" w:space="0" w:color="BFBFBF"/>
              <w:right w:val="single" w:sz="4" w:space="0" w:color="auto"/>
            </w:tcBorders>
            <w:vAlign w:val="center"/>
          </w:tcPr>
          <w:p w:rsidR="009571FA" w:rsidRPr="005176F6" w:rsidRDefault="009571FA">
            <w:pPr>
              <w:spacing w:line="276" w:lineRule="auto"/>
              <w:jc w:val="center"/>
              <w:rPr>
                <w:rFonts w:ascii="Calibri" w:hAnsi="Calibri"/>
                <w:lang w:val="es-ES_tradnl"/>
              </w:rPr>
            </w:pPr>
            <w:r w:rsidRPr="005176F6">
              <w:rPr>
                <w:rFonts w:ascii="Calibri" w:hAnsi="Calibri"/>
                <w:lang w:val="es-ES_tradnl"/>
              </w:rPr>
              <w:t>9.9</w:t>
            </w:r>
          </w:p>
        </w:tc>
        <w:tc>
          <w:tcPr>
            <w:tcW w:w="720" w:type="dxa"/>
            <w:tcBorders>
              <w:top w:val="single" w:sz="4" w:space="0" w:color="BFBFBF"/>
              <w:left w:val="single" w:sz="4" w:space="0" w:color="auto"/>
              <w:bottom w:val="single" w:sz="4" w:space="0" w:color="BFBFBF"/>
              <w:right w:val="nil"/>
            </w:tcBorders>
            <w:vAlign w:val="center"/>
          </w:tcPr>
          <w:p w:rsidR="009571FA" w:rsidRPr="005176F6" w:rsidRDefault="009571FA">
            <w:pPr>
              <w:spacing w:line="276" w:lineRule="auto"/>
              <w:jc w:val="center"/>
              <w:rPr>
                <w:rFonts w:ascii="Calibri" w:hAnsi="Calibri"/>
                <w:lang w:val="es-ES_tradnl"/>
              </w:rPr>
            </w:pPr>
            <w:r w:rsidRPr="005176F6">
              <w:rPr>
                <w:rFonts w:ascii="Calibri" w:hAnsi="Calibri"/>
                <w:lang w:val="es-ES_tradnl"/>
              </w:rPr>
              <w:t>130</w:t>
            </w:r>
          </w:p>
        </w:tc>
        <w:tc>
          <w:tcPr>
            <w:tcW w:w="540" w:type="dxa"/>
            <w:tcBorders>
              <w:top w:val="single" w:sz="4" w:space="0" w:color="BFBFBF"/>
              <w:left w:val="nil"/>
              <w:bottom w:val="single" w:sz="4" w:space="0" w:color="BFBFBF"/>
              <w:right w:val="single" w:sz="4" w:space="0" w:color="auto"/>
            </w:tcBorders>
            <w:vAlign w:val="center"/>
          </w:tcPr>
          <w:p w:rsidR="009571FA" w:rsidRPr="005176F6" w:rsidRDefault="009571FA">
            <w:pPr>
              <w:spacing w:line="276" w:lineRule="auto"/>
              <w:jc w:val="center"/>
              <w:rPr>
                <w:rFonts w:ascii="Calibri" w:hAnsi="Calibri"/>
                <w:lang w:val="es-ES_tradnl"/>
              </w:rPr>
            </w:pPr>
            <w:r w:rsidRPr="005176F6">
              <w:rPr>
                <w:rFonts w:ascii="Calibri" w:hAnsi="Calibri"/>
                <w:lang w:val="es-ES_tradnl"/>
              </w:rPr>
              <w:t>49.6</w:t>
            </w:r>
          </w:p>
        </w:tc>
        <w:tc>
          <w:tcPr>
            <w:tcW w:w="720" w:type="dxa"/>
            <w:tcBorders>
              <w:top w:val="single" w:sz="4" w:space="0" w:color="BFBFBF"/>
              <w:left w:val="single" w:sz="4" w:space="0" w:color="auto"/>
              <w:bottom w:val="single" w:sz="4" w:space="0" w:color="BFBFBF"/>
              <w:right w:val="nil"/>
            </w:tcBorders>
            <w:vAlign w:val="center"/>
          </w:tcPr>
          <w:p w:rsidR="009571FA" w:rsidRPr="005176F6" w:rsidRDefault="009571FA">
            <w:pPr>
              <w:spacing w:line="276" w:lineRule="auto"/>
              <w:jc w:val="center"/>
              <w:rPr>
                <w:rFonts w:ascii="Calibri" w:hAnsi="Calibri"/>
                <w:lang w:val="es-ES_tradnl"/>
              </w:rPr>
            </w:pPr>
            <w:r w:rsidRPr="005176F6">
              <w:rPr>
                <w:rFonts w:ascii="Calibri" w:hAnsi="Calibri"/>
                <w:lang w:val="es-ES_tradnl"/>
              </w:rPr>
              <w:t>15</w:t>
            </w:r>
          </w:p>
        </w:tc>
        <w:tc>
          <w:tcPr>
            <w:tcW w:w="810" w:type="dxa"/>
            <w:tcBorders>
              <w:top w:val="single" w:sz="4" w:space="0" w:color="BFBFBF"/>
              <w:left w:val="nil"/>
              <w:bottom w:val="single" w:sz="4" w:space="0" w:color="BFBFBF"/>
              <w:right w:val="single" w:sz="4" w:space="0" w:color="auto"/>
            </w:tcBorders>
            <w:vAlign w:val="center"/>
          </w:tcPr>
          <w:p w:rsidR="009571FA" w:rsidRPr="005176F6" w:rsidRDefault="009571FA">
            <w:pPr>
              <w:spacing w:line="276" w:lineRule="auto"/>
              <w:jc w:val="center"/>
              <w:rPr>
                <w:rFonts w:ascii="Calibri" w:hAnsi="Calibri"/>
                <w:lang w:val="es-ES_tradnl"/>
              </w:rPr>
            </w:pPr>
            <w:r w:rsidRPr="005176F6">
              <w:rPr>
                <w:rFonts w:ascii="Calibri" w:hAnsi="Calibri"/>
                <w:lang w:val="es-ES_tradnl"/>
              </w:rPr>
              <w:t>5.7</w:t>
            </w:r>
          </w:p>
        </w:tc>
      </w:tr>
      <w:tr w:rsidR="009571FA" w:rsidRPr="005176F6" w:rsidTr="009C7DAB">
        <w:trPr>
          <w:trHeight w:val="284"/>
          <w:jc w:val="center"/>
        </w:trPr>
        <w:tc>
          <w:tcPr>
            <w:tcW w:w="1408" w:type="dxa"/>
            <w:tcBorders>
              <w:top w:val="single" w:sz="4" w:space="0" w:color="BFBFBF"/>
              <w:left w:val="single" w:sz="4" w:space="0" w:color="auto"/>
              <w:bottom w:val="single" w:sz="4" w:space="0" w:color="BFBFBF"/>
              <w:right w:val="single" w:sz="4" w:space="0" w:color="auto"/>
            </w:tcBorders>
            <w:tcMar>
              <w:top w:w="0" w:type="dxa"/>
              <w:left w:w="28" w:type="dxa"/>
              <w:bottom w:w="0" w:type="dxa"/>
              <w:right w:w="28" w:type="dxa"/>
            </w:tcMar>
            <w:vAlign w:val="center"/>
          </w:tcPr>
          <w:p w:rsidR="009571FA" w:rsidRPr="005176F6" w:rsidRDefault="009571FA">
            <w:pPr>
              <w:tabs>
                <w:tab w:val="left" w:pos="253"/>
              </w:tabs>
              <w:spacing w:line="276" w:lineRule="auto"/>
              <w:rPr>
                <w:rFonts w:ascii="Calibri" w:hAnsi="Calibri"/>
                <w:sz w:val="22"/>
                <w:lang w:val="es-ES_tradnl"/>
              </w:rPr>
            </w:pPr>
            <w:r w:rsidRPr="005176F6">
              <w:rPr>
                <w:rFonts w:ascii="Calibri" w:hAnsi="Calibri"/>
                <w:sz w:val="22"/>
                <w:lang w:val="es-ES_tradnl"/>
              </w:rPr>
              <w:tab/>
              <w:t>G</w:t>
            </w:r>
          </w:p>
        </w:tc>
        <w:tc>
          <w:tcPr>
            <w:tcW w:w="508" w:type="dxa"/>
            <w:tcBorders>
              <w:top w:val="single" w:sz="4" w:space="0" w:color="BFBFBF"/>
              <w:left w:val="single" w:sz="4" w:space="0" w:color="auto"/>
              <w:bottom w:val="single" w:sz="4" w:space="0" w:color="BFBFBF"/>
              <w:right w:val="single" w:sz="4" w:space="0" w:color="auto"/>
            </w:tcBorders>
            <w:vAlign w:val="center"/>
          </w:tcPr>
          <w:p w:rsidR="009571FA" w:rsidRPr="005176F6" w:rsidRDefault="009571FA">
            <w:pPr>
              <w:tabs>
                <w:tab w:val="left" w:pos="253"/>
              </w:tabs>
              <w:spacing w:line="276" w:lineRule="auto"/>
              <w:jc w:val="center"/>
              <w:rPr>
                <w:rFonts w:ascii="Calibri" w:hAnsi="Calibri"/>
                <w:lang w:val="es-ES_tradnl"/>
              </w:rPr>
            </w:pPr>
            <w:r w:rsidRPr="005176F6">
              <w:rPr>
                <w:rFonts w:ascii="Calibri" w:hAnsi="Calibri"/>
                <w:lang w:val="es-ES_tradnl"/>
              </w:rPr>
              <w:t>104</w:t>
            </w:r>
          </w:p>
        </w:tc>
        <w:tc>
          <w:tcPr>
            <w:tcW w:w="490" w:type="dxa"/>
            <w:tcBorders>
              <w:top w:val="single" w:sz="4" w:space="0" w:color="BFBFBF"/>
              <w:left w:val="single" w:sz="4" w:space="0" w:color="auto"/>
              <w:bottom w:val="single" w:sz="4" w:space="0" w:color="BFBFBF"/>
              <w:right w:val="nil"/>
            </w:tcBorders>
            <w:vAlign w:val="center"/>
          </w:tcPr>
          <w:p w:rsidR="009571FA" w:rsidRPr="005176F6" w:rsidRDefault="009571FA">
            <w:pPr>
              <w:spacing w:line="276" w:lineRule="auto"/>
              <w:jc w:val="center"/>
              <w:rPr>
                <w:rFonts w:ascii="Calibri" w:hAnsi="Calibri"/>
                <w:lang w:val="es-ES_tradnl"/>
              </w:rPr>
            </w:pPr>
            <w:r w:rsidRPr="005176F6">
              <w:rPr>
                <w:rFonts w:ascii="Calibri" w:hAnsi="Calibri"/>
                <w:lang w:val="es-ES_tradnl"/>
              </w:rPr>
              <w:t>53</w:t>
            </w:r>
          </w:p>
        </w:tc>
        <w:tc>
          <w:tcPr>
            <w:tcW w:w="609" w:type="dxa"/>
            <w:tcBorders>
              <w:top w:val="single" w:sz="4" w:space="0" w:color="BFBFBF"/>
              <w:left w:val="nil"/>
              <w:bottom w:val="single" w:sz="4" w:space="0" w:color="BFBFBF"/>
              <w:right w:val="single" w:sz="4" w:space="0" w:color="auto"/>
            </w:tcBorders>
            <w:vAlign w:val="center"/>
          </w:tcPr>
          <w:p w:rsidR="009571FA" w:rsidRPr="005176F6" w:rsidRDefault="009571FA">
            <w:pPr>
              <w:spacing w:line="276" w:lineRule="auto"/>
              <w:jc w:val="center"/>
              <w:rPr>
                <w:rFonts w:ascii="Calibri" w:hAnsi="Calibri"/>
                <w:lang w:val="es-ES_tradnl"/>
              </w:rPr>
            </w:pPr>
            <w:r w:rsidRPr="005176F6">
              <w:rPr>
                <w:rFonts w:ascii="Calibri" w:hAnsi="Calibri"/>
                <w:lang w:val="es-ES_tradnl"/>
              </w:rPr>
              <w:t>51.0</w:t>
            </w:r>
          </w:p>
        </w:tc>
        <w:tc>
          <w:tcPr>
            <w:tcW w:w="667" w:type="dxa"/>
            <w:tcBorders>
              <w:top w:val="single" w:sz="4" w:space="0" w:color="BFBFBF"/>
              <w:left w:val="single" w:sz="4" w:space="0" w:color="auto"/>
              <w:bottom w:val="single" w:sz="4" w:space="0" w:color="BFBFBF"/>
              <w:right w:val="nil"/>
            </w:tcBorders>
            <w:vAlign w:val="center"/>
          </w:tcPr>
          <w:p w:rsidR="009571FA" w:rsidRPr="005176F6" w:rsidRDefault="009571FA">
            <w:pPr>
              <w:spacing w:line="276" w:lineRule="auto"/>
              <w:jc w:val="center"/>
              <w:rPr>
                <w:rFonts w:ascii="Calibri" w:hAnsi="Calibri"/>
                <w:lang w:val="es-ES_tradnl"/>
              </w:rPr>
            </w:pPr>
            <w:r w:rsidRPr="005176F6">
              <w:rPr>
                <w:rFonts w:ascii="Calibri" w:hAnsi="Calibri"/>
                <w:lang w:val="es-ES_tradnl"/>
              </w:rPr>
              <w:t>86</w:t>
            </w:r>
          </w:p>
        </w:tc>
        <w:tc>
          <w:tcPr>
            <w:tcW w:w="678" w:type="dxa"/>
            <w:tcBorders>
              <w:top w:val="single" w:sz="4" w:space="0" w:color="BFBFBF"/>
              <w:left w:val="nil"/>
              <w:bottom w:val="single" w:sz="4" w:space="0" w:color="BFBFBF"/>
              <w:right w:val="single" w:sz="4" w:space="0" w:color="auto"/>
            </w:tcBorders>
            <w:vAlign w:val="center"/>
          </w:tcPr>
          <w:p w:rsidR="009571FA" w:rsidRPr="005176F6" w:rsidRDefault="009571FA">
            <w:pPr>
              <w:spacing w:line="276" w:lineRule="auto"/>
              <w:jc w:val="center"/>
              <w:rPr>
                <w:rFonts w:ascii="Calibri" w:hAnsi="Calibri"/>
                <w:lang w:val="es-ES_tradnl"/>
              </w:rPr>
            </w:pPr>
            <w:r w:rsidRPr="005176F6">
              <w:rPr>
                <w:rFonts w:ascii="Calibri" w:hAnsi="Calibri"/>
                <w:lang w:val="es-ES_tradnl"/>
              </w:rPr>
              <w:t>82.7</w:t>
            </w:r>
          </w:p>
        </w:tc>
        <w:tc>
          <w:tcPr>
            <w:tcW w:w="647" w:type="dxa"/>
            <w:tcBorders>
              <w:top w:val="single" w:sz="4" w:space="0" w:color="BFBFBF"/>
              <w:left w:val="single" w:sz="4" w:space="0" w:color="auto"/>
              <w:bottom w:val="single" w:sz="4" w:space="0" w:color="BFBFBF"/>
              <w:right w:val="nil"/>
            </w:tcBorders>
            <w:vAlign w:val="center"/>
          </w:tcPr>
          <w:p w:rsidR="009571FA" w:rsidRPr="005176F6" w:rsidRDefault="009571FA">
            <w:pPr>
              <w:spacing w:line="276" w:lineRule="auto"/>
              <w:jc w:val="center"/>
              <w:rPr>
                <w:rFonts w:ascii="Calibri" w:hAnsi="Calibri"/>
                <w:lang w:val="es-ES_tradnl"/>
              </w:rPr>
            </w:pPr>
            <w:r w:rsidRPr="005176F6">
              <w:rPr>
                <w:rFonts w:ascii="Calibri" w:hAnsi="Calibri"/>
                <w:lang w:val="es-ES_tradnl"/>
              </w:rPr>
              <w:t>4</w:t>
            </w:r>
          </w:p>
        </w:tc>
        <w:tc>
          <w:tcPr>
            <w:tcW w:w="720" w:type="dxa"/>
            <w:tcBorders>
              <w:top w:val="single" w:sz="4" w:space="0" w:color="BFBFBF"/>
              <w:left w:val="nil"/>
              <w:bottom w:val="single" w:sz="4" w:space="0" w:color="BFBFBF"/>
              <w:right w:val="single" w:sz="4" w:space="0" w:color="auto"/>
            </w:tcBorders>
            <w:vAlign w:val="center"/>
          </w:tcPr>
          <w:p w:rsidR="009571FA" w:rsidRPr="005176F6" w:rsidRDefault="009571FA">
            <w:pPr>
              <w:spacing w:line="276" w:lineRule="auto"/>
              <w:jc w:val="center"/>
              <w:rPr>
                <w:rFonts w:ascii="Calibri" w:hAnsi="Calibri"/>
                <w:lang w:val="es-ES_tradnl"/>
              </w:rPr>
            </w:pPr>
            <w:r w:rsidRPr="005176F6">
              <w:rPr>
                <w:rFonts w:ascii="Calibri" w:hAnsi="Calibri"/>
                <w:lang w:val="es-ES_tradnl"/>
              </w:rPr>
              <w:t>3.9</w:t>
            </w:r>
          </w:p>
        </w:tc>
        <w:tc>
          <w:tcPr>
            <w:tcW w:w="720" w:type="dxa"/>
            <w:tcBorders>
              <w:top w:val="single" w:sz="4" w:space="0" w:color="BFBFBF"/>
              <w:left w:val="single" w:sz="4" w:space="0" w:color="auto"/>
              <w:bottom w:val="single" w:sz="4" w:space="0" w:color="BFBFBF"/>
              <w:right w:val="nil"/>
            </w:tcBorders>
            <w:vAlign w:val="center"/>
          </w:tcPr>
          <w:p w:rsidR="009571FA" w:rsidRPr="005176F6" w:rsidRDefault="009571FA">
            <w:pPr>
              <w:spacing w:line="276" w:lineRule="auto"/>
              <w:jc w:val="center"/>
              <w:rPr>
                <w:rFonts w:ascii="Calibri" w:hAnsi="Calibri"/>
                <w:lang w:val="es-ES_tradnl"/>
              </w:rPr>
            </w:pPr>
            <w:r w:rsidRPr="005176F6">
              <w:rPr>
                <w:rFonts w:ascii="Calibri" w:hAnsi="Calibri"/>
                <w:lang w:val="es-ES_tradnl"/>
              </w:rPr>
              <w:t>25</w:t>
            </w:r>
          </w:p>
        </w:tc>
        <w:tc>
          <w:tcPr>
            <w:tcW w:w="540" w:type="dxa"/>
            <w:tcBorders>
              <w:top w:val="single" w:sz="4" w:space="0" w:color="BFBFBF"/>
              <w:left w:val="nil"/>
              <w:bottom w:val="single" w:sz="4" w:space="0" w:color="BFBFBF"/>
              <w:right w:val="single" w:sz="4" w:space="0" w:color="auto"/>
            </w:tcBorders>
            <w:vAlign w:val="center"/>
          </w:tcPr>
          <w:p w:rsidR="009571FA" w:rsidRPr="005176F6" w:rsidRDefault="009571FA">
            <w:pPr>
              <w:spacing w:line="276" w:lineRule="auto"/>
              <w:jc w:val="center"/>
              <w:rPr>
                <w:rFonts w:ascii="Calibri" w:hAnsi="Calibri"/>
                <w:lang w:val="es-ES_tradnl"/>
              </w:rPr>
            </w:pPr>
            <w:r w:rsidRPr="005176F6">
              <w:rPr>
                <w:rFonts w:ascii="Calibri" w:hAnsi="Calibri"/>
                <w:lang w:val="es-ES_tradnl"/>
              </w:rPr>
              <w:t>24.0</w:t>
            </w:r>
          </w:p>
        </w:tc>
        <w:tc>
          <w:tcPr>
            <w:tcW w:w="720" w:type="dxa"/>
            <w:tcBorders>
              <w:top w:val="single" w:sz="4" w:space="0" w:color="BFBFBF"/>
              <w:left w:val="single" w:sz="4" w:space="0" w:color="auto"/>
              <w:bottom w:val="single" w:sz="4" w:space="0" w:color="BFBFBF"/>
              <w:right w:val="nil"/>
            </w:tcBorders>
            <w:vAlign w:val="center"/>
          </w:tcPr>
          <w:p w:rsidR="009571FA" w:rsidRPr="005176F6" w:rsidRDefault="009571FA">
            <w:pPr>
              <w:spacing w:line="276" w:lineRule="auto"/>
              <w:jc w:val="center"/>
              <w:rPr>
                <w:rFonts w:ascii="Calibri" w:hAnsi="Calibri"/>
                <w:lang w:val="es-ES_tradnl"/>
              </w:rPr>
            </w:pPr>
            <w:r w:rsidRPr="005176F6">
              <w:rPr>
                <w:rFonts w:ascii="Calibri" w:hAnsi="Calibri"/>
                <w:lang w:val="es-ES_tradnl"/>
              </w:rPr>
              <w:t>13</w:t>
            </w:r>
          </w:p>
        </w:tc>
        <w:tc>
          <w:tcPr>
            <w:tcW w:w="810" w:type="dxa"/>
            <w:tcBorders>
              <w:top w:val="single" w:sz="4" w:space="0" w:color="BFBFBF"/>
              <w:left w:val="nil"/>
              <w:bottom w:val="single" w:sz="4" w:space="0" w:color="BFBFBF"/>
              <w:right w:val="single" w:sz="4" w:space="0" w:color="auto"/>
            </w:tcBorders>
            <w:vAlign w:val="center"/>
          </w:tcPr>
          <w:p w:rsidR="009571FA" w:rsidRPr="005176F6" w:rsidRDefault="009571FA">
            <w:pPr>
              <w:spacing w:line="276" w:lineRule="auto"/>
              <w:jc w:val="center"/>
              <w:rPr>
                <w:rFonts w:ascii="Calibri" w:hAnsi="Calibri"/>
                <w:lang w:val="es-ES_tradnl"/>
              </w:rPr>
            </w:pPr>
            <w:r w:rsidRPr="005176F6">
              <w:rPr>
                <w:rFonts w:ascii="Calibri" w:hAnsi="Calibri"/>
                <w:lang w:val="es-ES_tradnl"/>
              </w:rPr>
              <w:t>12.5</w:t>
            </w:r>
          </w:p>
        </w:tc>
      </w:tr>
      <w:tr w:rsidR="009571FA" w:rsidRPr="005176F6" w:rsidTr="009C7DAB">
        <w:trPr>
          <w:trHeight w:val="284"/>
          <w:jc w:val="center"/>
        </w:trPr>
        <w:tc>
          <w:tcPr>
            <w:tcW w:w="1408" w:type="dxa"/>
            <w:tcBorders>
              <w:top w:val="single" w:sz="4" w:space="0" w:color="BFBFBF"/>
              <w:left w:val="single" w:sz="4" w:space="0" w:color="auto"/>
              <w:bottom w:val="single" w:sz="4" w:space="0" w:color="auto"/>
              <w:right w:val="single" w:sz="4" w:space="0" w:color="auto"/>
            </w:tcBorders>
            <w:tcMar>
              <w:top w:w="0" w:type="dxa"/>
              <w:left w:w="28" w:type="dxa"/>
              <w:bottom w:w="0" w:type="dxa"/>
              <w:right w:w="28" w:type="dxa"/>
            </w:tcMar>
            <w:vAlign w:val="center"/>
          </w:tcPr>
          <w:p w:rsidR="009571FA" w:rsidRPr="005176F6" w:rsidRDefault="009571FA">
            <w:pPr>
              <w:tabs>
                <w:tab w:val="left" w:pos="253"/>
              </w:tabs>
              <w:spacing w:line="276" w:lineRule="auto"/>
              <w:rPr>
                <w:rFonts w:ascii="Calibri" w:hAnsi="Calibri"/>
                <w:sz w:val="22"/>
                <w:lang w:val="es-ES_tradnl"/>
              </w:rPr>
            </w:pPr>
            <w:r w:rsidRPr="005176F6">
              <w:rPr>
                <w:rFonts w:ascii="Calibri" w:hAnsi="Calibri"/>
                <w:sz w:val="22"/>
                <w:lang w:val="es-ES_tradnl"/>
              </w:rPr>
              <w:tab/>
              <w:t>Other</w:t>
            </w:r>
          </w:p>
        </w:tc>
        <w:tc>
          <w:tcPr>
            <w:tcW w:w="508" w:type="dxa"/>
            <w:tcBorders>
              <w:top w:val="single" w:sz="4" w:space="0" w:color="BFBFBF"/>
              <w:left w:val="single" w:sz="4" w:space="0" w:color="auto"/>
              <w:bottom w:val="single" w:sz="4" w:space="0" w:color="auto"/>
              <w:right w:val="single" w:sz="4" w:space="0" w:color="auto"/>
            </w:tcBorders>
            <w:vAlign w:val="center"/>
          </w:tcPr>
          <w:p w:rsidR="009571FA" w:rsidRPr="005176F6" w:rsidRDefault="009571FA">
            <w:pPr>
              <w:tabs>
                <w:tab w:val="left" w:pos="253"/>
              </w:tabs>
              <w:spacing w:line="276" w:lineRule="auto"/>
              <w:jc w:val="center"/>
              <w:rPr>
                <w:rFonts w:ascii="Calibri" w:hAnsi="Calibri"/>
                <w:lang w:val="es-ES_tradnl"/>
              </w:rPr>
            </w:pPr>
            <w:r w:rsidRPr="005176F6">
              <w:rPr>
                <w:rFonts w:ascii="Calibri" w:hAnsi="Calibri"/>
                <w:lang w:val="es-ES_tradnl"/>
              </w:rPr>
              <w:t>14</w:t>
            </w:r>
          </w:p>
        </w:tc>
        <w:tc>
          <w:tcPr>
            <w:tcW w:w="490" w:type="dxa"/>
            <w:tcBorders>
              <w:top w:val="single" w:sz="4" w:space="0" w:color="BFBFBF"/>
              <w:left w:val="single" w:sz="4" w:space="0" w:color="auto"/>
              <w:bottom w:val="single" w:sz="4" w:space="0" w:color="auto"/>
              <w:right w:val="nil"/>
            </w:tcBorders>
            <w:vAlign w:val="center"/>
          </w:tcPr>
          <w:p w:rsidR="009571FA" w:rsidRPr="005176F6" w:rsidRDefault="009571FA">
            <w:pPr>
              <w:spacing w:line="276" w:lineRule="auto"/>
              <w:jc w:val="center"/>
              <w:rPr>
                <w:rFonts w:ascii="Calibri" w:hAnsi="Calibri"/>
                <w:lang w:val="es-ES_tradnl"/>
              </w:rPr>
            </w:pPr>
            <w:r w:rsidRPr="005176F6">
              <w:rPr>
                <w:rFonts w:ascii="Calibri" w:hAnsi="Calibri"/>
                <w:lang w:val="es-ES_tradnl"/>
              </w:rPr>
              <w:t>7</w:t>
            </w:r>
          </w:p>
        </w:tc>
        <w:tc>
          <w:tcPr>
            <w:tcW w:w="609" w:type="dxa"/>
            <w:tcBorders>
              <w:top w:val="single" w:sz="4" w:space="0" w:color="BFBFBF"/>
              <w:left w:val="nil"/>
              <w:bottom w:val="single" w:sz="4" w:space="0" w:color="auto"/>
              <w:right w:val="single" w:sz="4" w:space="0" w:color="auto"/>
            </w:tcBorders>
            <w:vAlign w:val="center"/>
          </w:tcPr>
          <w:p w:rsidR="009571FA" w:rsidRPr="005176F6" w:rsidRDefault="009571FA">
            <w:pPr>
              <w:spacing w:line="276" w:lineRule="auto"/>
              <w:jc w:val="center"/>
              <w:rPr>
                <w:rFonts w:ascii="Calibri" w:hAnsi="Calibri"/>
                <w:lang w:val="es-ES_tradnl"/>
              </w:rPr>
            </w:pPr>
            <w:r w:rsidRPr="005176F6">
              <w:rPr>
                <w:rFonts w:ascii="Calibri" w:hAnsi="Calibri"/>
                <w:lang w:val="es-ES_tradnl"/>
              </w:rPr>
              <w:t>50.0</w:t>
            </w:r>
          </w:p>
        </w:tc>
        <w:tc>
          <w:tcPr>
            <w:tcW w:w="667" w:type="dxa"/>
            <w:tcBorders>
              <w:top w:val="single" w:sz="4" w:space="0" w:color="BFBFBF"/>
              <w:left w:val="single" w:sz="4" w:space="0" w:color="auto"/>
              <w:bottom w:val="single" w:sz="4" w:space="0" w:color="auto"/>
              <w:right w:val="nil"/>
            </w:tcBorders>
            <w:vAlign w:val="center"/>
          </w:tcPr>
          <w:p w:rsidR="009571FA" w:rsidRPr="005176F6" w:rsidRDefault="009571FA">
            <w:pPr>
              <w:spacing w:line="276" w:lineRule="auto"/>
              <w:jc w:val="center"/>
              <w:rPr>
                <w:rFonts w:ascii="Calibri" w:hAnsi="Calibri"/>
                <w:lang w:val="es-ES_tradnl"/>
              </w:rPr>
            </w:pPr>
            <w:r w:rsidRPr="005176F6">
              <w:rPr>
                <w:rFonts w:ascii="Calibri" w:hAnsi="Calibri"/>
                <w:lang w:val="es-ES_tradnl"/>
              </w:rPr>
              <w:t>12</w:t>
            </w:r>
          </w:p>
        </w:tc>
        <w:tc>
          <w:tcPr>
            <w:tcW w:w="678" w:type="dxa"/>
            <w:tcBorders>
              <w:top w:val="single" w:sz="4" w:space="0" w:color="BFBFBF"/>
              <w:left w:val="nil"/>
              <w:bottom w:val="single" w:sz="4" w:space="0" w:color="auto"/>
              <w:right w:val="single" w:sz="4" w:space="0" w:color="auto"/>
            </w:tcBorders>
            <w:vAlign w:val="center"/>
          </w:tcPr>
          <w:p w:rsidR="009571FA" w:rsidRPr="005176F6" w:rsidRDefault="009571FA">
            <w:pPr>
              <w:spacing w:line="276" w:lineRule="auto"/>
              <w:jc w:val="center"/>
              <w:rPr>
                <w:rFonts w:ascii="Calibri" w:hAnsi="Calibri"/>
                <w:lang w:val="es-ES_tradnl"/>
              </w:rPr>
            </w:pPr>
            <w:r w:rsidRPr="005176F6">
              <w:rPr>
                <w:rFonts w:ascii="Calibri" w:hAnsi="Calibri"/>
                <w:lang w:val="es-ES_tradnl"/>
              </w:rPr>
              <w:t>85.7</w:t>
            </w:r>
          </w:p>
        </w:tc>
        <w:tc>
          <w:tcPr>
            <w:tcW w:w="647" w:type="dxa"/>
            <w:tcBorders>
              <w:top w:val="single" w:sz="4" w:space="0" w:color="BFBFBF"/>
              <w:left w:val="single" w:sz="4" w:space="0" w:color="auto"/>
              <w:bottom w:val="single" w:sz="4" w:space="0" w:color="auto"/>
              <w:right w:val="nil"/>
            </w:tcBorders>
            <w:vAlign w:val="center"/>
          </w:tcPr>
          <w:p w:rsidR="009571FA" w:rsidRPr="005176F6" w:rsidRDefault="009571FA">
            <w:pPr>
              <w:spacing w:line="276" w:lineRule="auto"/>
              <w:jc w:val="center"/>
              <w:rPr>
                <w:rFonts w:ascii="Calibri" w:hAnsi="Calibri"/>
                <w:lang w:val="es-ES_tradnl"/>
              </w:rPr>
            </w:pPr>
            <w:r w:rsidRPr="005176F6">
              <w:rPr>
                <w:rFonts w:ascii="Calibri" w:hAnsi="Calibri"/>
                <w:lang w:val="es-ES_tradnl"/>
              </w:rPr>
              <w:t>3</w:t>
            </w:r>
          </w:p>
        </w:tc>
        <w:tc>
          <w:tcPr>
            <w:tcW w:w="720" w:type="dxa"/>
            <w:tcBorders>
              <w:top w:val="single" w:sz="4" w:space="0" w:color="BFBFBF"/>
              <w:left w:val="nil"/>
              <w:bottom w:val="single" w:sz="4" w:space="0" w:color="auto"/>
              <w:right w:val="single" w:sz="4" w:space="0" w:color="auto"/>
            </w:tcBorders>
            <w:vAlign w:val="center"/>
          </w:tcPr>
          <w:p w:rsidR="009571FA" w:rsidRPr="005176F6" w:rsidRDefault="009571FA">
            <w:pPr>
              <w:spacing w:line="276" w:lineRule="auto"/>
              <w:jc w:val="center"/>
              <w:rPr>
                <w:rFonts w:ascii="Calibri" w:hAnsi="Calibri"/>
                <w:lang w:val="es-ES_tradnl"/>
              </w:rPr>
            </w:pPr>
            <w:r w:rsidRPr="005176F6">
              <w:rPr>
                <w:rFonts w:ascii="Calibri" w:hAnsi="Calibri"/>
                <w:lang w:val="es-ES_tradnl"/>
              </w:rPr>
              <w:t>21.4</w:t>
            </w:r>
          </w:p>
        </w:tc>
        <w:tc>
          <w:tcPr>
            <w:tcW w:w="720" w:type="dxa"/>
            <w:tcBorders>
              <w:top w:val="single" w:sz="4" w:space="0" w:color="BFBFBF"/>
              <w:left w:val="single" w:sz="4" w:space="0" w:color="auto"/>
              <w:bottom w:val="single" w:sz="4" w:space="0" w:color="auto"/>
              <w:right w:val="nil"/>
            </w:tcBorders>
            <w:vAlign w:val="center"/>
          </w:tcPr>
          <w:p w:rsidR="009571FA" w:rsidRPr="005176F6" w:rsidRDefault="009571FA">
            <w:pPr>
              <w:spacing w:line="276" w:lineRule="auto"/>
              <w:jc w:val="center"/>
              <w:rPr>
                <w:rFonts w:ascii="Calibri" w:hAnsi="Calibri"/>
                <w:lang w:val="es-ES_tradnl"/>
              </w:rPr>
            </w:pPr>
            <w:r w:rsidRPr="005176F6">
              <w:rPr>
                <w:rFonts w:ascii="Calibri" w:hAnsi="Calibri"/>
                <w:lang w:val="es-ES_tradnl"/>
              </w:rPr>
              <w:t>5</w:t>
            </w:r>
          </w:p>
        </w:tc>
        <w:tc>
          <w:tcPr>
            <w:tcW w:w="540" w:type="dxa"/>
            <w:tcBorders>
              <w:top w:val="single" w:sz="4" w:space="0" w:color="BFBFBF"/>
              <w:left w:val="nil"/>
              <w:bottom w:val="single" w:sz="4" w:space="0" w:color="auto"/>
              <w:right w:val="single" w:sz="4" w:space="0" w:color="auto"/>
            </w:tcBorders>
            <w:vAlign w:val="center"/>
          </w:tcPr>
          <w:p w:rsidR="009571FA" w:rsidRPr="005176F6" w:rsidRDefault="009571FA">
            <w:pPr>
              <w:spacing w:line="276" w:lineRule="auto"/>
              <w:jc w:val="center"/>
              <w:rPr>
                <w:rFonts w:ascii="Calibri" w:hAnsi="Calibri"/>
                <w:lang w:val="es-ES_tradnl"/>
              </w:rPr>
            </w:pPr>
            <w:r w:rsidRPr="005176F6">
              <w:rPr>
                <w:rFonts w:ascii="Calibri" w:hAnsi="Calibri"/>
                <w:lang w:val="es-ES_tradnl"/>
              </w:rPr>
              <w:t>35.7</w:t>
            </w:r>
          </w:p>
        </w:tc>
        <w:tc>
          <w:tcPr>
            <w:tcW w:w="720" w:type="dxa"/>
            <w:tcBorders>
              <w:top w:val="single" w:sz="4" w:space="0" w:color="BFBFBF"/>
              <w:left w:val="single" w:sz="4" w:space="0" w:color="auto"/>
              <w:bottom w:val="single" w:sz="4" w:space="0" w:color="auto"/>
              <w:right w:val="nil"/>
            </w:tcBorders>
            <w:vAlign w:val="center"/>
          </w:tcPr>
          <w:p w:rsidR="009571FA" w:rsidRPr="005176F6" w:rsidRDefault="009571FA">
            <w:pPr>
              <w:spacing w:line="276" w:lineRule="auto"/>
              <w:jc w:val="center"/>
              <w:rPr>
                <w:rFonts w:ascii="Calibri" w:hAnsi="Calibri"/>
                <w:lang w:val="es-ES_tradnl"/>
              </w:rPr>
            </w:pPr>
            <w:r w:rsidRPr="005176F6">
              <w:rPr>
                <w:rFonts w:ascii="Calibri" w:hAnsi="Calibri"/>
                <w:lang w:val="es-ES_tradnl"/>
              </w:rPr>
              <w:t>1</w:t>
            </w:r>
          </w:p>
        </w:tc>
        <w:tc>
          <w:tcPr>
            <w:tcW w:w="810" w:type="dxa"/>
            <w:tcBorders>
              <w:top w:val="single" w:sz="4" w:space="0" w:color="BFBFBF"/>
              <w:left w:val="nil"/>
              <w:bottom w:val="single" w:sz="4" w:space="0" w:color="auto"/>
              <w:right w:val="single" w:sz="4" w:space="0" w:color="auto"/>
            </w:tcBorders>
            <w:vAlign w:val="center"/>
          </w:tcPr>
          <w:p w:rsidR="009571FA" w:rsidRPr="005176F6" w:rsidRDefault="009571FA">
            <w:pPr>
              <w:spacing w:line="276" w:lineRule="auto"/>
              <w:jc w:val="center"/>
              <w:rPr>
                <w:rFonts w:ascii="Calibri" w:hAnsi="Calibri"/>
                <w:lang w:val="es-ES_tradnl"/>
              </w:rPr>
            </w:pPr>
            <w:r w:rsidRPr="005176F6">
              <w:rPr>
                <w:rFonts w:ascii="Calibri" w:hAnsi="Calibri"/>
                <w:lang w:val="es-ES_tradnl"/>
              </w:rPr>
              <w:t>7.1</w:t>
            </w:r>
          </w:p>
        </w:tc>
      </w:tr>
      <w:tr w:rsidR="009571FA" w:rsidRPr="005176F6" w:rsidTr="009C7DAB">
        <w:trPr>
          <w:trHeight w:val="284"/>
          <w:jc w:val="center"/>
        </w:trPr>
        <w:tc>
          <w:tcPr>
            <w:tcW w:w="1408"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9571FA" w:rsidRPr="005176F6" w:rsidRDefault="009571FA">
            <w:pPr>
              <w:tabs>
                <w:tab w:val="left" w:pos="253"/>
              </w:tabs>
              <w:spacing w:line="276" w:lineRule="auto"/>
              <w:rPr>
                <w:rFonts w:ascii="Calibri" w:hAnsi="Calibri"/>
                <w:sz w:val="22"/>
                <w:lang w:val="es-ES_tradnl"/>
              </w:rPr>
            </w:pPr>
            <w:r w:rsidRPr="005176F6">
              <w:rPr>
                <w:rFonts w:ascii="Calibri" w:hAnsi="Calibri"/>
                <w:sz w:val="22"/>
                <w:lang w:val="es-ES_tradnl"/>
              </w:rPr>
              <w:t xml:space="preserve"> p-value</w:t>
            </w:r>
          </w:p>
        </w:tc>
        <w:tc>
          <w:tcPr>
            <w:tcW w:w="508" w:type="dxa"/>
            <w:tcBorders>
              <w:top w:val="nil"/>
              <w:left w:val="single" w:sz="4" w:space="0" w:color="auto"/>
              <w:bottom w:val="single" w:sz="4" w:space="0" w:color="auto"/>
              <w:right w:val="single" w:sz="4" w:space="0" w:color="auto"/>
            </w:tcBorders>
            <w:vAlign w:val="center"/>
          </w:tcPr>
          <w:p w:rsidR="009571FA" w:rsidRPr="005176F6" w:rsidRDefault="009571FA">
            <w:pPr>
              <w:tabs>
                <w:tab w:val="left" w:pos="253"/>
              </w:tabs>
              <w:spacing w:line="276" w:lineRule="auto"/>
              <w:jc w:val="center"/>
              <w:rPr>
                <w:rFonts w:ascii="Calibri" w:hAnsi="Calibri"/>
                <w:lang w:val="es-ES_tradnl"/>
              </w:rPr>
            </w:pPr>
          </w:p>
        </w:tc>
        <w:tc>
          <w:tcPr>
            <w:tcW w:w="1099" w:type="dxa"/>
            <w:gridSpan w:val="2"/>
            <w:tcBorders>
              <w:top w:val="nil"/>
              <w:left w:val="single" w:sz="4" w:space="0" w:color="auto"/>
              <w:bottom w:val="single" w:sz="4" w:space="0" w:color="auto"/>
              <w:right w:val="single" w:sz="4" w:space="0" w:color="auto"/>
            </w:tcBorders>
            <w:vAlign w:val="center"/>
          </w:tcPr>
          <w:p w:rsidR="009571FA" w:rsidRPr="005176F6" w:rsidRDefault="009571FA">
            <w:pPr>
              <w:spacing w:line="276" w:lineRule="auto"/>
              <w:jc w:val="center"/>
              <w:rPr>
                <w:rFonts w:ascii="Calibri" w:hAnsi="Calibri"/>
                <w:lang w:val="es-ES_tradnl"/>
              </w:rPr>
            </w:pPr>
            <w:r w:rsidRPr="005176F6">
              <w:rPr>
                <w:rFonts w:ascii="Calibri" w:hAnsi="Calibri"/>
                <w:lang w:val="es-ES_tradnl"/>
              </w:rPr>
              <w:t>0.0190</w:t>
            </w:r>
          </w:p>
        </w:tc>
        <w:tc>
          <w:tcPr>
            <w:tcW w:w="1345" w:type="dxa"/>
            <w:gridSpan w:val="2"/>
            <w:tcBorders>
              <w:top w:val="nil"/>
              <w:left w:val="single" w:sz="4" w:space="0" w:color="auto"/>
              <w:bottom w:val="single" w:sz="4" w:space="0" w:color="auto"/>
              <w:right w:val="single" w:sz="4" w:space="0" w:color="auto"/>
            </w:tcBorders>
            <w:vAlign w:val="center"/>
          </w:tcPr>
          <w:p w:rsidR="009571FA" w:rsidRPr="005176F6" w:rsidRDefault="009571FA">
            <w:pPr>
              <w:spacing w:line="276" w:lineRule="auto"/>
              <w:jc w:val="center"/>
              <w:rPr>
                <w:rFonts w:ascii="Calibri" w:hAnsi="Calibri"/>
                <w:lang w:val="es-ES_tradnl"/>
              </w:rPr>
            </w:pPr>
            <w:r w:rsidRPr="005176F6">
              <w:rPr>
                <w:rFonts w:ascii="Calibri" w:hAnsi="Calibri"/>
                <w:lang w:val="es-ES_tradnl"/>
              </w:rPr>
              <w:t>0.1792</w:t>
            </w:r>
          </w:p>
        </w:tc>
        <w:tc>
          <w:tcPr>
            <w:tcW w:w="1367" w:type="dxa"/>
            <w:gridSpan w:val="2"/>
            <w:tcBorders>
              <w:top w:val="nil"/>
              <w:left w:val="single" w:sz="4" w:space="0" w:color="auto"/>
              <w:bottom w:val="single" w:sz="4" w:space="0" w:color="auto"/>
              <w:right w:val="single" w:sz="4" w:space="0" w:color="auto"/>
            </w:tcBorders>
            <w:vAlign w:val="center"/>
          </w:tcPr>
          <w:p w:rsidR="009571FA" w:rsidRPr="005176F6" w:rsidRDefault="009571FA">
            <w:pPr>
              <w:spacing w:line="276" w:lineRule="auto"/>
              <w:jc w:val="center"/>
              <w:rPr>
                <w:rFonts w:ascii="Calibri" w:hAnsi="Calibri"/>
                <w:lang w:val="es-ES_tradnl"/>
              </w:rPr>
            </w:pPr>
            <w:r w:rsidRPr="005176F6">
              <w:rPr>
                <w:rFonts w:ascii="Calibri" w:hAnsi="Calibri"/>
                <w:lang w:val="es-ES_tradnl"/>
              </w:rPr>
              <w:t>0.0564</w:t>
            </w:r>
          </w:p>
        </w:tc>
        <w:tc>
          <w:tcPr>
            <w:tcW w:w="1260" w:type="dxa"/>
            <w:gridSpan w:val="2"/>
            <w:tcBorders>
              <w:top w:val="nil"/>
              <w:left w:val="single" w:sz="4" w:space="0" w:color="auto"/>
              <w:bottom w:val="single" w:sz="4" w:space="0" w:color="auto"/>
              <w:right w:val="single" w:sz="4" w:space="0" w:color="auto"/>
            </w:tcBorders>
            <w:vAlign w:val="center"/>
          </w:tcPr>
          <w:p w:rsidR="009571FA" w:rsidRPr="005176F6" w:rsidRDefault="009571FA">
            <w:pPr>
              <w:spacing w:line="276" w:lineRule="auto"/>
              <w:jc w:val="center"/>
              <w:rPr>
                <w:rFonts w:ascii="Calibri" w:hAnsi="Calibri"/>
                <w:lang w:val="es-ES_tradnl"/>
              </w:rPr>
            </w:pPr>
            <w:r w:rsidRPr="005176F6">
              <w:rPr>
                <w:rFonts w:ascii="Calibri" w:hAnsi="Calibri"/>
                <w:lang w:val="es-ES_tradnl"/>
              </w:rPr>
              <w:t>0.0001</w:t>
            </w:r>
          </w:p>
        </w:tc>
        <w:tc>
          <w:tcPr>
            <w:tcW w:w="1530" w:type="dxa"/>
            <w:gridSpan w:val="2"/>
            <w:tcBorders>
              <w:top w:val="nil"/>
              <w:left w:val="single" w:sz="4" w:space="0" w:color="auto"/>
              <w:bottom w:val="single" w:sz="4" w:space="0" w:color="auto"/>
              <w:right w:val="single" w:sz="4" w:space="0" w:color="auto"/>
            </w:tcBorders>
            <w:vAlign w:val="center"/>
          </w:tcPr>
          <w:p w:rsidR="009571FA" w:rsidRPr="005176F6" w:rsidRDefault="009571FA">
            <w:pPr>
              <w:spacing w:line="276" w:lineRule="auto"/>
              <w:jc w:val="center"/>
              <w:rPr>
                <w:rFonts w:ascii="Calibri" w:hAnsi="Calibri"/>
                <w:lang w:val="es-ES_tradnl"/>
              </w:rPr>
            </w:pPr>
            <w:r w:rsidRPr="005176F6">
              <w:rPr>
                <w:rFonts w:ascii="Calibri" w:hAnsi="Calibri"/>
                <w:lang w:val="es-ES_tradnl"/>
              </w:rPr>
              <w:t>0.1221</w:t>
            </w:r>
          </w:p>
        </w:tc>
      </w:tr>
    </w:tbl>
    <w:p w:rsidR="009571FA" w:rsidRDefault="009571FA" w:rsidP="00314F84">
      <w:pPr>
        <w:pStyle w:val="ListParagraph"/>
        <w:jc w:val="both"/>
        <w:rPr>
          <w:i/>
          <w:sz w:val="32"/>
        </w:rPr>
      </w:pPr>
    </w:p>
    <w:p w:rsidR="00C00796" w:rsidRDefault="00C00796" w:rsidP="00314F84">
      <w:pPr>
        <w:pStyle w:val="ListParagraph"/>
        <w:jc w:val="both"/>
        <w:rPr>
          <w:i/>
          <w:sz w:val="32"/>
        </w:rPr>
      </w:pPr>
    </w:p>
    <w:p w:rsidR="00C00796" w:rsidRDefault="00C00796" w:rsidP="00581596">
      <w:pPr>
        <w:pStyle w:val="ListParagraph"/>
        <w:numPr>
          <w:ilvl w:val="0"/>
          <w:numId w:val="3"/>
        </w:numPr>
        <w:jc w:val="both"/>
        <w:rPr>
          <w:i/>
          <w:sz w:val="22"/>
        </w:rPr>
      </w:pPr>
      <w:r>
        <w:rPr>
          <w:i/>
          <w:sz w:val="22"/>
        </w:rPr>
        <w:t>D</w:t>
      </w:r>
      <w:r w:rsidRPr="00DF1CDC">
        <w:rPr>
          <w:i/>
          <w:sz w:val="22"/>
        </w:rPr>
        <w:t xml:space="preserve">ifferentials by WHO Region </w:t>
      </w:r>
    </w:p>
    <w:p w:rsidR="00C00796" w:rsidRPr="006B166F" w:rsidRDefault="00C00796" w:rsidP="00C00796">
      <w:pPr>
        <w:pStyle w:val="ListParagraph"/>
        <w:ind w:left="360"/>
        <w:jc w:val="both"/>
        <w:rPr>
          <w:i/>
          <w:sz w:val="4"/>
        </w:rPr>
      </w:pPr>
    </w:p>
    <w:p w:rsidR="00C00796" w:rsidRDefault="00C00796" w:rsidP="00C00796">
      <w:pPr>
        <w:pStyle w:val="ListParagraph"/>
        <w:ind w:left="0"/>
        <w:jc w:val="both"/>
        <w:rPr>
          <w:sz w:val="22"/>
        </w:rPr>
      </w:pPr>
      <w:r w:rsidRPr="00D8519A">
        <w:rPr>
          <w:sz w:val="22"/>
        </w:rPr>
        <w:t xml:space="preserve">The </w:t>
      </w:r>
      <w:r>
        <w:rPr>
          <w:sz w:val="22"/>
        </w:rPr>
        <w:t xml:space="preserve">inter-regional </w:t>
      </w:r>
      <w:r w:rsidRPr="00D8519A">
        <w:rPr>
          <w:sz w:val="22"/>
        </w:rPr>
        <w:t xml:space="preserve">differences </w:t>
      </w:r>
      <w:r>
        <w:rPr>
          <w:sz w:val="22"/>
        </w:rPr>
        <w:t xml:space="preserve">in </w:t>
      </w:r>
      <w:r w:rsidRPr="00D8519A">
        <w:rPr>
          <w:sz w:val="22"/>
        </w:rPr>
        <w:t xml:space="preserve">awareness of </w:t>
      </w:r>
      <w:r w:rsidRPr="001F2046">
        <w:rPr>
          <w:b/>
          <w:sz w:val="22"/>
        </w:rPr>
        <w:t xml:space="preserve">at least one </w:t>
      </w:r>
      <w:r w:rsidRPr="00D8519A">
        <w:rPr>
          <w:sz w:val="22"/>
        </w:rPr>
        <w:t xml:space="preserve">WHO gender policy/strategy </w:t>
      </w:r>
      <w:r>
        <w:rPr>
          <w:sz w:val="22"/>
        </w:rPr>
        <w:t xml:space="preserve">were statistically </w:t>
      </w:r>
      <w:r w:rsidRPr="00D8519A">
        <w:rPr>
          <w:sz w:val="22"/>
        </w:rPr>
        <w:t xml:space="preserve">significant </w:t>
      </w:r>
      <w:r>
        <w:rPr>
          <w:sz w:val="22"/>
        </w:rPr>
        <w:t xml:space="preserve">at the 0.0001 level </w:t>
      </w:r>
      <w:r w:rsidRPr="00D8519A">
        <w:rPr>
          <w:sz w:val="22"/>
        </w:rPr>
        <w:t>(Table 1</w:t>
      </w:r>
      <w:r>
        <w:rPr>
          <w:sz w:val="22"/>
        </w:rPr>
        <w:t>,</w:t>
      </w:r>
      <w:r w:rsidRPr="00D8519A">
        <w:rPr>
          <w:sz w:val="22"/>
        </w:rPr>
        <w:t xml:space="preserve"> Appendix 1). PAHO</w:t>
      </w:r>
      <w:r>
        <w:rPr>
          <w:sz w:val="22"/>
        </w:rPr>
        <w:t xml:space="preserve">’s awareness score (93%) was well above </w:t>
      </w:r>
      <w:r w:rsidRPr="00D8519A">
        <w:rPr>
          <w:sz w:val="22"/>
        </w:rPr>
        <w:t>WHO</w:t>
      </w:r>
      <w:r>
        <w:rPr>
          <w:sz w:val="22"/>
        </w:rPr>
        <w:t>’s</w:t>
      </w:r>
      <w:r w:rsidRPr="00D8519A">
        <w:rPr>
          <w:sz w:val="22"/>
        </w:rPr>
        <w:t xml:space="preserve"> average </w:t>
      </w:r>
      <w:r>
        <w:rPr>
          <w:sz w:val="22"/>
        </w:rPr>
        <w:t xml:space="preserve">(79%), </w:t>
      </w:r>
      <w:r w:rsidRPr="00D8519A">
        <w:rPr>
          <w:b/>
          <w:sz w:val="22"/>
        </w:rPr>
        <w:t>rank</w:t>
      </w:r>
      <w:r>
        <w:rPr>
          <w:b/>
          <w:sz w:val="22"/>
        </w:rPr>
        <w:t xml:space="preserve">ing </w:t>
      </w:r>
      <w:r w:rsidRPr="00D8519A">
        <w:rPr>
          <w:b/>
          <w:sz w:val="22"/>
        </w:rPr>
        <w:t>first</w:t>
      </w:r>
      <w:r>
        <w:rPr>
          <w:b/>
          <w:sz w:val="22"/>
        </w:rPr>
        <w:t xml:space="preserve"> </w:t>
      </w:r>
      <w:r w:rsidRPr="00D8519A">
        <w:rPr>
          <w:sz w:val="22"/>
        </w:rPr>
        <w:t xml:space="preserve">among </w:t>
      </w:r>
      <w:r>
        <w:rPr>
          <w:sz w:val="22"/>
        </w:rPr>
        <w:t xml:space="preserve">all </w:t>
      </w:r>
      <w:r w:rsidR="007850B3">
        <w:rPr>
          <w:sz w:val="22"/>
        </w:rPr>
        <w:t>R</w:t>
      </w:r>
      <w:r w:rsidRPr="00D8519A">
        <w:rPr>
          <w:sz w:val="22"/>
        </w:rPr>
        <w:t>egions</w:t>
      </w:r>
      <w:r w:rsidR="007850B3">
        <w:rPr>
          <w:sz w:val="22"/>
        </w:rPr>
        <w:t xml:space="preserve"> and WHO/HQ</w:t>
      </w:r>
      <w:r>
        <w:rPr>
          <w:sz w:val="22"/>
        </w:rPr>
        <w:t xml:space="preserve">. PAHO </w:t>
      </w:r>
      <w:r w:rsidRPr="00D8519A">
        <w:rPr>
          <w:sz w:val="22"/>
        </w:rPr>
        <w:t xml:space="preserve">was followed </w:t>
      </w:r>
      <w:r>
        <w:rPr>
          <w:sz w:val="22"/>
        </w:rPr>
        <w:t>distantly by WPRO (80%); and EURO &amp;</w:t>
      </w:r>
      <w:r w:rsidRPr="00D8519A">
        <w:rPr>
          <w:sz w:val="22"/>
        </w:rPr>
        <w:t xml:space="preserve"> WHO/</w:t>
      </w:r>
      <w:r>
        <w:rPr>
          <w:sz w:val="22"/>
        </w:rPr>
        <w:t xml:space="preserve"> HQ (78</w:t>
      </w:r>
      <w:r w:rsidRPr="00D8519A">
        <w:rPr>
          <w:sz w:val="22"/>
        </w:rPr>
        <w:t>%</w:t>
      </w:r>
      <w:r>
        <w:rPr>
          <w:sz w:val="22"/>
        </w:rPr>
        <w:t>)</w:t>
      </w:r>
      <w:r w:rsidRPr="00D8519A">
        <w:rPr>
          <w:sz w:val="22"/>
        </w:rPr>
        <w:t xml:space="preserve"> (See Figure 1). </w:t>
      </w:r>
    </w:p>
    <w:p w:rsidR="009571FA" w:rsidRPr="00951E57" w:rsidRDefault="009571FA" w:rsidP="00FF7B8C">
      <w:pPr>
        <w:pStyle w:val="ListParagraph"/>
        <w:rPr>
          <w:b/>
          <w:sz w:val="2"/>
          <w:szCs w:val="20"/>
        </w:rPr>
      </w:pPr>
    </w:p>
    <w:p w:rsidR="00C00796" w:rsidRDefault="00C00796" w:rsidP="00FF7B8C">
      <w:pPr>
        <w:pStyle w:val="ListParagraph"/>
        <w:rPr>
          <w:b/>
          <w:sz w:val="22"/>
          <w:szCs w:val="20"/>
        </w:rPr>
      </w:pPr>
    </w:p>
    <w:p w:rsidR="00C00796" w:rsidRDefault="00C00796" w:rsidP="00FF7B8C">
      <w:pPr>
        <w:pStyle w:val="ListParagraph"/>
        <w:rPr>
          <w:b/>
          <w:sz w:val="22"/>
          <w:szCs w:val="20"/>
        </w:rPr>
      </w:pPr>
    </w:p>
    <w:p w:rsidR="00C00796" w:rsidRDefault="00C00796" w:rsidP="00FF7B8C">
      <w:pPr>
        <w:pStyle w:val="ListParagraph"/>
        <w:rPr>
          <w:b/>
          <w:sz w:val="22"/>
          <w:szCs w:val="20"/>
        </w:rPr>
      </w:pPr>
    </w:p>
    <w:p w:rsidR="007850B3" w:rsidRDefault="007850B3" w:rsidP="00FF7B8C">
      <w:pPr>
        <w:pStyle w:val="ListParagraph"/>
        <w:rPr>
          <w:b/>
          <w:sz w:val="22"/>
          <w:szCs w:val="20"/>
        </w:rPr>
      </w:pPr>
    </w:p>
    <w:p w:rsidR="00C00796" w:rsidRDefault="00C00796" w:rsidP="00FF7B8C">
      <w:pPr>
        <w:pStyle w:val="ListParagraph"/>
        <w:rPr>
          <w:b/>
          <w:sz w:val="22"/>
          <w:szCs w:val="20"/>
        </w:rPr>
      </w:pPr>
    </w:p>
    <w:p w:rsidR="009571FA" w:rsidRDefault="009571FA" w:rsidP="00FF7B8C">
      <w:pPr>
        <w:pStyle w:val="ListParagraph"/>
        <w:rPr>
          <w:szCs w:val="20"/>
        </w:rPr>
      </w:pPr>
      <w:r w:rsidRPr="00D46677">
        <w:rPr>
          <w:b/>
          <w:sz w:val="22"/>
          <w:szCs w:val="20"/>
        </w:rPr>
        <w:t>Figure 1:</w:t>
      </w:r>
      <w:r w:rsidRPr="00D46677">
        <w:rPr>
          <w:sz w:val="22"/>
          <w:szCs w:val="20"/>
        </w:rPr>
        <w:t xml:space="preserve"> </w:t>
      </w:r>
      <w:r w:rsidRPr="0073360A">
        <w:rPr>
          <w:szCs w:val="20"/>
        </w:rPr>
        <w:t xml:space="preserve">Percentage of WHO staff members who reported awareness of at </w:t>
      </w:r>
    </w:p>
    <w:p w:rsidR="009571FA" w:rsidRDefault="009571FA" w:rsidP="00C00796">
      <w:pPr>
        <w:pStyle w:val="ListParagraph"/>
      </w:pPr>
      <w:r w:rsidRPr="0073360A">
        <w:rPr>
          <w:szCs w:val="20"/>
        </w:rPr>
        <w:t xml:space="preserve">least one of WHOs Regional Gender Policies and Strategies, by Region, 2008. </w:t>
      </w:r>
      <w:r w:rsidR="00C173AA">
        <w:rPr>
          <w:noProof/>
          <w:lang w:val="en-US"/>
        </w:rPr>
        <w:drawing>
          <wp:inline distT="0" distB="0" distL="0" distR="0">
            <wp:extent cx="4648200" cy="24174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4648200" cy="2417445"/>
                    </a:xfrm>
                    <a:prstGeom prst="rect">
                      <a:avLst/>
                    </a:prstGeom>
                    <a:noFill/>
                    <a:ln w="9525">
                      <a:noFill/>
                      <a:miter lim="800000"/>
                      <a:headEnd/>
                      <a:tailEnd/>
                    </a:ln>
                  </pic:spPr>
                </pic:pic>
              </a:graphicData>
            </a:graphic>
          </wp:inline>
        </w:drawing>
      </w:r>
    </w:p>
    <w:p w:rsidR="009571FA" w:rsidRDefault="009571FA" w:rsidP="006F2590">
      <w:pPr>
        <w:pStyle w:val="ListParagraph"/>
        <w:ind w:left="1440"/>
        <w:rPr>
          <w:b/>
          <w:sz w:val="22"/>
        </w:rPr>
      </w:pPr>
    </w:p>
    <w:p w:rsidR="009571FA" w:rsidRDefault="009571FA" w:rsidP="00581596">
      <w:pPr>
        <w:pStyle w:val="ListParagraph"/>
        <w:numPr>
          <w:ilvl w:val="1"/>
          <w:numId w:val="44"/>
        </w:numPr>
        <w:jc w:val="both"/>
        <w:rPr>
          <w:b/>
          <w:sz w:val="22"/>
        </w:rPr>
      </w:pPr>
      <w:r>
        <w:rPr>
          <w:b/>
          <w:sz w:val="22"/>
        </w:rPr>
        <w:t xml:space="preserve"> </w:t>
      </w:r>
      <w:r w:rsidRPr="0073360A">
        <w:rPr>
          <w:b/>
          <w:sz w:val="22"/>
        </w:rPr>
        <w:t>Knowledge of gender concepts</w:t>
      </w:r>
    </w:p>
    <w:p w:rsidR="009571FA" w:rsidRPr="001D6630" w:rsidRDefault="009571FA" w:rsidP="00415105">
      <w:pPr>
        <w:pStyle w:val="ListParagraph"/>
        <w:ind w:left="0"/>
        <w:jc w:val="both"/>
        <w:rPr>
          <w:sz w:val="8"/>
        </w:rPr>
      </w:pPr>
    </w:p>
    <w:p w:rsidR="00C00796" w:rsidRDefault="009571FA" w:rsidP="00415105">
      <w:pPr>
        <w:pStyle w:val="ListParagraph"/>
        <w:ind w:left="0"/>
        <w:jc w:val="both"/>
        <w:rPr>
          <w:sz w:val="22"/>
        </w:rPr>
      </w:pPr>
      <w:r w:rsidRPr="00D8519A">
        <w:rPr>
          <w:sz w:val="22"/>
        </w:rPr>
        <w:t>Th</w:t>
      </w:r>
      <w:r>
        <w:rPr>
          <w:sz w:val="22"/>
        </w:rPr>
        <w:t xml:space="preserve">e level of knowledge in gender was categorized in terms of </w:t>
      </w:r>
      <w:r w:rsidRPr="00D8519A">
        <w:rPr>
          <w:sz w:val="22"/>
        </w:rPr>
        <w:t xml:space="preserve">“none”, “some” and “good knowledge”, </w:t>
      </w:r>
      <w:r>
        <w:rPr>
          <w:sz w:val="22"/>
        </w:rPr>
        <w:t xml:space="preserve">according to the </w:t>
      </w:r>
      <w:r w:rsidRPr="00D8519A">
        <w:rPr>
          <w:sz w:val="22"/>
        </w:rPr>
        <w:t xml:space="preserve">scores assigned to </w:t>
      </w:r>
      <w:r>
        <w:rPr>
          <w:sz w:val="22"/>
        </w:rPr>
        <w:t>the responses given to four questions in the E- Survey dealing with the concepts of sex, gender, and gender mainstreaming.</w:t>
      </w:r>
      <w:r w:rsidR="00EF6EC8">
        <w:rPr>
          <w:sz w:val="22"/>
        </w:rPr>
        <w:t xml:space="preserve"> </w:t>
      </w:r>
      <w:r>
        <w:rPr>
          <w:sz w:val="22"/>
        </w:rPr>
        <w:t>T</w:t>
      </w:r>
      <w:r w:rsidRPr="006F2590">
        <w:rPr>
          <w:sz w:val="22"/>
        </w:rPr>
        <w:t xml:space="preserve">he proportion of PAHO staff with “good knowledge” of gender concepts was </w:t>
      </w:r>
      <w:r w:rsidRPr="00EE01EA">
        <w:rPr>
          <w:b/>
          <w:sz w:val="22"/>
        </w:rPr>
        <w:t>63%.</w:t>
      </w:r>
      <w:r w:rsidRPr="006F2590">
        <w:rPr>
          <w:sz w:val="22"/>
        </w:rPr>
        <w:t xml:space="preserve"> </w:t>
      </w:r>
      <w:r>
        <w:rPr>
          <w:sz w:val="22"/>
        </w:rPr>
        <w:t>And in the more encompassing category of</w:t>
      </w:r>
      <w:r w:rsidRPr="00D8519A">
        <w:rPr>
          <w:sz w:val="22"/>
        </w:rPr>
        <w:t xml:space="preserve"> </w:t>
      </w:r>
      <w:r>
        <w:rPr>
          <w:sz w:val="22"/>
        </w:rPr>
        <w:t xml:space="preserve">“some + </w:t>
      </w:r>
      <w:r w:rsidRPr="00D8519A">
        <w:rPr>
          <w:sz w:val="22"/>
        </w:rPr>
        <w:t>good knowledge”</w:t>
      </w:r>
      <w:r>
        <w:rPr>
          <w:sz w:val="22"/>
        </w:rPr>
        <w:t xml:space="preserve">, the corresponding proportion </w:t>
      </w:r>
      <w:r w:rsidRPr="00D8519A">
        <w:rPr>
          <w:sz w:val="22"/>
        </w:rPr>
        <w:t xml:space="preserve">was 97.4%.  </w:t>
      </w:r>
    </w:p>
    <w:p w:rsidR="00CB6A03" w:rsidRDefault="00CB6A03" w:rsidP="00415105">
      <w:pPr>
        <w:pStyle w:val="ListParagraph"/>
        <w:ind w:left="0"/>
        <w:jc w:val="both"/>
        <w:rPr>
          <w:sz w:val="22"/>
        </w:rPr>
      </w:pPr>
    </w:p>
    <w:p w:rsidR="009571FA" w:rsidRDefault="009571FA" w:rsidP="00314F84">
      <w:pPr>
        <w:pStyle w:val="ListParagraph"/>
        <w:ind w:left="1080"/>
        <w:rPr>
          <w:sz w:val="22"/>
        </w:rPr>
      </w:pPr>
      <w:r>
        <w:rPr>
          <w:b/>
          <w:sz w:val="22"/>
        </w:rPr>
        <w:t>T</w:t>
      </w:r>
      <w:r w:rsidRPr="000F72B5">
        <w:rPr>
          <w:b/>
          <w:sz w:val="22"/>
        </w:rPr>
        <w:t>able 3.</w:t>
      </w:r>
      <w:r>
        <w:rPr>
          <w:sz w:val="22"/>
        </w:rPr>
        <w:t xml:space="preserve"> Percent distribution of PAHO/WHO staff according to level of             knowledge of gender concepts, by sex and grade. 2008</w:t>
      </w:r>
    </w:p>
    <w:p w:rsidR="009571FA" w:rsidRDefault="009571FA" w:rsidP="00683981">
      <w:pPr>
        <w:pStyle w:val="ListParagraph"/>
        <w:ind w:left="0"/>
        <w:rPr>
          <w:sz w:val="22"/>
        </w:rPr>
      </w:pPr>
    </w:p>
    <w:tbl>
      <w:tblPr>
        <w:tblW w:w="0" w:type="auto"/>
        <w:jc w:val="center"/>
        <w:tblInd w:w="-141" w:type="dxa"/>
        <w:tblLook w:val="00BF"/>
      </w:tblPr>
      <w:tblGrid>
        <w:gridCol w:w="2000"/>
        <w:gridCol w:w="641"/>
        <w:gridCol w:w="518"/>
        <w:gridCol w:w="759"/>
        <w:gridCol w:w="654"/>
        <w:gridCol w:w="990"/>
        <w:gridCol w:w="266"/>
        <w:gridCol w:w="485"/>
        <w:gridCol w:w="884"/>
      </w:tblGrid>
      <w:tr w:rsidR="009571FA" w:rsidRPr="000F72B5" w:rsidTr="000F72B5">
        <w:trPr>
          <w:trHeight w:val="340"/>
          <w:jc w:val="center"/>
        </w:trPr>
        <w:tc>
          <w:tcPr>
            <w:tcW w:w="2000" w:type="dxa"/>
            <w:vMerge w:val="restart"/>
            <w:tcBorders>
              <w:top w:val="single" w:sz="4" w:space="0" w:color="auto"/>
              <w:left w:val="single" w:sz="4" w:space="0" w:color="auto"/>
              <w:bottom w:val="single" w:sz="4" w:space="0" w:color="auto"/>
              <w:right w:val="single" w:sz="4" w:space="0" w:color="auto"/>
            </w:tcBorders>
            <w:shd w:val="clear" w:color="auto" w:fill="C6D9F1"/>
            <w:tcMar>
              <w:top w:w="0" w:type="dxa"/>
              <w:left w:w="28" w:type="dxa"/>
              <w:bottom w:w="0" w:type="dxa"/>
              <w:right w:w="28" w:type="dxa"/>
            </w:tcMar>
            <w:vAlign w:val="center"/>
          </w:tcPr>
          <w:p w:rsidR="009571FA" w:rsidRPr="00314F84" w:rsidRDefault="009571FA">
            <w:pPr>
              <w:tabs>
                <w:tab w:val="left" w:pos="253"/>
              </w:tabs>
              <w:spacing w:line="276" w:lineRule="auto"/>
              <w:rPr>
                <w:rFonts w:ascii="Calibri" w:hAnsi="Calibri"/>
                <w:b/>
                <w:sz w:val="22"/>
                <w:lang w:val="en-US"/>
              </w:rPr>
            </w:pPr>
            <w:r w:rsidRPr="00314F84">
              <w:rPr>
                <w:rFonts w:ascii="Calibri" w:hAnsi="Calibri"/>
                <w:b/>
                <w:sz w:val="22"/>
                <w:lang w:val="en-US"/>
              </w:rPr>
              <w:t xml:space="preserve"> </w:t>
            </w:r>
          </w:p>
          <w:p w:rsidR="009571FA" w:rsidRPr="000F72B5" w:rsidRDefault="009571FA" w:rsidP="00EC2DF7">
            <w:pPr>
              <w:tabs>
                <w:tab w:val="left" w:pos="253"/>
              </w:tabs>
              <w:spacing w:line="276" w:lineRule="auto"/>
              <w:rPr>
                <w:rFonts w:ascii="Calibri" w:hAnsi="Calibri"/>
                <w:b/>
                <w:sz w:val="22"/>
                <w:lang w:val="es-ES_tradnl"/>
              </w:rPr>
            </w:pPr>
            <w:r>
              <w:rPr>
                <w:rFonts w:ascii="Calibri" w:hAnsi="Calibri"/>
                <w:b/>
                <w:sz w:val="22"/>
                <w:lang w:val="es-ES_tradnl"/>
              </w:rPr>
              <w:t xml:space="preserve">Gender </w:t>
            </w:r>
            <w:r w:rsidRPr="000F72B5">
              <w:rPr>
                <w:rFonts w:ascii="Calibri" w:hAnsi="Calibri"/>
                <w:b/>
                <w:sz w:val="22"/>
                <w:lang w:val="es-ES_tradnl"/>
              </w:rPr>
              <w:t xml:space="preserve">Knowledge </w:t>
            </w:r>
          </w:p>
          <w:p w:rsidR="009571FA" w:rsidRPr="000F72B5" w:rsidRDefault="009571FA">
            <w:pPr>
              <w:tabs>
                <w:tab w:val="left" w:pos="253"/>
              </w:tabs>
              <w:spacing w:line="276" w:lineRule="auto"/>
              <w:rPr>
                <w:rFonts w:ascii="Calibri" w:hAnsi="Calibri"/>
                <w:b/>
                <w:sz w:val="22"/>
                <w:lang w:val="es-ES_tradnl"/>
              </w:rPr>
            </w:pPr>
          </w:p>
        </w:tc>
        <w:tc>
          <w:tcPr>
            <w:tcW w:w="641"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9571FA" w:rsidRPr="000F72B5" w:rsidRDefault="009571FA">
            <w:pPr>
              <w:tabs>
                <w:tab w:val="left" w:pos="253"/>
              </w:tabs>
              <w:spacing w:line="276" w:lineRule="auto"/>
              <w:jc w:val="center"/>
              <w:rPr>
                <w:rFonts w:ascii="Calibri" w:hAnsi="Calibri"/>
                <w:sz w:val="22"/>
                <w:lang w:val="es-ES_tradnl"/>
              </w:rPr>
            </w:pPr>
            <w:r w:rsidRPr="000F72B5">
              <w:rPr>
                <w:rFonts w:ascii="Calibri" w:hAnsi="Calibri"/>
                <w:sz w:val="22"/>
                <w:lang w:val="es-ES_tradnl"/>
              </w:rPr>
              <w:t>N</w:t>
            </w:r>
          </w:p>
        </w:tc>
        <w:tc>
          <w:tcPr>
            <w:tcW w:w="1229" w:type="dxa"/>
            <w:gridSpan w:val="2"/>
            <w:tcBorders>
              <w:top w:val="single" w:sz="4" w:space="0" w:color="auto"/>
              <w:left w:val="single" w:sz="4" w:space="0" w:color="auto"/>
              <w:bottom w:val="single" w:sz="4" w:space="0" w:color="auto"/>
              <w:right w:val="single" w:sz="4" w:space="0" w:color="auto"/>
            </w:tcBorders>
            <w:shd w:val="clear" w:color="auto" w:fill="C6D9F1"/>
            <w:vAlign w:val="center"/>
          </w:tcPr>
          <w:p w:rsidR="009571FA" w:rsidRPr="000F72B5" w:rsidRDefault="009571FA">
            <w:pPr>
              <w:spacing w:line="276" w:lineRule="auto"/>
              <w:jc w:val="center"/>
              <w:rPr>
                <w:rFonts w:ascii="Calibri" w:hAnsi="Calibri"/>
                <w:b/>
                <w:sz w:val="22"/>
                <w:lang w:val="es-ES_tradnl"/>
              </w:rPr>
            </w:pPr>
            <w:r w:rsidRPr="000F72B5">
              <w:rPr>
                <w:rFonts w:ascii="Calibri" w:hAnsi="Calibri"/>
                <w:b/>
                <w:sz w:val="22"/>
                <w:lang w:val="es-ES_tradnl"/>
              </w:rPr>
              <w:t>No Knowledge</w:t>
            </w:r>
          </w:p>
        </w:tc>
        <w:tc>
          <w:tcPr>
            <w:tcW w:w="1644" w:type="dxa"/>
            <w:gridSpan w:val="2"/>
            <w:tcBorders>
              <w:top w:val="single" w:sz="4" w:space="0" w:color="auto"/>
              <w:left w:val="single" w:sz="4" w:space="0" w:color="auto"/>
              <w:bottom w:val="single" w:sz="4" w:space="0" w:color="auto"/>
              <w:right w:val="single" w:sz="4" w:space="0" w:color="auto"/>
            </w:tcBorders>
            <w:shd w:val="clear" w:color="auto" w:fill="C6D9F1"/>
            <w:vAlign w:val="center"/>
          </w:tcPr>
          <w:p w:rsidR="009571FA" w:rsidRPr="000F72B5" w:rsidRDefault="009571FA">
            <w:pPr>
              <w:spacing w:line="276" w:lineRule="auto"/>
              <w:jc w:val="center"/>
              <w:rPr>
                <w:rFonts w:ascii="Calibri" w:hAnsi="Calibri"/>
                <w:b/>
                <w:sz w:val="22"/>
                <w:lang w:val="es-ES_tradnl"/>
              </w:rPr>
            </w:pPr>
            <w:r w:rsidRPr="000F72B5">
              <w:rPr>
                <w:rFonts w:ascii="Calibri" w:hAnsi="Calibri"/>
                <w:b/>
                <w:sz w:val="22"/>
                <w:lang w:val="es-ES_tradnl"/>
              </w:rPr>
              <w:t>Some Knowledge</w:t>
            </w:r>
          </w:p>
        </w:tc>
        <w:tc>
          <w:tcPr>
            <w:tcW w:w="1635" w:type="dxa"/>
            <w:gridSpan w:val="3"/>
            <w:tcBorders>
              <w:top w:val="single" w:sz="4" w:space="0" w:color="auto"/>
              <w:left w:val="single" w:sz="4" w:space="0" w:color="auto"/>
              <w:bottom w:val="single" w:sz="4" w:space="0" w:color="auto"/>
              <w:right w:val="single" w:sz="4" w:space="0" w:color="auto"/>
            </w:tcBorders>
            <w:shd w:val="clear" w:color="auto" w:fill="C6D9F1"/>
            <w:vAlign w:val="center"/>
          </w:tcPr>
          <w:p w:rsidR="009571FA" w:rsidRPr="000F72B5" w:rsidRDefault="009571FA">
            <w:pPr>
              <w:spacing w:line="276" w:lineRule="auto"/>
              <w:jc w:val="center"/>
              <w:rPr>
                <w:rFonts w:ascii="Calibri" w:hAnsi="Calibri"/>
                <w:b/>
                <w:sz w:val="22"/>
                <w:lang w:val="es-ES_tradnl"/>
              </w:rPr>
            </w:pPr>
            <w:r w:rsidRPr="000F72B5">
              <w:rPr>
                <w:rFonts w:ascii="Calibri" w:hAnsi="Calibri"/>
                <w:b/>
                <w:sz w:val="22"/>
                <w:lang w:val="es-ES_tradnl"/>
              </w:rPr>
              <w:t>Good Knowledge</w:t>
            </w:r>
          </w:p>
        </w:tc>
      </w:tr>
      <w:tr w:rsidR="009571FA" w:rsidRPr="000F72B5" w:rsidTr="000F72B5">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571FA" w:rsidRPr="000F72B5" w:rsidRDefault="009571FA">
            <w:pPr>
              <w:rPr>
                <w:rFonts w:ascii="Calibri" w:hAnsi="Calibri"/>
                <w:b/>
                <w:sz w:val="22"/>
                <w:lang w:val="es-ES_tradn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571FA" w:rsidRPr="000F72B5" w:rsidRDefault="009571FA">
            <w:pPr>
              <w:rPr>
                <w:rFonts w:ascii="Calibri" w:hAnsi="Calibri"/>
                <w:sz w:val="22"/>
                <w:lang w:val="es-ES_tradnl"/>
              </w:rPr>
            </w:pPr>
          </w:p>
        </w:tc>
        <w:tc>
          <w:tcPr>
            <w:tcW w:w="470" w:type="dxa"/>
            <w:tcBorders>
              <w:top w:val="single" w:sz="4" w:space="0" w:color="auto"/>
              <w:left w:val="single" w:sz="4" w:space="0" w:color="auto"/>
              <w:bottom w:val="single" w:sz="4" w:space="0" w:color="auto"/>
              <w:right w:val="nil"/>
            </w:tcBorders>
            <w:shd w:val="clear" w:color="auto" w:fill="C6D9F1"/>
            <w:vAlign w:val="center"/>
          </w:tcPr>
          <w:p w:rsidR="009571FA" w:rsidRPr="000F72B5" w:rsidRDefault="009571FA">
            <w:pPr>
              <w:spacing w:line="276" w:lineRule="auto"/>
              <w:jc w:val="center"/>
              <w:rPr>
                <w:rFonts w:ascii="Calibri" w:hAnsi="Calibri"/>
                <w:lang w:val="es-ES_tradnl"/>
              </w:rPr>
            </w:pPr>
            <w:r w:rsidRPr="000F72B5">
              <w:rPr>
                <w:rFonts w:ascii="Calibri" w:hAnsi="Calibri"/>
                <w:lang w:val="es-ES_tradnl"/>
              </w:rPr>
              <w:t>n</w:t>
            </w:r>
          </w:p>
        </w:tc>
        <w:tc>
          <w:tcPr>
            <w:tcW w:w="759" w:type="dxa"/>
            <w:tcBorders>
              <w:top w:val="single" w:sz="4" w:space="0" w:color="auto"/>
              <w:left w:val="nil"/>
              <w:bottom w:val="single" w:sz="4" w:space="0" w:color="auto"/>
              <w:right w:val="single" w:sz="4" w:space="0" w:color="auto"/>
            </w:tcBorders>
            <w:shd w:val="clear" w:color="auto" w:fill="C6D9F1"/>
            <w:vAlign w:val="center"/>
          </w:tcPr>
          <w:p w:rsidR="009571FA" w:rsidRPr="000F72B5" w:rsidRDefault="009571FA">
            <w:pPr>
              <w:spacing w:line="276" w:lineRule="auto"/>
              <w:jc w:val="center"/>
              <w:rPr>
                <w:rFonts w:ascii="Calibri" w:hAnsi="Calibri"/>
                <w:lang w:val="es-ES_tradnl"/>
              </w:rPr>
            </w:pPr>
            <w:r w:rsidRPr="000F72B5">
              <w:rPr>
                <w:rFonts w:ascii="Calibri" w:hAnsi="Calibri"/>
                <w:lang w:val="es-ES_tradnl"/>
              </w:rPr>
              <w:t>%</w:t>
            </w:r>
          </w:p>
        </w:tc>
        <w:tc>
          <w:tcPr>
            <w:tcW w:w="654" w:type="dxa"/>
            <w:tcBorders>
              <w:top w:val="single" w:sz="4" w:space="0" w:color="auto"/>
              <w:left w:val="single" w:sz="4" w:space="0" w:color="auto"/>
              <w:bottom w:val="single" w:sz="4" w:space="0" w:color="auto"/>
              <w:right w:val="nil"/>
            </w:tcBorders>
            <w:shd w:val="clear" w:color="auto" w:fill="C6D9F1"/>
            <w:vAlign w:val="center"/>
          </w:tcPr>
          <w:p w:rsidR="009571FA" w:rsidRPr="000F72B5" w:rsidRDefault="009571FA">
            <w:pPr>
              <w:spacing w:line="276" w:lineRule="auto"/>
              <w:jc w:val="center"/>
              <w:rPr>
                <w:rFonts w:ascii="Calibri" w:hAnsi="Calibri"/>
                <w:lang w:val="es-ES_tradnl"/>
              </w:rPr>
            </w:pPr>
            <w:r w:rsidRPr="000F72B5">
              <w:rPr>
                <w:rFonts w:ascii="Calibri" w:hAnsi="Calibri"/>
                <w:lang w:val="es-ES_tradnl"/>
              </w:rPr>
              <w:t>n</w:t>
            </w:r>
          </w:p>
        </w:tc>
        <w:tc>
          <w:tcPr>
            <w:tcW w:w="990" w:type="dxa"/>
            <w:tcBorders>
              <w:top w:val="single" w:sz="4" w:space="0" w:color="auto"/>
              <w:left w:val="nil"/>
              <w:bottom w:val="single" w:sz="4" w:space="0" w:color="auto"/>
              <w:right w:val="single" w:sz="4" w:space="0" w:color="auto"/>
            </w:tcBorders>
            <w:shd w:val="clear" w:color="auto" w:fill="C6D9F1"/>
            <w:vAlign w:val="center"/>
          </w:tcPr>
          <w:p w:rsidR="009571FA" w:rsidRPr="000F72B5" w:rsidRDefault="009571FA">
            <w:pPr>
              <w:spacing w:line="276" w:lineRule="auto"/>
              <w:jc w:val="center"/>
              <w:rPr>
                <w:rFonts w:ascii="Calibri" w:hAnsi="Calibri"/>
                <w:lang w:val="es-ES_tradnl"/>
              </w:rPr>
            </w:pPr>
            <w:r w:rsidRPr="000F72B5">
              <w:rPr>
                <w:rFonts w:ascii="Calibri" w:hAnsi="Calibri"/>
                <w:lang w:val="es-ES_tradnl"/>
              </w:rPr>
              <w:t>%</w:t>
            </w:r>
          </w:p>
        </w:tc>
        <w:tc>
          <w:tcPr>
            <w:tcW w:w="751" w:type="dxa"/>
            <w:gridSpan w:val="2"/>
            <w:tcBorders>
              <w:top w:val="single" w:sz="4" w:space="0" w:color="auto"/>
              <w:left w:val="single" w:sz="4" w:space="0" w:color="auto"/>
              <w:bottom w:val="single" w:sz="4" w:space="0" w:color="auto"/>
              <w:right w:val="nil"/>
            </w:tcBorders>
            <w:shd w:val="clear" w:color="auto" w:fill="C6D9F1"/>
            <w:vAlign w:val="center"/>
          </w:tcPr>
          <w:p w:rsidR="009571FA" w:rsidRPr="000F72B5" w:rsidRDefault="009571FA">
            <w:pPr>
              <w:spacing w:line="276" w:lineRule="auto"/>
              <w:jc w:val="center"/>
              <w:rPr>
                <w:rFonts w:ascii="Calibri" w:hAnsi="Calibri"/>
                <w:lang w:val="es-ES_tradnl"/>
              </w:rPr>
            </w:pPr>
            <w:r w:rsidRPr="000F72B5">
              <w:rPr>
                <w:rFonts w:ascii="Calibri" w:hAnsi="Calibri"/>
                <w:lang w:val="es-ES_tradnl"/>
              </w:rPr>
              <w:t>n</w:t>
            </w:r>
          </w:p>
        </w:tc>
        <w:tc>
          <w:tcPr>
            <w:tcW w:w="884" w:type="dxa"/>
            <w:tcBorders>
              <w:top w:val="single" w:sz="4" w:space="0" w:color="auto"/>
              <w:left w:val="nil"/>
              <w:bottom w:val="single" w:sz="4" w:space="0" w:color="auto"/>
              <w:right w:val="single" w:sz="4" w:space="0" w:color="auto"/>
            </w:tcBorders>
            <w:shd w:val="clear" w:color="auto" w:fill="C6D9F1"/>
            <w:vAlign w:val="center"/>
          </w:tcPr>
          <w:p w:rsidR="009571FA" w:rsidRPr="000F72B5" w:rsidRDefault="009571FA">
            <w:pPr>
              <w:spacing w:line="276" w:lineRule="auto"/>
              <w:jc w:val="center"/>
              <w:rPr>
                <w:rFonts w:ascii="Calibri" w:hAnsi="Calibri"/>
                <w:lang w:val="es-ES_tradnl"/>
              </w:rPr>
            </w:pPr>
            <w:r w:rsidRPr="000F72B5">
              <w:rPr>
                <w:rFonts w:ascii="Calibri" w:hAnsi="Calibri"/>
                <w:lang w:val="es-ES_tradnl"/>
              </w:rPr>
              <w:t>%</w:t>
            </w:r>
          </w:p>
        </w:tc>
      </w:tr>
      <w:tr w:rsidR="009571FA" w:rsidRPr="000F72B5" w:rsidTr="000F72B5">
        <w:trPr>
          <w:trHeight w:val="284"/>
          <w:jc w:val="center"/>
        </w:trPr>
        <w:tc>
          <w:tcPr>
            <w:tcW w:w="2000"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9571FA" w:rsidRPr="000F72B5" w:rsidRDefault="009571FA">
            <w:pPr>
              <w:tabs>
                <w:tab w:val="left" w:pos="253"/>
              </w:tabs>
              <w:spacing w:line="276" w:lineRule="auto"/>
              <w:rPr>
                <w:rFonts w:ascii="Calibri" w:hAnsi="Calibri"/>
                <w:b/>
                <w:lang w:val="es-ES_tradnl"/>
              </w:rPr>
            </w:pPr>
            <w:r w:rsidRPr="000F72B5">
              <w:rPr>
                <w:rFonts w:ascii="Calibri" w:hAnsi="Calibri"/>
                <w:b/>
                <w:lang w:val="es-ES_tradnl"/>
              </w:rPr>
              <w:t xml:space="preserve"> All AMRO/PAHO  </w:t>
            </w:r>
          </w:p>
          <w:p w:rsidR="009571FA" w:rsidRPr="000F72B5" w:rsidRDefault="009571FA">
            <w:pPr>
              <w:tabs>
                <w:tab w:val="left" w:pos="253"/>
              </w:tabs>
              <w:spacing w:line="276" w:lineRule="auto"/>
              <w:rPr>
                <w:rFonts w:ascii="Calibri" w:hAnsi="Calibri"/>
                <w:b/>
                <w:lang w:val="es-ES_tradnl"/>
              </w:rPr>
            </w:pPr>
            <w:r w:rsidRPr="000F72B5">
              <w:rPr>
                <w:rFonts w:ascii="Calibri" w:hAnsi="Calibri"/>
                <w:b/>
                <w:lang w:val="es-ES_tradnl"/>
              </w:rPr>
              <w:t xml:space="preserve"> Staff</w:t>
            </w:r>
          </w:p>
        </w:tc>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9571FA" w:rsidRPr="000F72B5" w:rsidRDefault="009571FA">
            <w:pPr>
              <w:tabs>
                <w:tab w:val="left" w:pos="253"/>
              </w:tabs>
              <w:spacing w:line="276" w:lineRule="auto"/>
              <w:jc w:val="center"/>
              <w:rPr>
                <w:rFonts w:ascii="Calibri" w:hAnsi="Calibri"/>
                <w:lang w:val="es-ES_tradnl"/>
              </w:rPr>
            </w:pPr>
            <w:r w:rsidRPr="000F72B5">
              <w:rPr>
                <w:rFonts w:ascii="Calibri" w:hAnsi="Calibri"/>
                <w:lang w:val="es-ES_tradnl"/>
              </w:rPr>
              <w:t>390</w:t>
            </w:r>
          </w:p>
        </w:tc>
        <w:tc>
          <w:tcPr>
            <w:tcW w:w="470" w:type="dxa"/>
            <w:tcBorders>
              <w:top w:val="single" w:sz="4" w:space="0" w:color="auto"/>
              <w:left w:val="single" w:sz="4" w:space="0" w:color="auto"/>
              <w:bottom w:val="single" w:sz="4" w:space="0" w:color="auto"/>
              <w:right w:val="nil"/>
            </w:tcBorders>
            <w:shd w:val="clear" w:color="auto" w:fill="FFFFFF"/>
            <w:vAlign w:val="center"/>
          </w:tcPr>
          <w:p w:rsidR="009571FA" w:rsidRPr="000F72B5" w:rsidRDefault="009571FA">
            <w:pPr>
              <w:spacing w:line="276" w:lineRule="auto"/>
              <w:jc w:val="center"/>
              <w:rPr>
                <w:rFonts w:ascii="Calibri" w:hAnsi="Calibri"/>
                <w:lang w:val="es-ES_tradnl"/>
              </w:rPr>
            </w:pPr>
            <w:r w:rsidRPr="000F72B5">
              <w:rPr>
                <w:rFonts w:ascii="Calibri" w:hAnsi="Calibri"/>
                <w:lang w:val="es-ES_tradnl"/>
              </w:rPr>
              <w:t>10</w:t>
            </w:r>
          </w:p>
        </w:tc>
        <w:tc>
          <w:tcPr>
            <w:tcW w:w="759" w:type="dxa"/>
            <w:tcBorders>
              <w:top w:val="single" w:sz="4" w:space="0" w:color="auto"/>
              <w:left w:val="nil"/>
              <w:bottom w:val="single" w:sz="4" w:space="0" w:color="auto"/>
              <w:right w:val="single" w:sz="4" w:space="0" w:color="auto"/>
            </w:tcBorders>
            <w:shd w:val="clear" w:color="auto" w:fill="FFFFFF"/>
            <w:vAlign w:val="center"/>
          </w:tcPr>
          <w:p w:rsidR="009571FA" w:rsidRPr="000F72B5" w:rsidRDefault="009571FA">
            <w:pPr>
              <w:spacing w:line="276" w:lineRule="auto"/>
              <w:jc w:val="center"/>
              <w:rPr>
                <w:rFonts w:ascii="Calibri" w:hAnsi="Calibri"/>
                <w:lang w:val="es-ES_tradnl"/>
              </w:rPr>
            </w:pPr>
            <w:r w:rsidRPr="000F72B5">
              <w:rPr>
                <w:rFonts w:ascii="Calibri" w:hAnsi="Calibri"/>
                <w:lang w:val="es-ES_tradnl"/>
              </w:rPr>
              <w:t xml:space="preserve">2.6     </w:t>
            </w:r>
          </w:p>
        </w:tc>
        <w:tc>
          <w:tcPr>
            <w:tcW w:w="654" w:type="dxa"/>
            <w:tcBorders>
              <w:top w:val="single" w:sz="4" w:space="0" w:color="auto"/>
              <w:left w:val="single" w:sz="4" w:space="0" w:color="auto"/>
              <w:bottom w:val="single" w:sz="4" w:space="0" w:color="auto"/>
              <w:right w:val="nil"/>
            </w:tcBorders>
            <w:shd w:val="clear" w:color="auto" w:fill="FFFFFF"/>
            <w:vAlign w:val="center"/>
          </w:tcPr>
          <w:p w:rsidR="009571FA" w:rsidRPr="000F72B5" w:rsidRDefault="009571FA">
            <w:pPr>
              <w:spacing w:line="276" w:lineRule="auto"/>
              <w:jc w:val="center"/>
              <w:rPr>
                <w:rFonts w:ascii="Calibri" w:hAnsi="Calibri"/>
                <w:lang w:val="es-ES_tradnl"/>
              </w:rPr>
            </w:pPr>
            <w:r w:rsidRPr="000F72B5">
              <w:rPr>
                <w:rFonts w:ascii="Calibri" w:hAnsi="Calibri"/>
                <w:lang w:val="es-ES_tradnl"/>
              </w:rPr>
              <w:t>133</w:t>
            </w:r>
          </w:p>
        </w:tc>
        <w:tc>
          <w:tcPr>
            <w:tcW w:w="990" w:type="dxa"/>
            <w:tcBorders>
              <w:top w:val="single" w:sz="4" w:space="0" w:color="auto"/>
              <w:left w:val="nil"/>
              <w:bottom w:val="single" w:sz="4" w:space="0" w:color="auto"/>
              <w:right w:val="single" w:sz="4" w:space="0" w:color="auto"/>
            </w:tcBorders>
            <w:shd w:val="clear" w:color="auto" w:fill="FFFFFF"/>
            <w:vAlign w:val="center"/>
          </w:tcPr>
          <w:p w:rsidR="009571FA" w:rsidRPr="000F72B5" w:rsidRDefault="009571FA">
            <w:pPr>
              <w:spacing w:line="276" w:lineRule="auto"/>
              <w:jc w:val="center"/>
              <w:rPr>
                <w:rFonts w:ascii="Calibri" w:hAnsi="Calibri"/>
                <w:lang w:val="es-ES_tradnl"/>
              </w:rPr>
            </w:pPr>
            <w:r w:rsidRPr="000F72B5">
              <w:rPr>
                <w:rFonts w:ascii="Calibri" w:hAnsi="Calibri"/>
                <w:lang w:val="es-ES_tradnl"/>
              </w:rPr>
              <w:t>34.1</w:t>
            </w:r>
          </w:p>
        </w:tc>
        <w:tc>
          <w:tcPr>
            <w:tcW w:w="751" w:type="dxa"/>
            <w:gridSpan w:val="2"/>
            <w:tcBorders>
              <w:top w:val="single" w:sz="4" w:space="0" w:color="auto"/>
              <w:left w:val="single" w:sz="4" w:space="0" w:color="auto"/>
              <w:bottom w:val="single" w:sz="4" w:space="0" w:color="auto"/>
              <w:right w:val="nil"/>
            </w:tcBorders>
            <w:shd w:val="clear" w:color="auto" w:fill="FFFFFF"/>
            <w:vAlign w:val="center"/>
          </w:tcPr>
          <w:p w:rsidR="009571FA" w:rsidRPr="000F72B5" w:rsidRDefault="009571FA">
            <w:pPr>
              <w:spacing w:line="276" w:lineRule="auto"/>
              <w:jc w:val="center"/>
              <w:rPr>
                <w:rFonts w:ascii="Calibri" w:hAnsi="Calibri"/>
                <w:lang w:val="es-ES_tradnl"/>
              </w:rPr>
            </w:pPr>
            <w:r w:rsidRPr="000F72B5">
              <w:rPr>
                <w:rFonts w:ascii="Calibri" w:hAnsi="Calibri"/>
                <w:lang w:val="es-ES_tradnl"/>
              </w:rPr>
              <w:t>247</w:t>
            </w:r>
          </w:p>
        </w:tc>
        <w:tc>
          <w:tcPr>
            <w:tcW w:w="884" w:type="dxa"/>
            <w:tcBorders>
              <w:top w:val="single" w:sz="4" w:space="0" w:color="auto"/>
              <w:left w:val="nil"/>
              <w:bottom w:val="single" w:sz="4" w:space="0" w:color="auto"/>
              <w:right w:val="single" w:sz="4" w:space="0" w:color="auto"/>
            </w:tcBorders>
            <w:shd w:val="clear" w:color="auto" w:fill="FFFFFF"/>
            <w:vAlign w:val="center"/>
          </w:tcPr>
          <w:p w:rsidR="009571FA" w:rsidRPr="000F72B5" w:rsidRDefault="009571FA">
            <w:pPr>
              <w:spacing w:line="276" w:lineRule="auto"/>
              <w:jc w:val="center"/>
              <w:rPr>
                <w:rFonts w:ascii="Calibri" w:hAnsi="Calibri"/>
                <w:lang w:val="es-ES_tradnl"/>
              </w:rPr>
            </w:pPr>
            <w:r w:rsidRPr="000F72B5">
              <w:rPr>
                <w:rFonts w:ascii="Calibri" w:hAnsi="Calibri"/>
                <w:lang w:val="es-ES_tradnl"/>
              </w:rPr>
              <w:t>63.3</w:t>
            </w:r>
          </w:p>
        </w:tc>
      </w:tr>
      <w:tr w:rsidR="009571FA" w:rsidRPr="000F72B5" w:rsidTr="000F72B5">
        <w:trPr>
          <w:trHeight w:val="284"/>
          <w:jc w:val="center"/>
        </w:trPr>
        <w:tc>
          <w:tcPr>
            <w:tcW w:w="2000" w:type="dxa"/>
            <w:tcBorders>
              <w:top w:val="single" w:sz="4" w:space="0" w:color="auto"/>
              <w:left w:val="single" w:sz="4" w:space="0" w:color="auto"/>
              <w:bottom w:val="single" w:sz="4" w:space="0" w:color="auto"/>
              <w:right w:val="single" w:sz="4" w:space="0" w:color="auto"/>
            </w:tcBorders>
            <w:shd w:val="clear" w:color="auto" w:fill="DBE5F1"/>
            <w:tcMar>
              <w:top w:w="0" w:type="dxa"/>
              <w:left w:w="28" w:type="dxa"/>
              <w:bottom w:w="0" w:type="dxa"/>
              <w:right w:w="28" w:type="dxa"/>
            </w:tcMar>
            <w:vAlign w:val="center"/>
          </w:tcPr>
          <w:p w:rsidR="009571FA" w:rsidRPr="000F72B5" w:rsidRDefault="009571FA">
            <w:pPr>
              <w:tabs>
                <w:tab w:val="left" w:pos="253"/>
              </w:tabs>
              <w:spacing w:line="276" w:lineRule="auto"/>
              <w:rPr>
                <w:rFonts w:ascii="Calibri" w:hAnsi="Calibri"/>
                <w:b/>
                <w:lang w:val="es-ES_tradnl"/>
              </w:rPr>
            </w:pPr>
            <w:r w:rsidRPr="000F72B5">
              <w:rPr>
                <w:rFonts w:ascii="Calibri" w:hAnsi="Calibri"/>
                <w:b/>
                <w:lang w:val="es-ES_tradnl"/>
              </w:rPr>
              <w:t xml:space="preserve"> By Sex</w:t>
            </w:r>
          </w:p>
        </w:tc>
        <w:tc>
          <w:tcPr>
            <w:tcW w:w="641" w:type="dxa"/>
            <w:tcBorders>
              <w:top w:val="single" w:sz="4" w:space="0" w:color="auto"/>
              <w:left w:val="single" w:sz="4" w:space="0" w:color="auto"/>
              <w:bottom w:val="single" w:sz="4" w:space="0" w:color="auto"/>
              <w:right w:val="single" w:sz="4" w:space="0" w:color="auto"/>
            </w:tcBorders>
            <w:shd w:val="clear" w:color="auto" w:fill="DBE5F1"/>
            <w:vAlign w:val="center"/>
          </w:tcPr>
          <w:p w:rsidR="009571FA" w:rsidRPr="000F72B5" w:rsidRDefault="009571FA">
            <w:pPr>
              <w:tabs>
                <w:tab w:val="left" w:pos="253"/>
              </w:tabs>
              <w:spacing w:line="276" w:lineRule="auto"/>
              <w:jc w:val="center"/>
              <w:rPr>
                <w:rFonts w:ascii="Calibri" w:hAnsi="Calibri"/>
                <w:lang w:val="es-ES_tradnl"/>
              </w:rPr>
            </w:pPr>
          </w:p>
        </w:tc>
        <w:tc>
          <w:tcPr>
            <w:tcW w:w="470" w:type="dxa"/>
            <w:tcBorders>
              <w:top w:val="single" w:sz="4" w:space="0" w:color="auto"/>
              <w:left w:val="single" w:sz="4" w:space="0" w:color="auto"/>
              <w:bottom w:val="single" w:sz="4" w:space="0" w:color="auto"/>
              <w:right w:val="nil"/>
            </w:tcBorders>
            <w:shd w:val="clear" w:color="auto" w:fill="DBE5F1"/>
            <w:vAlign w:val="center"/>
          </w:tcPr>
          <w:p w:rsidR="009571FA" w:rsidRPr="000F72B5" w:rsidRDefault="009571FA">
            <w:pPr>
              <w:spacing w:line="276" w:lineRule="auto"/>
              <w:jc w:val="center"/>
              <w:rPr>
                <w:rFonts w:ascii="Calibri" w:hAnsi="Calibri"/>
                <w:lang w:val="es-ES_tradnl"/>
              </w:rPr>
            </w:pPr>
          </w:p>
        </w:tc>
        <w:tc>
          <w:tcPr>
            <w:tcW w:w="759" w:type="dxa"/>
            <w:tcBorders>
              <w:top w:val="single" w:sz="4" w:space="0" w:color="auto"/>
              <w:left w:val="nil"/>
              <w:bottom w:val="single" w:sz="4" w:space="0" w:color="auto"/>
              <w:right w:val="single" w:sz="4" w:space="0" w:color="auto"/>
            </w:tcBorders>
            <w:shd w:val="clear" w:color="auto" w:fill="DBE5F1"/>
            <w:vAlign w:val="center"/>
          </w:tcPr>
          <w:p w:rsidR="009571FA" w:rsidRPr="000F72B5" w:rsidRDefault="009571FA">
            <w:pPr>
              <w:spacing w:line="276" w:lineRule="auto"/>
              <w:jc w:val="center"/>
              <w:rPr>
                <w:rFonts w:ascii="Calibri" w:hAnsi="Calibri"/>
                <w:lang w:val="es-ES_tradnl"/>
              </w:rPr>
            </w:pPr>
          </w:p>
        </w:tc>
        <w:tc>
          <w:tcPr>
            <w:tcW w:w="654" w:type="dxa"/>
            <w:tcBorders>
              <w:top w:val="single" w:sz="4" w:space="0" w:color="auto"/>
              <w:left w:val="single" w:sz="4" w:space="0" w:color="auto"/>
              <w:bottom w:val="single" w:sz="4" w:space="0" w:color="auto"/>
              <w:right w:val="nil"/>
            </w:tcBorders>
            <w:shd w:val="clear" w:color="auto" w:fill="DBE5F1"/>
            <w:vAlign w:val="center"/>
          </w:tcPr>
          <w:p w:rsidR="009571FA" w:rsidRPr="000F72B5" w:rsidRDefault="009571FA">
            <w:pPr>
              <w:spacing w:line="276" w:lineRule="auto"/>
              <w:jc w:val="center"/>
              <w:rPr>
                <w:rFonts w:ascii="Calibri" w:hAnsi="Calibri"/>
                <w:lang w:val="es-ES_tradnl"/>
              </w:rPr>
            </w:pPr>
          </w:p>
        </w:tc>
        <w:tc>
          <w:tcPr>
            <w:tcW w:w="990" w:type="dxa"/>
            <w:tcBorders>
              <w:top w:val="single" w:sz="4" w:space="0" w:color="auto"/>
              <w:left w:val="nil"/>
              <w:bottom w:val="single" w:sz="4" w:space="0" w:color="auto"/>
              <w:right w:val="single" w:sz="4" w:space="0" w:color="auto"/>
            </w:tcBorders>
            <w:shd w:val="clear" w:color="auto" w:fill="DBE5F1"/>
            <w:vAlign w:val="center"/>
          </w:tcPr>
          <w:p w:rsidR="009571FA" w:rsidRPr="000F72B5" w:rsidRDefault="009571FA">
            <w:pPr>
              <w:spacing w:line="276" w:lineRule="auto"/>
              <w:jc w:val="center"/>
              <w:rPr>
                <w:rFonts w:ascii="Calibri" w:hAnsi="Calibri"/>
                <w:lang w:val="es-ES_tradnl"/>
              </w:rPr>
            </w:pPr>
          </w:p>
        </w:tc>
        <w:tc>
          <w:tcPr>
            <w:tcW w:w="751" w:type="dxa"/>
            <w:gridSpan w:val="2"/>
            <w:tcBorders>
              <w:top w:val="single" w:sz="4" w:space="0" w:color="auto"/>
              <w:left w:val="single" w:sz="4" w:space="0" w:color="auto"/>
              <w:bottom w:val="single" w:sz="4" w:space="0" w:color="auto"/>
              <w:right w:val="nil"/>
            </w:tcBorders>
            <w:shd w:val="clear" w:color="auto" w:fill="DBE5F1"/>
            <w:vAlign w:val="center"/>
          </w:tcPr>
          <w:p w:rsidR="009571FA" w:rsidRPr="000F72B5" w:rsidRDefault="009571FA">
            <w:pPr>
              <w:spacing w:line="276" w:lineRule="auto"/>
              <w:jc w:val="center"/>
              <w:rPr>
                <w:rFonts w:ascii="Calibri" w:hAnsi="Calibri"/>
                <w:lang w:val="es-ES_tradnl"/>
              </w:rPr>
            </w:pPr>
          </w:p>
        </w:tc>
        <w:tc>
          <w:tcPr>
            <w:tcW w:w="884" w:type="dxa"/>
            <w:tcBorders>
              <w:top w:val="single" w:sz="4" w:space="0" w:color="auto"/>
              <w:left w:val="nil"/>
              <w:bottom w:val="single" w:sz="4" w:space="0" w:color="auto"/>
              <w:right w:val="single" w:sz="4" w:space="0" w:color="auto"/>
            </w:tcBorders>
            <w:shd w:val="clear" w:color="auto" w:fill="DBE5F1"/>
            <w:vAlign w:val="center"/>
          </w:tcPr>
          <w:p w:rsidR="009571FA" w:rsidRPr="000F72B5" w:rsidRDefault="009571FA">
            <w:pPr>
              <w:spacing w:line="276" w:lineRule="auto"/>
              <w:jc w:val="center"/>
              <w:rPr>
                <w:rFonts w:ascii="Calibri" w:hAnsi="Calibri"/>
                <w:lang w:val="es-ES_tradnl"/>
              </w:rPr>
            </w:pPr>
          </w:p>
        </w:tc>
      </w:tr>
      <w:tr w:rsidR="009571FA" w:rsidRPr="000F72B5" w:rsidTr="000F72B5">
        <w:trPr>
          <w:trHeight w:val="284"/>
          <w:jc w:val="center"/>
        </w:trPr>
        <w:tc>
          <w:tcPr>
            <w:tcW w:w="2000" w:type="dxa"/>
            <w:tcBorders>
              <w:top w:val="single" w:sz="4" w:space="0" w:color="auto"/>
              <w:left w:val="single" w:sz="4" w:space="0" w:color="auto"/>
              <w:bottom w:val="single" w:sz="4" w:space="0" w:color="BFBFBF"/>
              <w:right w:val="single" w:sz="4" w:space="0" w:color="auto"/>
            </w:tcBorders>
            <w:tcMar>
              <w:top w:w="0" w:type="dxa"/>
              <w:left w:w="28" w:type="dxa"/>
              <w:bottom w:w="0" w:type="dxa"/>
              <w:right w:w="28" w:type="dxa"/>
            </w:tcMar>
            <w:vAlign w:val="center"/>
          </w:tcPr>
          <w:p w:rsidR="009571FA" w:rsidRPr="000F72B5" w:rsidRDefault="009571FA">
            <w:pPr>
              <w:tabs>
                <w:tab w:val="left" w:pos="253"/>
              </w:tabs>
              <w:spacing w:line="276" w:lineRule="auto"/>
              <w:rPr>
                <w:rFonts w:ascii="Calibri" w:hAnsi="Calibri"/>
                <w:lang w:val="es-ES_tradnl"/>
              </w:rPr>
            </w:pPr>
            <w:r w:rsidRPr="000F72B5">
              <w:rPr>
                <w:rFonts w:ascii="Calibri" w:hAnsi="Calibri"/>
                <w:lang w:val="es-ES_tradnl"/>
              </w:rPr>
              <w:tab/>
              <w:t>Male Staff</w:t>
            </w:r>
          </w:p>
        </w:tc>
        <w:tc>
          <w:tcPr>
            <w:tcW w:w="641" w:type="dxa"/>
            <w:tcBorders>
              <w:top w:val="single" w:sz="4" w:space="0" w:color="auto"/>
              <w:left w:val="single" w:sz="4" w:space="0" w:color="auto"/>
              <w:bottom w:val="single" w:sz="4" w:space="0" w:color="BFBFBF"/>
              <w:right w:val="single" w:sz="4" w:space="0" w:color="auto"/>
            </w:tcBorders>
            <w:vAlign w:val="center"/>
          </w:tcPr>
          <w:p w:rsidR="009571FA" w:rsidRPr="000F72B5" w:rsidRDefault="009571FA">
            <w:pPr>
              <w:tabs>
                <w:tab w:val="left" w:pos="253"/>
              </w:tabs>
              <w:spacing w:line="276" w:lineRule="auto"/>
              <w:jc w:val="center"/>
              <w:rPr>
                <w:rFonts w:ascii="Calibri" w:hAnsi="Calibri"/>
                <w:lang w:val="es-ES_tradnl"/>
              </w:rPr>
            </w:pPr>
            <w:r w:rsidRPr="000F72B5">
              <w:rPr>
                <w:rFonts w:ascii="Calibri" w:hAnsi="Calibri"/>
                <w:lang w:val="es-ES_tradnl"/>
              </w:rPr>
              <w:t>161</w:t>
            </w:r>
          </w:p>
        </w:tc>
        <w:tc>
          <w:tcPr>
            <w:tcW w:w="470" w:type="dxa"/>
            <w:tcBorders>
              <w:top w:val="single" w:sz="4" w:space="0" w:color="auto"/>
              <w:left w:val="single" w:sz="4" w:space="0" w:color="auto"/>
              <w:bottom w:val="single" w:sz="4" w:space="0" w:color="BFBFBF"/>
              <w:right w:val="nil"/>
            </w:tcBorders>
            <w:vAlign w:val="center"/>
          </w:tcPr>
          <w:p w:rsidR="009571FA" w:rsidRPr="000F72B5" w:rsidRDefault="009571FA">
            <w:pPr>
              <w:spacing w:line="276" w:lineRule="auto"/>
              <w:jc w:val="center"/>
              <w:rPr>
                <w:rFonts w:ascii="Calibri" w:hAnsi="Calibri"/>
                <w:lang w:val="es-ES_tradnl"/>
              </w:rPr>
            </w:pPr>
            <w:r w:rsidRPr="000F72B5">
              <w:rPr>
                <w:rFonts w:ascii="Calibri" w:hAnsi="Calibri"/>
                <w:lang w:val="es-ES_tradnl"/>
              </w:rPr>
              <w:t>4</w:t>
            </w:r>
          </w:p>
        </w:tc>
        <w:tc>
          <w:tcPr>
            <w:tcW w:w="759" w:type="dxa"/>
            <w:tcBorders>
              <w:top w:val="single" w:sz="4" w:space="0" w:color="auto"/>
              <w:left w:val="nil"/>
              <w:bottom w:val="single" w:sz="4" w:space="0" w:color="BFBFBF"/>
              <w:right w:val="single" w:sz="4" w:space="0" w:color="auto"/>
            </w:tcBorders>
            <w:vAlign w:val="center"/>
          </w:tcPr>
          <w:p w:rsidR="009571FA" w:rsidRPr="000F72B5" w:rsidRDefault="009571FA">
            <w:pPr>
              <w:spacing w:line="276" w:lineRule="auto"/>
              <w:jc w:val="center"/>
              <w:rPr>
                <w:rFonts w:ascii="Calibri" w:hAnsi="Calibri"/>
                <w:lang w:val="es-ES_tradnl"/>
              </w:rPr>
            </w:pPr>
            <w:r w:rsidRPr="000F72B5">
              <w:rPr>
                <w:rFonts w:ascii="Calibri" w:hAnsi="Calibri"/>
                <w:lang w:val="es-ES_tradnl"/>
              </w:rPr>
              <w:t>2.5</w:t>
            </w:r>
          </w:p>
        </w:tc>
        <w:tc>
          <w:tcPr>
            <w:tcW w:w="654" w:type="dxa"/>
            <w:tcBorders>
              <w:top w:val="single" w:sz="4" w:space="0" w:color="auto"/>
              <w:left w:val="single" w:sz="4" w:space="0" w:color="auto"/>
              <w:bottom w:val="single" w:sz="4" w:space="0" w:color="BFBFBF"/>
              <w:right w:val="nil"/>
            </w:tcBorders>
            <w:vAlign w:val="center"/>
          </w:tcPr>
          <w:p w:rsidR="009571FA" w:rsidRPr="000F72B5" w:rsidRDefault="009571FA">
            <w:pPr>
              <w:spacing w:line="276" w:lineRule="auto"/>
              <w:jc w:val="center"/>
              <w:rPr>
                <w:rFonts w:ascii="Calibri" w:hAnsi="Calibri"/>
                <w:lang w:val="es-ES_tradnl"/>
              </w:rPr>
            </w:pPr>
            <w:r w:rsidRPr="000F72B5">
              <w:rPr>
                <w:rFonts w:ascii="Calibri" w:hAnsi="Calibri"/>
                <w:lang w:val="es-ES_tradnl"/>
              </w:rPr>
              <w:t>53</w:t>
            </w:r>
          </w:p>
        </w:tc>
        <w:tc>
          <w:tcPr>
            <w:tcW w:w="990" w:type="dxa"/>
            <w:tcBorders>
              <w:top w:val="single" w:sz="4" w:space="0" w:color="auto"/>
              <w:left w:val="nil"/>
              <w:bottom w:val="single" w:sz="4" w:space="0" w:color="BFBFBF"/>
              <w:right w:val="single" w:sz="4" w:space="0" w:color="auto"/>
            </w:tcBorders>
            <w:vAlign w:val="center"/>
          </w:tcPr>
          <w:p w:rsidR="009571FA" w:rsidRPr="000F72B5" w:rsidRDefault="009571FA">
            <w:pPr>
              <w:spacing w:line="276" w:lineRule="auto"/>
              <w:jc w:val="center"/>
              <w:rPr>
                <w:rFonts w:ascii="Calibri" w:hAnsi="Calibri"/>
                <w:lang w:val="es-ES_tradnl"/>
              </w:rPr>
            </w:pPr>
            <w:r w:rsidRPr="000F72B5">
              <w:rPr>
                <w:rFonts w:ascii="Calibri" w:hAnsi="Calibri"/>
                <w:lang w:val="es-ES_tradnl"/>
              </w:rPr>
              <w:t>32.9</w:t>
            </w:r>
          </w:p>
        </w:tc>
        <w:tc>
          <w:tcPr>
            <w:tcW w:w="751" w:type="dxa"/>
            <w:gridSpan w:val="2"/>
            <w:tcBorders>
              <w:top w:val="single" w:sz="4" w:space="0" w:color="auto"/>
              <w:left w:val="single" w:sz="4" w:space="0" w:color="auto"/>
              <w:bottom w:val="single" w:sz="4" w:space="0" w:color="BFBFBF"/>
              <w:right w:val="nil"/>
            </w:tcBorders>
            <w:vAlign w:val="center"/>
          </w:tcPr>
          <w:p w:rsidR="009571FA" w:rsidRPr="000F72B5" w:rsidRDefault="009571FA">
            <w:pPr>
              <w:spacing w:line="276" w:lineRule="auto"/>
              <w:jc w:val="center"/>
              <w:rPr>
                <w:rFonts w:ascii="Calibri" w:hAnsi="Calibri"/>
                <w:lang w:val="es-ES_tradnl"/>
              </w:rPr>
            </w:pPr>
            <w:r w:rsidRPr="000F72B5">
              <w:rPr>
                <w:rFonts w:ascii="Calibri" w:hAnsi="Calibri"/>
                <w:lang w:val="es-ES_tradnl"/>
              </w:rPr>
              <w:t>104</w:t>
            </w:r>
          </w:p>
        </w:tc>
        <w:tc>
          <w:tcPr>
            <w:tcW w:w="884" w:type="dxa"/>
            <w:tcBorders>
              <w:top w:val="single" w:sz="4" w:space="0" w:color="auto"/>
              <w:left w:val="nil"/>
              <w:bottom w:val="single" w:sz="4" w:space="0" w:color="BFBFBF"/>
              <w:right w:val="single" w:sz="4" w:space="0" w:color="auto"/>
            </w:tcBorders>
            <w:vAlign w:val="center"/>
          </w:tcPr>
          <w:p w:rsidR="009571FA" w:rsidRPr="000F72B5" w:rsidRDefault="009571FA">
            <w:pPr>
              <w:spacing w:line="276" w:lineRule="auto"/>
              <w:jc w:val="center"/>
              <w:rPr>
                <w:rFonts w:ascii="Calibri" w:hAnsi="Calibri"/>
                <w:lang w:val="es-ES_tradnl"/>
              </w:rPr>
            </w:pPr>
            <w:r w:rsidRPr="000F72B5">
              <w:rPr>
                <w:rFonts w:ascii="Calibri" w:hAnsi="Calibri"/>
                <w:lang w:val="es-ES_tradnl"/>
              </w:rPr>
              <w:t>64.6</w:t>
            </w:r>
          </w:p>
        </w:tc>
      </w:tr>
      <w:tr w:rsidR="009571FA" w:rsidRPr="000F72B5" w:rsidTr="000F72B5">
        <w:trPr>
          <w:trHeight w:val="284"/>
          <w:jc w:val="center"/>
        </w:trPr>
        <w:tc>
          <w:tcPr>
            <w:tcW w:w="2000" w:type="dxa"/>
            <w:tcBorders>
              <w:top w:val="single" w:sz="4" w:space="0" w:color="BFBFBF"/>
              <w:left w:val="single" w:sz="4" w:space="0" w:color="auto"/>
              <w:bottom w:val="single" w:sz="4" w:space="0" w:color="auto"/>
              <w:right w:val="single" w:sz="4" w:space="0" w:color="auto"/>
            </w:tcBorders>
            <w:tcMar>
              <w:top w:w="0" w:type="dxa"/>
              <w:left w:w="28" w:type="dxa"/>
              <w:bottom w:w="0" w:type="dxa"/>
              <w:right w:w="28" w:type="dxa"/>
            </w:tcMar>
            <w:vAlign w:val="center"/>
          </w:tcPr>
          <w:p w:rsidR="009571FA" w:rsidRPr="000F72B5" w:rsidRDefault="009571FA">
            <w:pPr>
              <w:tabs>
                <w:tab w:val="left" w:pos="253"/>
              </w:tabs>
              <w:spacing w:line="276" w:lineRule="auto"/>
              <w:rPr>
                <w:rFonts w:ascii="Calibri" w:hAnsi="Calibri"/>
                <w:lang w:val="es-ES_tradnl"/>
              </w:rPr>
            </w:pPr>
            <w:r w:rsidRPr="000F72B5">
              <w:rPr>
                <w:rFonts w:ascii="Calibri" w:hAnsi="Calibri"/>
                <w:lang w:val="es-ES_tradnl"/>
              </w:rPr>
              <w:tab/>
              <w:t>Female Staff</w:t>
            </w:r>
          </w:p>
        </w:tc>
        <w:tc>
          <w:tcPr>
            <w:tcW w:w="641" w:type="dxa"/>
            <w:tcBorders>
              <w:top w:val="single" w:sz="4" w:space="0" w:color="BFBFBF"/>
              <w:left w:val="single" w:sz="4" w:space="0" w:color="auto"/>
              <w:bottom w:val="single" w:sz="4" w:space="0" w:color="auto"/>
              <w:right w:val="single" w:sz="4" w:space="0" w:color="auto"/>
            </w:tcBorders>
            <w:vAlign w:val="center"/>
          </w:tcPr>
          <w:p w:rsidR="009571FA" w:rsidRPr="000F72B5" w:rsidRDefault="009571FA">
            <w:pPr>
              <w:tabs>
                <w:tab w:val="left" w:pos="253"/>
              </w:tabs>
              <w:spacing w:line="276" w:lineRule="auto"/>
              <w:jc w:val="center"/>
              <w:rPr>
                <w:rFonts w:ascii="Calibri" w:hAnsi="Calibri"/>
                <w:lang w:val="es-ES_tradnl"/>
              </w:rPr>
            </w:pPr>
            <w:r w:rsidRPr="000F72B5">
              <w:rPr>
                <w:rFonts w:ascii="Calibri" w:hAnsi="Calibri"/>
                <w:lang w:val="es-ES_tradnl"/>
              </w:rPr>
              <w:t>229</w:t>
            </w:r>
          </w:p>
        </w:tc>
        <w:tc>
          <w:tcPr>
            <w:tcW w:w="470" w:type="dxa"/>
            <w:tcBorders>
              <w:top w:val="single" w:sz="4" w:space="0" w:color="BFBFBF"/>
              <w:left w:val="single" w:sz="4" w:space="0" w:color="auto"/>
              <w:bottom w:val="single" w:sz="4" w:space="0" w:color="auto"/>
              <w:right w:val="nil"/>
            </w:tcBorders>
            <w:vAlign w:val="center"/>
          </w:tcPr>
          <w:p w:rsidR="009571FA" w:rsidRPr="000F72B5" w:rsidRDefault="009571FA">
            <w:pPr>
              <w:spacing w:line="276" w:lineRule="auto"/>
              <w:jc w:val="center"/>
              <w:rPr>
                <w:rFonts w:ascii="Calibri" w:hAnsi="Calibri"/>
                <w:lang w:val="es-ES_tradnl"/>
              </w:rPr>
            </w:pPr>
            <w:r w:rsidRPr="000F72B5">
              <w:rPr>
                <w:rFonts w:ascii="Calibri" w:hAnsi="Calibri"/>
                <w:lang w:val="es-ES_tradnl"/>
              </w:rPr>
              <w:t>6</w:t>
            </w:r>
          </w:p>
        </w:tc>
        <w:tc>
          <w:tcPr>
            <w:tcW w:w="759" w:type="dxa"/>
            <w:tcBorders>
              <w:top w:val="single" w:sz="4" w:space="0" w:color="BFBFBF"/>
              <w:left w:val="nil"/>
              <w:bottom w:val="single" w:sz="4" w:space="0" w:color="auto"/>
              <w:right w:val="single" w:sz="4" w:space="0" w:color="auto"/>
            </w:tcBorders>
            <w:vAlign w:val="center"/>
          </w:tcPr>
          <w:p w:rsidR="009571FA" w:rsidRPr="000F72B5" w:rsidRDefault="009571FA">
            <w:pPr>
              <w:spacing w:line="276" w:lineRule="auto"/>
              <w:jc w:val="center"/>
              <w:rPr>
                <w:rFonts w:ascii="Calibri" w:hAnsi="Calibri"/>
                <w:lang w:val="es-ES_tradnl"/>
              </w:rPr>
            </w:pPr>
            <w:r w:rsidRPr="000F72B5">
              <w:rPr>
                <w:rFonts w:ascii="Calibri" w:hAnsi="Calibri"/>
                <w:lang w:val="es-ES_tradnl"/>
              </w:rPr>
              <w:t>2.6</w:t>
            </w:r>
          </w:p>
        </w:tc>
        <w:tc>
          <w:tcPr>
            <w:tcW w:w="654" w:type="dxa"/>
            <w:tcBorders>
              <w:top w:val="single" w:sz="4" w:space="0" w:color="BFBFBF"/>
              <w:left w:val="single" w:sz="4" w:space="0" w:color="auto"/>
              <w:bottom w:val="single" w:sz="4" w:space="0" w:color="auto"/>
              <w:right w:val="nil"/>
            </w:tcBorders>
            <w:vAlign w:val="center"/>
          </w:tcPr>
          <w:p w:rsidR="009571FA" w:rsidRPr="000F72B5" w:rsidRDefault="009571FA">
            <w:pPr>
              <w:spacing w:line="276" w:lineRule="auto"/>
              <w:jc w:val="center"/>
              <w:rPr>
                <w:rFonts w:ascii="Calibri" w:hAnsi="Calibri"/>
                <w:lang w:val="es-ES_tradnl"/>
              </w:rPr>
            </w:pPr>
            <w:r w:rsidRPr="000F72B5">
              <w:rPr>
                <w:rFonts w:ascii="Calibri" w:hAnsi="Calibri"/>
                <w:lang w:val="es-ES_tradnl"/>
              </w:rPr>
              <w:t>80</w:t>
            </w:r>
          </w:p>
        </w:tc>
        <w:tc>
          <w:tcPr>
            <w:tcW w:w="990" w:type="dxa"/>
            <w:tcBorders>
              <w:top w:val="single" w:sz="4" w:space="0" w:color="BFBFBF"/>
              <w:left w:val="nil"/>
              <w:bottom w:val="single" w:sz="4" w:space="0" w:color="auto"/>
              <w:right w:val="single" w:sz="4" w:space="0" w:color="auto"/>
            </w:tcBorders>
            <w:vAlign w:val="center"/>
          </w:tcPr>
          <w:p w:rsidR="009571FA" w:rsidRPr="000F72B5" w:rsidRDefault="009571FA">
            <w:pPr>
              <w:spacing w:line="276" w:lineRule="auto"/>
              <w:jc w:val="center"/>
              <w:rPr>
                <w:rFonts w:ascii="Calibri" w:hAnsi="Calibri"/>
                <w:lang w:val="es-ES_tradnl"/>
              </w:rPr>
            </w:pPr>
            <w:r w:rsidRPr="000F72B5">
              <w:rPr>
                <w:rFonts w:ascii="Calibri" w:hAnsi="Calibri"/>
                <w:lang w:val="es-ES_tradnl"/>
              </w:rPr>
              <w:t>34.9</w:t>
            </w:r>
          </w:p>
        </w:tc>
        <w:tc>
          <w:tcPr>
            <w:tcW w:w="751" w:type="dxa"/>
            <w:gridSpan w:val="2"/>
            <w:tcBorders>
              <w:top w:val="single" w:sz="4" w:space="0" w:color="BFBFBF"/>
              <w:left w:val="single" w:sz="4" w:space="0" w:color="auto"/>
              <w:bottom w:val="single" w:sz="4" w:space="0" w:color="auto"/>
              <w:right w:val="nil"/>
            </w:tcBorders>
            <w:vAlign w:val="center"/>
          </w:tcPr>
          <w:p w:rsidR="009571FA" w:rsidRPr="000F72B5" w:rsidRDefault="009571FA">
            <w:pPr>
              <w:spacing w:line="276" w:lineRule="auto"/>
              <w:jc w:val="center"/>
              <w:rPr>
                <w:rFonts w:ascii="Calibri" w:hAnsi="Calibri"/>
                <w:lang w:val="es-ES_tradnl"/>
              </w:rPr>
            </w:pPr>
            <w:r w:rsidRPr="000F72B5">
              <w:rPr>
                <w:rFonts w:ascii="Calibri" w:hAnsi="Calibri"/>
                <w:lang w:val="es-ES_tradnl"/>
              </w:rPr>
              <w:t>143</w:t>
            </w:r>
          </w:p>
        </w:tc>
        <w:tc>
          <w:tcPr>
            <w:tcW w:w="884" w:type="dxa"/>
            <w:tcBorders>
              <w:top w:val="single" w:sz="4" w:space="0" w:color="BFBFBF"/>
              <w:left w:val="nil"/>
              <w:bottom w:val="single" w:sz="4" w:space="0" w:color="auto"/>
              <w:right w:val="single" w:sz="4" w:space="0" w:color="auto"/>
            </w:tcBorders>
            <w:vAlign w:val="center"/>
          </w:tcPr>
          <w:p w:rsidR="009571FA" w:rsidRPr="000F72B5" w:rsidRDefault="009571FA">
            <w:pPr>
              <w:spacing w:line="276" w:lineRule="auto"/>
              <w:jc w:val="center"/>
              <w:rPr>
                <w:rFonts w:ascii="Calibri" w:hAnsi="Calibri"/>
                <w:lang w:val="es-ES_tradnl"/>
              </w:rPr>
            </w:pPr>
            <w:r w:rsidRPr="000F72B5">
              <w:rPr>
                <w:rFonts w:ascii="Calibri" w:hAnsi="Calibri"/>
                <w:lang w:val="es-ES_tradnl"/>
              </w:rPr>
              <w:t>62.5</w:t>
            </w:r>
          </w:p>
        </w:tc>
      </w:tr>
      <w:tr w:rsidR="009571FA" w:rsidRPr="000F72B5" w:rsidTr="000F72B5">
        <w:trPr>
          <w:trHeight w:val="284"/>
          <w:jc w:val="center"/>
        </w:trPr>
        <w:tc>
          <w:tcPr>
            <w:tcW w:w="20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571FA" w:rsidRPr="000F72B5" w:rsidRDefault="009571FA">
            <w:pPr>
              <w:tabs>
                <w:tab w:val="left" w:pos="253"/>
              </w:tabs>
              <w:spacing w:line="276" w:lineRule="auto"/>
              <w:rPr>
                <w:rFonts w:ascii="Calibri" w:hAnsi="Calibri"/>
                <w:lang w:val="es-ES_tradnl"/>
              </w:rPr>
            </w:pPr>
            <w:r w:rsidRPr="000F72B5">
              <w:rPr>
                <w:rFonts w:ascii="Calibri" w:hAnsi="Calibri"/>
                <w:lang w:val="es-ES_tradnl"/>
              </w:rPr>
              <w:t xml:space="preserve"> p-value</w:t>
            </w:r>
          </w:p>
        </w:tc>
        <w:tc>
          <w:tcPr>
            <w:tcW w:w="641" w:type="dxa"/>
            <w:tcBorders>
              <w:top w:val="single" w:sz="4" w:space="0" w:color="auto"/>
              <w:left w:val="single" w:sz="4" w:space="0" w:color="auto"/>
              <w:bottom w:val="single" w:sz="4" w:space="0" w:color="auto"/>
              <w:right w:val="single" w:sz="4" w:space="0" w:color="auto"/>
            </w:tcBorders>
            <w:vAlign w:val="center"/>
          </w:tcPr>
          <w:p w:rsidR="009571FA" w:rsidRPr="000F72B5" w:rsidRDefault="009571FA">
            <w:pPr>
              <w:tabs>
                <w:tab w:val="left" w:pos="253"/>
              </w:tabs>
              <w:spacing w:line="276" w:lineRule="auto"/>
              <w:jc w:val="center"/>
              <w:rPr>
                <w:rFonts w:ascii="Calibri" w:hAnsi="Calibri"/>
                <w:lang w:val="es-ES_tradnl"/>
              </w:rPr>
            </w:pPr>
          </w:p>
        </w:tc>
        <w:tc>
          <w:tcPr>
            <w:tcW w:w="4508" w:type="dxa"/>
            <w:gridSpan w:val="7"/>
            <w:tcBorders>
              <w:top w:val="single" w:sz="4" w:space="0" w:color="auto"/>
              <w:left w:val="single" w:sz="4" w:space="0" w:color="auto"/>
              <w:bottom w:val="single" w:sz="4" w:space="0" w:color="auto"/>
              <w:right w:val="single" w:sz="4" w:space="0" w:color="auto"/>
            </w:tcBorders>
            <w:vAlign w:val="center"/>
          </w:tcPr>
          <w:p w:rsidR="009571FA" w:rsidRPr="000F72B5" w:rsidRDefault="009571FA">
            <w:pPr>
              <w:spacing w:line="276" w:lineRule="auto"/>
              <w:rPr>
                <w:rFonts w:ascii="Calibri" w:hAnsi="Calibri"/>
                <w:lang w:val="es-ES_tradnl"/>
              </w:rPr>
            </w:pPr>
            <w:r w:rsidRPr="000F72B5">
              <w:rPr>
                <w:rFonts w:ascii="Calibri" w:hAnsi="Calibri"/>
                <w:lang w:val="es-ES_tradnl"/>
              </w:rPr>
              <w:t xml:space="preserve">                                           0.9101</w:t>
            </w:r>
          </w:p>
        </w:tc>
      </w:tr>
      <w:tr w:rsidR="009571FA" w:rsidRPr="000F72B5" w:rsidTr="000F72B5">
        <w:trPr>
          <w:trHeight w:val="284"/>
          <w:jc w:val="center"/>
        </w:trPr>
        <w:tc>
          <w:tcPr>
            <w:tcW w:w="2000" w:type="dxa"/>
            <w:tcBorders>
              <w:top w:val="single" w:sz="4" w:space="0" w:color="auto"/>
              <w:left w:val="single" w:sz="4" w:space="0" w:color="auto"/>
              <w:bottom w:val="single" w:sz="4" w:space="0" w:color="auto"/>
              <w:right w:val="single" w:sz="4" w:space="0" w:color="auto"/>
            </w:tcBorders>
            <w:shd w:val="clear" w:color="auto" w:fill="DBE5F1"/>
            <w:tcMar>
              <w:top w:w="0" w:type="dxa"/>
              <w:left w:w="28" w:type="dxa"/>
              <w:bottom w:w="0" w:type="dxa"/>
              <w:right w:w="28" w:type="dxa"/>
            </w:tcMar>
            <w:vAlign w:val="center"/>
          </w:tcPr>
          <w:p w:rsidR="009571FA" w:rsidRPr="000F72B5" w:rsidRDefault="009571FA">
            <w:pPr>
              <w:tabs>
                <w:tab w:val="left" w:pos="253"/>
              </w:tabs>
              <w:spacing w:line="276" w:lineRule="auto"/>
              <w:rPr>
                <w:rFonts w:ascii="Calibri" w:hAnsi="Calibri"/>
                <w:b/>
                <w:lang w:val="es-ES_tradnl"/>
              </w:rPr>
            </w:pPr>
            <w:r w:rsidRPr="000F72B5">
              <w:rPr>
                <w:rFonts w:ascii="Calibri" w:hAnsi="Calibri"/>
                <w:b/>
                <w:lang w:val="es-ES_tradnl"/>
              </w:rPr>
              <w:t xml:space="preserve"> By Grade</w:t>
            </w:r>
          </w:p>
        </w:tc>
        <w:tc>
          <w:tcPr>
            <w:tcW w:w="641" w:type="dxa"/>
            <w:tcBorders>
              <w:top w:val="single" w:sz="4" w:space="0" w:color="auto"/>
              <w:left w:val="single" w:sz="4" w:space="0" w:color="auto"/>
              <w:bottom w:val="single" w:sz="4" w:space="0" w:color="auto"/>
              <w:right w:val="single" w:sz="4" w:space="0" w:color="auto"/>
            </w:tcBorders>
            <w:shd w:val="clear" w:color="auto" w:fill="DBE5F1"/>
            <w:vAlign w:val="center"/>
          </w:tcPr>
          <w:p w:rsidR="009571FA" w:rsidRPr="000F72B5" w:rsidRDefault="009571FA">
            <w:pPr>
              <w:tabs>
                <w:tab w:val="left" w:pos="253"/>
              </w:tabs>
              <w:spacing w:line="276" w:lineRule="auto"/>
              <w:jc w:val="center"/>
              <w:rPr>
                <w:rFonts w:ascii="Calibri" w:hAnsi="Calibri"/>
                <w:lang w:val="es-ES_tradnl"/>
              </w:rPr>
            </w:pPr>
          </w:p>
        </w:tc>
        <w:tc>
          <w:tcPr>
            <w:tcW w:w="470" w:type="dxa"/>
            <w:tcBorders>
              <w:top w:val="single" w:sz="4" w:space="0" w:color="auto"/>
              <w:left w:val="single" w:sz="4" w:space="0" w:color="auto"/>
              <w:bottom w:val="single" w:sz="4" w:space="0" w:color="auto"/>
              <w:right w:val="nil"/>
            </w:tcBorders>
            <w:shd w:val="clear" w:color="auto" w:fill="DBE5F1"/>
            <w:vAlign w:val="center"/>
          </w:tcPr>
          <w:p w:rsidR="009571FA" w:rsidRPr="000F72B5" w:rsidRDefault="009571FA">
            <w:pPr>
              <w:spacing w:line="276" w:lineRule="auto"/>
              <w:jc w:val="center"/>
              <w:rPr>
                <w:rFonts w:ascii="Calibri" w:hAnsi="Calibri"/>
                <w:lang w:val="es-ES_tradnl"/>
              </w:rPr>
            </w:pPr>
          </w:p>
        </w:tc>
        <w:tc>
          <w:tcPr>
            <w:tcW w:w="759" w:type="dxa"/>
            <w:tcBorders>
              <w:top w:val="single" w:sz="4" w:space="0" w:color="auto"/>
              <w:left w:val="nil"/>
              <w:bottom w:val="single" w:sz="4" w:space="0" w:color="auto"/>
              <w:right w:val="single" w:sz="4" w:space="0" w:color="auto"/>
            </w:tcBorders>
            <w:shd w:val="clear" w:color="auto" w:fill="DBE5F1"/>
            <w:vAlign w:val="center"/>
          </w:tcPr>
          <w:p w:rsidR="009571FA" w:rsidRPr="000F72B5" w:rsidRDefault="009571FA">
            <w:pPr>
              <w:spacing w:line="276" w:lineRule="auto"/>
              <w:jc w:val="center"/>
              <w:rPr>
                <w:rFonts w:ascii="Calibri" w:hAnsi="Calibri"/>
                <w:lang w:val="es-ES_tradnl"/>
              </w:rPr>
            </w:pPr>
          </w:p>
        </w:tc>
        <w:tc>
          <w:tcPr>
            <w:tcW w:w="654" w:type="dxa"/>
            <w:tcBorders>
              <w:top w:val="single" w:sz="4" w:space="0" w:color="auto"/>
              <w:left w:val="single" w:sz="4" w:space="0" w:color="auto"/>
              <w:bottom w:val="single" w:sz="4" w:space="0" w:color="auto"/>
              <w:right w:val="nil"/>
            </w:tcBorders>
            <w:shd w:val="clear" w:color="auto" w:fill="DBE5F1"/>
            <w:vAlign w:val="center"/>
          </w:tcPr>
          <w:p w:rsidR="009571FA" w:rsidRPr="000F72B5" w:rsidRDefault="009571FA">
            <w:pPr>
              <w:spacing w:line="276" w:lineRule="auto"/>
              <w:jc w:val="center"/>
              <w:rPr>
                <w:rFonts w:ascii="Calibri" w:hAnsi="Calibri"/>
                <w:lang w:val="es-ES_tradnl"/>
              </w:rPr>
            </w:pPr>
          </w:p>
        </w:tc>
        <w:tc>
          <w:tcPr>
            <w:tcW w:w="990" w:type="dxa"/>
            <w:tcBorders>
              <w:top w:val="single" w:sz="4" w:space="0" w:color="auto"/>
              <w:left w:val="nil"/>
              <w:bottom w:val="single" w:sz="4" w:space="0" w:color="auto"/>
              <w:right w:val="single" w:sz="4" w:space="0" w:color="auto"/>
            </w:tcBorders>
            <w:shd w:val="clear" w:color="auto" w:fill="DBE5F1"/>
            <w:vAlign w:val="center"/>
          </w:tcPr>
          <w:p w:rsidR="009571FA" w:rsidRPr="000F72B5" w:rsidRDefault="009571FA">
            <w:pPr>
              <w:spacing w:line="276" w:lineRule="auto"/>
              <w:jc w:val="center"/>
              <w:rPr>
                <w:rFonts w:ascii="Calibri" w:hAnsi="Calibri"/>
                <w:lang w:val="es-ES_tradnl"/>
              </w:rPr>
            </w:pPr>
          </w:p>
        </w:tc>
        <w:tc>
          <w:tcPr>
            <w:tcW w:w="751" w:type="dxa"/>
            <w:gridSpan w:val="2"/>
            <w:tcBorders>
              <w:top w:val="single" w:sz="4" w:space="0" w:color="auto"/>
              <w:left w:val="single" w:sz="4" w:space="0" w:color="auto"/>
              <w:bottom w:val="single" w:sz="4" w:space="0" w:color="auto"/>
              <w:right w:val="nil"/>
            </w:tcBorders>
            <w:shd w:val="clear" w:color="auto" w:fill="DBE5F1"/>
            <w:vAlign w:val="center"/>
          </w:tcPr>
          <w:p w:rsidR="009571FA" w:rsidRPr="000F72B5" w:rsidRDefault="009571FA">
            <w:pPr>
              <w:spacing w:line="276" w:lineRule="auto"/>
              <w:jc w:val="center"/>
              <w:rPr>
                <w:rFonts w:ascii="Calibri" w:hAnsi="Calibri"/>
                <w:lang w:val="es-ES_tradnl"/>
              </w:rPr>
            </w:pPr>
          </w:p>
        </w:tc>
        <w:tc>
          <w:tcPr>
            <w:tcW w:w="884" w:type="dxa"/>
            <w:tcBorders>
              <w:top w:val="single" w:sz="4" w:space="0" w:color="auto"/>
              <w:left w:val="nil"/>
              <w:bottom w:val="single" w:sz="4" w:space="0" w:color="auto"/>
              <w:right w:val="single" w:sz="4" w:space="0" w:color="auto"/>
            </w:tcBorders>
            <w:shd w:val="clear" w:color="auto" w:fill="DBE5F1"/>
            <w:vAlign w:val="center"/>
          </w:tcPr>
          <w:p w:rsidR="009571FA" w:rsidRPr="000F72B5" w:rsidRDefault="009571FA">
            <w:pPr>
              <w:spacing w:line="276" w:lineRule="auto"/>
              <w:jc w:val="center"/>
              <w:rPr>
                <w:rFonts w:ascii="Calibri" w:hAnsi="Calibri"/>
                <w:lang w:val="es-ES_tradnl"/>
              </w:rPr>
            </w:pPr>
          </w:p>
        </w:tc>
      </w:tr>
      <w:tr w:rsidR="009571FA" w:rsidRPr="000F72B5" w:rsidTr="000F72B5">
        <w:trPr>
          <w:trHeight w:val="284"/>
          <w:jc w:val="center"/>
        </w:trPr>
        <w:tc>
          <w:tcPr>
            <w:tcW w:w="2000" w:type="dxa"/>
            <w:tcBorders>
              <w:top w:val="single" w:sz="4" w:space="0" w:color="auto"/>
              <w:left w:val="single" w:sz="4" w:space="0" w:color="auto"/>
              <w:bottom w:val="single" w:sz="4" w:space="0" w:color="BFBFBF"/>
              <w:right w:val="single" w:sz="4" w:space="0" w:color="auto"/>
            </w:tcBorders>
            <w:tcMar>
              <w:top w:w="0" w:type="dxa"/>
              <w:left w:w="28" w:type="dxa"/>
              <w:bottom w:w="0" w:type="dxa"/>
              <w:right w:w="28" w:type="dxa"/>
            </w:tcMar>
            <w:vAlign w:val="center"/>
          </w:tcPr>
          <w:p w:rsidR="009571FA" w:rsidRPr="000F72B5" w:rsidRDefault="009571FA">
            <w:pPr>
              <w:tabs>
                <w:tab w:val="left" w:pos="253"/>
              </w:tabs>
              <w:spacing w:line="276" w:lineRule="auto"/>
              <w:rPr>
                <w:rFonts w:ascii="Calibri" w:hAnsi="Calibri"/>
                <w:lang w:val="es-ES_tradnl"/>
              </w:rPr>
            </w:pPr>
            <w:r w:rsidRPr="000F72B5">
              <w:rPr>
                <w:rFonts w:ascii="Calibri" w:hAnsi="Calibri"/>
                <w:lang w:val="es-ES_tradnl"/>
              </w:rPr>
              <w:tab/>
              <w:t>D</w:t>
            </w:r>
          </w:p>
        </w:tc>
        <w:tc>
          <w:tcPr>
            <w:tcW w:w="641" w:type="dxa"/>
            <w:tcBorders>
              <w:top w:val="single" w:sz="4" w:space="0" w:color="auto"/>
              <w:left w:val="single" w:sz="4" w:space="0" w:color="auto"/>
              <w:bottom w:val="single" w:sz="4" w:space="0" w:color="BFBFBF"/>
              <w:right w:val="single" w:sz="4" w:space="0" w:color="auto"/>
            </w:tcBorders>
            <w:vAlign w:val="center"/>
          </w:tcPr>
          <w:p w:rsidR="009571FA" w:rsidRPr="000F72B5" w:rsidRDefault="009571FA">
            <w:pPr>
              <w:tabs>
                <w:tab w:val="left" w:pos="253"/>
              </w:tabs>
              <w:spacing w:line="276" w:lineRule="auto"/>
              <w:jc w:val="center"/>
              <w:rPr>
                <w:rFonts w:ascii="Calibri" w:hAnsi="Calibri"/>
                <w:lang w:val="es-ES_tradnl"/>
              </w:rPr>
            </w:pPr>
            <w:r w:rsidRPr="000F72B5">
              <w:rPr>
                <w:rFonts w:ascii="Calibri" w:hAnsi="Calibri"/>
                <w:lang w:val="es-ES_tradnl"/>
              </w:rPr>
              <w:t>10</w:t>
            </w:r>
          </w:p>
        </w:tc>
        <w:tc>
          <w:tcPr>
            <w:tcW w:w="470" w:type="dxa"/>
            <w:tcBorders>
              <w:top w:val="single" w:sz="4" w:space="0" w:color="auto"/>
              <w:left w:val="single" w:sz="4" w:space="0" w:color="auto"/>
              <w:bottom w:val="single" w:sz="4" w:space="0" w:color="BFBFBF"/>
              <w:right w:val="nil"/>
            </w:tcBorders>
            <w:vAlign w:val="center"/>
          </w:tcPr>
          <w:p w:rsidR="009571FA" w:rsidRPr="000F72B5" w:rsidRDefault="009571FA">
            <w:pPr>
              <w:spacing w:line="276" w:lineRule="auto"/>
              <w:jc w:val="center"/>
              <w:rPr>
                <w:rFonts w:ascii="Calibri" w:hAnsi="Calibri"/>
                <w:lang w:val="es-ES_tradnl"/>
              </w:rPr>
            </w:pPr>
            <w:r w:rsidRPr="000F72B5">
              <w:rPr>
                <w:rFonts w:ascii="Calibri" w:hAnsi="Calibri"/>
                <w:lang w:val="es-ES_tradnl"/>
              </w:rPr>
              <w:t>0</w:t>
            </w:r>
          </w:p>
        </w:tc>
        <w:tc>
          <w:tcPr>
            <w:tcW w:w="759" w:type="dxa"/>
            <w:tcBorders>
              <w:top w:val="single" w:sz="4" w:space="0" w:color="auto"/>
              <w:left w:val="nil"/>
              <w:bottom w:val="single" w:sz="4" w:space="0" w:color="BFBFBF"/>
              <w:right w:val="single" w:sz="4" w:space="0" w:color="auto"/>
            </w:tcBorders>
            <w:vAlign w:val="center"/>
          </w:tcPr>
          <w:p w:rsidR="009571FA" w:rsidRPr="000F72B5" w:rsidRDefault="009571FA">
            <w:pPr>
              <w:spacing w:line="276" w:lineRule="auto"/>
              <w:jc w:val="center"/>
              <w:rPr>
                <w:rFonts w:ascii="Calibri" w:hAnsi="Calibri"/>
                <w:lang w:val="es-ES_tradnl"/>
              </w:rPr>
            </w:pPr>
            <w:r w:rsidRPr="000F72B5">
              <w:rPr>
                <w:rFonts w:ascii="Calibri" w:hAnsi="Calibri"/>
                <w:lang w:val="es-ES_tradnl"/>
              </w:rPr>
              <w:t>0.0</w:t>
            </w:r>
          </w:p>
        </w:tc>
        <w:tc>
          <w:tcPr>
            <w:tcW w:w="654" w:type="dxa"/>
            <w:tcBorders>
              <w:top w:val="single" w:sz="4" w:space="0" w:color="auto"/>
              <w:left w:val="single" w:sz="4" w:space="0" w:color="auto"/>
              <w:bottom w:val="single" w:sz="4" w:space="0" w:color="BFBFBF"/>
              <w:right w:val="nil"/>
            </w:tcBorders>
            <w:vAlign w:val="center"/>
          </w:tcPr>
          <w:p w:rsidR="009571FA" w:rsidRPr="000F72B5" w:rsidRDefault="009571FA">
            <w:pPr>
              <w:spacing w:line="276" w:lineRule="auto"/>
              <w:jc w:val="center"/>
              <w:rPr>
                <w:rFonts w:ascii="Calibri" w:hAnsi="Calibri"/>
                <w:lang w:val="es-ES_tradnl"/>
              </w:rPr>
            </w:pPr>
            <w:r w:rsidRPr="000F72B5">
              <w:rPr>
                <w:rFonts w:ascii="Calibri" w:hAnsi="Calibri"/>
                <w:lang w:val="es-ES_tradnl"/>
              </w:rPr>
              <w:t>5</w:t>
            </w:r>
          </w:p>
        </w:tc>
        <w:tc>
          <w:tcPr>
            <w:tcW w:w="990" w:type="dxa"/>
            <w:tcBorders>
              <w:top w:val="single" w:sz="4" w:space="0" w:color="auto"/>
              <w:left w:val="nil"/>
              <w:bottom w:val="single" w:sz="4" w:space="0" w:color="BFBFBF"/>
              <w:right w:val="single" w:sz="4" w:space="0" w:color="auto"/>
            </w:tcBorders>
            <w:vAlign w:val="center"/>
          </w:tcPr>
          <w:p w:rsidR="009571FA" w:rsidRPr="000F72B5" w:rsidRDefault="009571FA">
            <w:pPr>
              <w:spacing w:line="276" w:lineRule="auto"/>
              <w:jc w:val="center"/>
              <w:rPr>
                <w:rFonts w:ascii="Calibri" w:hAnsi="Calibri"/>
                <w:lang w:val="es-ES_tradnl"/>
              </w:rPr>
            </w:pPr>
            <w:r w:rsidRPr="000F72B5">
              <w:rPr>
                <w:rFonts w:ascii="Calibri" w:hAnsi="Calibri"/>
                <w:lang w:val="es-ES_tradnl"/>
              </w:rPr>
              <w:t>50.0</w:t>
            </w:r>
          </w:p>
        </w:tc>
        <w:tc>
          <w:tcPr>
            <w:tcW w:w="751" w:type="dxa"/>
            <w:gridSpan w:val="2"/>
            <w:tcBorders>
              <w:top w:val="single" w:sz="4" w:space="0" w:color="auto"/>
              <w:left w:val="single" w:sz="4" w:space="0" w:color="auto"/>
              <w:bottom w:val="single" w:sz="4" w:space="0" w:color="BFBFBF"/>
              <w:right w:val="nil"/>
            </w:tcBorders>
            <w:vAlign w:val="center"/>
          </w:tcPr>
          <w:p w:rsidR="009571FA" w:rsidRPr="000F72B5" w:rsidRDefault="009571FA">
            <w:pPr>
              <w:spacing w:line="276" w:lineRule="auto"/>
              <w:jc w:val="center"/>
              <w:rPr>
                <w:rFonts w:ascii="Calibri" w:hAnsi="Calibri"/>
                <w:lang w:val="es-ES_tradnl"/>
              </w:rPr>
            </w:pPr>
            <w:r w:rsidRPr="000F72B5">
              <w:rPr>
                <w:rFonts w:ascii="Calibri" w:hAnsi="Calibri"/>
                <w:lang w:val="es-ES_tradnl"/>
              </w:rPr>
              <w:t xml:space="preserve">    5</w:t>
            </w:r>
          </w:p>
        </w:tc>
        <w:tc>
          <w:tcPr>
            <w:tcW w:w="884" w:type="dxa"/>
            <w:tcBorders>
              <w:top w:val="single" w:sz="4" w:space="0" w:color="auto"/>
              <w:left w:val="nil"/>
              <w:bottom w:val="single" w:sz="4" w:space="0" w:color="BFBFBF"/>
              <w:right w:val="single" w:sz="4" w:space="0" w:color="auto"/>
            </w:tcBorders>
            <w:vAlign w:val="center"/>
          </w:tcPr>
          <w:p w:rsidR="009571FA" w:rsidRPr="000F72B5" w:rsidRDefault="009571FA">
            <w:pPr>
              <w:spacing w:line="276" w:lineRule="auto"/>
              <w:jc w:val="center"/>
              <w:rPr>
                <w:rFonts w:ascii="Calibri" w:hAnsi="Calibri"/>
                <w:lang w:val="es-ES_tradnl"/>
              </w:rPr>
            </w:pPr>
            <w:r w:rsidRPr="000F72B5">
              <w:rPr>
                <w:rFonts w:ascii="Calibri" w:hAnsi="Calibri"/>
                <w:lang w:val="es-ES_tradnl"/>
              </w:rPr>
              <w:t>50.0</w:t>
            </w:r>
          </w:p>
        </w:tc>
      </w:tr>
      <w:tr w:rsidR="009571FA" w:rsidRPr="000F72B5" w:rsidTr="000F72B5">
        <w:trPr>
          <w:trHeight w:val="284"/>
          <w:jc w:val="center"/>
        </w:trPr>
        <w:tc>
          <w:tcPr>
            <w:tcW w:w="2000" w:type="dxa"/>
            <w:tcBorders>
              <w:top w:val="single" w:sz="4" w:space="0" w:color="BFBFBF"/>
              <w:left w:val="single" w:sz="4" w:space="0" w:color="auto"/>
              <w:bottom w:val="single" w:sz="4" w:space="0" w:color="BFBFBF"/>
              <w:right w:val="single" w:sz="4" w:space="0" w:color="auto"/>
            </w:tcBorders>
            <w:tcMar>
              <w:top w:w="0" w:type="dxa"/>
              <w:left w:w="28" w:type="dxa"/>
              <w:bottom w:w="0" w:type="dxa"/>
              <w:right w:w="28" w:type="dxa"/>
            </w:tcMar>
            <w:vAlign w:val="center"/>
          </w:tcPr>
          <w:p w:rsidR="009571FA" w:rsidRPr="000F72B5" w:rsidRDefault="009571FA">
            <w:pPr>
              <w:tabs>
                <w:tab w:val="left" w:pos="253"/>
              </w:tabs>
              <w:spacing w:line="276" w:lineRule="auto"/>
              <w:rPr>
                <w:rFonts w:ascii="Calibri" w:hAnsi="Calibri"/>
                <w:lang w:val="es-ES_tradnl"/>
              </w:rPr>
            </w:pPr>
            <w:r w:rsidRPr="000F72B5">
              <w:rPr>
                <w:rFonts w:ascii="Calibri" w:hAnsi="Calibri"/>
                <w:lang w:val="es-ES_tradnl"/>
              </w:rPr>
              <w:tab/>
              <w:t>P</w:t>
            </w:r>
          </w:p>
        </w:tc>
        <w:tc>
          <w:tcPr>
            <w:tcW w:w="641" w:type="dxa"/>
            <w:tcBorders>
              <w:top w:val="single" w:sz="4" w:space="0" w:color="BFBFBF"/>
              <w:left w:val="single" w:sz="4" w:space="0" w:color="auto"/>
              <w:bottom w:val="single" w:sz="4" w:space="0" w:color="BFBFBF"/>
              <w:right w:val="single" w:sz="4" w:space="0" w:color="auto"/>
            </w:tcBorders>
            <w:vAlign w:val="center"/>
          </w:tcPr>
          <w:p w:rsidR="009571FA" w:rsidRPr="000F72B5" w:rsidRDefault="009571FA">
            <w:pPr>
              <w:tabs>
                <w:tab w:val="left" w:pos="253"/>
              </w:tabs>
              <w:spacing w:line="276" w:lineRule="auto"/>
              <w:jc w:val="center"/>
              <w:rPr>
                <w:rFonts w:ascii="Calibri" w:hAnsi="Calibri"/>
                <w:lang w:val="es-ES_tradnl"/>
              </w:rPr>
            </w:pPr>
            <w:r w:rsidRPr="000F72B5">
              <w:rPr>
                <w:rFonts w:ascii="Calibri" w:hAnsi="Calibri"/>
                <w:lang w:val="es-ES_tradnl"/>
              </w:rPr>
              <w:t>262</w:t>
            </w:r>
          </w:p>
        </w:tc>
        <w:tc>
          <w:tcPr>
            <w:tcW w:w="470" w:type="dxa"/>
            <w:tcBorders>
              <w:top w:val="single" w:sz="4" w:space="0" w:color="BFBFBF"/>
              <w:left w:val="single" w:sz="4" w:space="0" w:color="auto"/>
              <w:bottom w:val="single" w:sz="4" w:space="0" w:color="BFBFBF"/>
              <w:right w:val="nil"/>
            </w:tcBorders>
            <w:vAlign w:val="center"/>
          </w:tcPr>
          <w:p w:rsidR="009571FA" w:rsidRPr="000F72B5" w:rsidRDefault="009571FA">
            <w:pPr>
              <w:spacing w:line="276" w:lineRule="auto"/>
              <w:jc w:val="center"/>
              <w:rPr>
                <w:rFonts w:ascii="Calibri" w:hAnsi="Calibri"/>
                <w:lang w:val="es-ES_tradnl"/>
              </w:rPr>
            </w:pPr>
            <w:r w:rsidRPr="000F72B5">
              <w:rPr>
                <w:rFonts w:ascii="Calibri" w:hAnsi="Calibri"/>
                <w:lang w:val="es-ES_tradnl"/>
              </w:rPr>
              <w:t>4</w:t>
            </w:r>
          </w:p>
        </w:tc>
        <w:tc>
          <w:tcPr>
            <w:tcW w:w="759" w:type="dxa"/>
            <w:tcBorders>
              <w:top w:val="single" w:sz="4" w:space="0" w:color="BFBFBF"/>
              <w:left w:val="nil"/>
              <w:bottom w:val="single" w:sz="4" w:space="0" w:color="BFBFBF"/>
              <w:right w:val="single" w:sz="4" w:space="0" w:color="auto"/>
            </w:tcBorders>
            <w:vAlign w:val="center"/>
          </w:tcPr>
          <w:p w:rsidR="009571FA" w:rsidRPr="000F72B5" w:rsidRDefault="009571FA">
            <w:pPr>
              <w:spacing w:line="276" w:lineRule="auto"/>
              <w:jc w:val="center"/>
              <w:rPr>
                <w:rFonts w:ascii="Calibri" w:hAnsi="Calibri"/>
                <w:lang w:val="es-ES_tradnl"/>
              </w:rPr>
            </w:pPr>
            <w:r w:rsidRPr="000F72B5">
              <w:rPr>
                <w:rFonts w:ascii="Calibri" w:hAnsi="Calibri"/>
                <w:lang w:val="es-ES_tradnl"/>
              </w:rPr>
              <w:t>1.5</w:t>
            </w:r>
          </w:p>
        </w:tc>
        <w:tc>
          <w:tcPr>
            <w:tcW w:w="654" w:type="dxa"/>
            <w:tcBorders>
              <w:top w:val="single" w:sz="4" w:space="0" w:color="BFBFBF"/>
              <w:left w:val="single" w:sz="4" w:space="0" w:color="auto"/>
              <w:bottom w:val="single" w:sz="4" w:space="0" w:color="BFBFBF"/>
              <w:right w:val="nil"/>
            </w:tcBorders>
            <w:vAlign w:val="center"/>
          </w:tcPr>
          <w:p w:rsidR="009571FA" w:rsidRPr="000F72B5" w:rsidRDefault="009571FA">
            <w:pPr>
              <w:spacing w:line="276" w:lineRule="auto"/>
              <w:jc w:val="center"/>
              <w:rPr>
                <w:rFonts w:ascii="Calibri" w:hAnsi="Calibri"/>
                <w:lang w:val="es-ES_tradnl"/>
              </w:rPr>
            </w:pPr>
            <w:r w:rsidRPr="000F72B5">
              <w:rPr>
                <w:rFonts w:ascii="Calibri" w:hAnsi="Calibri"/>
                <w:lang w:val="es-ES_tradnl"/>
              </w:rPr>
              <w:t>80</w:t>
            </w:r>
          </w:p>
        </w:tc>
        <w:tc>
          <w:tcPr>
            <w:tcW w:w="990" w:type="dxa"/>
            <w:tcBorders>
              <w:top w:val="single" w:sz="4" w:space="0" w:color="BFBFBF"/>
              <w:left w:val="nil"/>
              <w:bottom w:val="single" w:sz="4" w:space="0" w:color="BFBFBF"/>
              <w:right w:val="single" w:sz="4" w:space="0" w:color="auto"/>
            </w:tcBorders>
            <w:vAlign w:val="center"/>
          </w:tcPr>
          <w:p w:rsidR="009571FA" w:rsidRPr="000F72B5" w:rsidRDefault="009571FA">
            <w:pPr>
              <w:spacing w:line="276" w:lineRule="auto"/>
              <w:jc w:val="center"/>
              <w:rPr>
                <w:rFonts w:ascii="Calibri" w:hAnsi="Calibri"/>
                <w:lang w:val="es-ES_tradnl"/>
              </w:rPr>
            </w:pPr>
            <w:r w:rsidRPr="000F72B5">
              <w:rPr>
                <w:rFonts w:ascii="Calibri" w:hAnsi="Calibri"/>
                <w:lang w:val="es-ES_tradnl"/>
              </w:rPr>
              <w:t>30.5</w:t>
            </w:r>
          </w:p>
        </w:tc>
        <w:tc>
          <w:tcPr>
            <w:tcW w:w="751" w:type="dxa"/>
            <w:gridSpan w:val="2"/>
            <w:tcBorders>
              <w:top w:val="single" w:sz="4" w:space="0" w:color="BFBFBF"/>
              <w:left w:val="single" w:sz="4" w:space="0" w:color="auto"/>
              <w:bottom w:val="single" w:sz="4" w:space="0" w:color="BFBFBF"/>
              <w:right w:val="nil"/>
            </w:tcBorders>
            <w:vAlign w:val="center"/>
          </w:tcPr>
          <w:p w:rsidR="009571FA" w:rsidRPr="000F72B5" w:rsidRDefault="009571FA">
            <w:pPr>
              <w:spacing w:line="276" w:lineRule="auto"/>
              <w:jc w:val="center"/>
              <w:rPr>
                <w:rFonts w:ascii="Calibri" w:hAnsi="Calibri"/>
                <w:lang w:val="es-ES_tradnl"/>
              </w:rPr>
            </w:pPr>
            <w:r w:rsidRPr="000F72B5">
              <w:rPr>
                <w:rFonts w:ascii="Calibri" w:hAnsi="Calibri"/>
                <w:lang w:val="es-ES_tradnl"/>
              </w:rPr>
              <w:t xml:space="preserve">  178</w:t>
            </w:r>
          </w:p>
        </w:tc>
        <w:tc>
          <w:tcPr>
            <w:tcW w:w="884" w:type="dxa"/>
            <w:tcBorders>
              <w:top w:val="single" w:sz="4" w:space="0" w:color="BFBFBF"/>
              <w:left w:val="nil"/>
              <w:bottom w:val="single" w:sz="4" w:space="0" w:color="BFBFBF"/>
              <w:right w:val="single" w:sz="4" w:space="0" w:color="auto"/>
            </w:tcBorders>
            <w:vAlign w:val="center"/>
          </w:tcPr>
          <w:p w:rsidR="009571FA" w:rsidRPr="000F72B5" w:rsidRDefault="009571FA">
            <w:pPr>
              <w:spacing w:line="276" w:lineRule="auto"/>
              <w:jc w:val="center"/>
              <w:rPr>
                <w:rFonts w:ascii="Calibri" w:hAnsi="Calibri"/>
                <w:lang w:val="es-ES_tradnl"/>
              </w:rPr>
            </w:pPr>
            <w:r w:rsidRPr="000F72B5">
              <w:rPr>
                <w:rFonts w:ascii="Calibri" w:hAnsi="Calibri"/>
                <w:lang w:val="es-ES_tradnl"/>
              </w:rPr>
              <w:t>67.9</w:t>
            </w:r>
          </w:p>
        </w:tc>
      </w:tr>
      <w:tr w:rsidR="009571FA" w:rsidRPr="000F72B5" w:rsidTr="00CD5BEF">
        <w:trPr>
          <w:trHeight w:val="284"/>
          <w:jc w:val="center"/>
        </w:trPr>
        <w:tc>
          <w:tcPr>
            <w:tcW w:w="2000" w:type="dxa"/>
            <w:tcBorders>
              <w:top w:val="single" w:sz="4" w:space="0" w:color="BFBFBF"/>
              <w:left w:val="single" w:sz="4" w:space="0" w:color="auto"/>
              <w:bottom w:val="single" w:sz="4" w:space="0" w:color="BFBFBF"/>
              <w:right w:val="single" w:sz="4" w:space="0" w:color="auto"/>
            </w:tcBorders>
            <w:tcMar>
              <w:top w:w="0" w:type="dxa"/>
              <w:left w:w="28" w:type="dxa"/>
              <w:bottom w:w="0" w:type="dxa"/>
              <w:right w:w="28" w:type="dxa"/>
            </w:tcMar>
            <w:vAlign w:val="center"/>
          </w:tcPr>
          <w:p w:rsidR="009571FA" w:rsidRPr="000F72B5" w:rsidRDefault="009571FA">
            <w:pPr>
              <w:tabs>
                <w:tab w:val="left" w:pos="253"/>
              </w:tabs>
              <w:spacing w:line="276" w:lineRule="auto"/>
              <w:rPr>
                <w:rFonts w:ascii="Calibri" w:hAnsi="Calibri"/>
                <w:lang w:val="es-ES_tradnl"/>
              </w:rPr>
            </w:pPr>
            <w:r w:rsidRPr="000F72B5">
              <w:rPr>
                <w:rFonts w:ascii="Calibri" w:hAnsi="Calibri"/>
                <w:lang w:val="es-ES_tradnl"/>
              </w:rPr>
              <w:tab/>
              <w:t>G</w:t>
            </w:r>
          </w:p>
        </w:tc>
        <w:tc>
          <w:tcPr>
            <w:tcW w:w="641" w:type="dxa"/>
            <w:tcBorders>
              <w:top w:val="single" w:sz="4" w:space="0" w:color="BFBFBF"/>
              <w:left w:val="single" w:sz="4" w:space="0" w:color="auto"/>
              <w:bottom w:val="single" w:sz="4" w:space="0" w:color="BFBFBF"/>
              <w:right w:val="single" w:sz="4" w:space="0" w:color="auto"/>
            </w:tcBorders>
            <w:vAlign w:val="center"/>
          </w:tcPr>
          <w:p w:rsidR="009571FA" w:rsidRPr="000F72B5" w:rsidRDefault="009571FA">
            <w:pPr>
              <w:tabs>
                <w:tab w:val="left" w:pos="253"/>
              </w:tabs>
              <w:spacing w:line="276" w:lineRule="auto"/>
              <w:jc w:val="center"/>
              <w:rPr>
                <w:rFonts w:ascii="Calibri" w:hAnsi="Calibri"/>
                <w:lang w:val="es-ES_tradnl"/>
              </w:rPr>
            </w:pPr>
            <w:r w:rsidRPr="000F72B5">
              <w:rPr>
                <w:rFonts w:ascii="Calibri" w:hAnsi="Calibri"/>
                <w:lang w:val="es-ES_tradnl"/>
              </w:rPr>
              <w:t>104</w:t>
            </w:r>
          </w:p>
        </w:tc>
        <w:tc>
          <w:tcPr>
            <w:tcW w:w="470" w:type="dxa"/>
            <w:tcBorders>
              <w:top w:val="single" w:sz="4" w:space="0" w:color="BFBFBF"/>
              <w:left w:val="single" w:sz="4" w:space="0" w:color="auto"/>
              <w:bottom w:val="single" w:sz="4" w:space="0" w:color="BFBFBF"/>
              <w:right w:val="nil"/>
            </w:tcBorders>
            <w:vAlign w:val="center"/>
          </w:tcPr>
          <w:p w:rsidR="009571FA" w:rsidRPr="000F72B5" w:rsidRDefault="009571FA">
            <w:pPr>
              <w:spacing w:line="276" w:lineRule="auto"/>
              <w:jc w:val="center"/>
              <w:rPr>
                <w:rFonts w:ascii="Calibri" w:hAnsi="Calibri"/>
                <w:lang w:val="es-ES_tradnl"/>
              </w:rPr>
            </w:pPr>
            <w:r w:rsidRPr="000F72B5">
              <w:rPr>
                <w:rFonts w:ascii="Calibri" w:hAnsi="Calibri"/>
                <w:lang w:val="es-ES_tradnl"/>
              </w:rPr>
              <w:t>6</w:t>
            </w:r>
          </w:p>
        </w:tc>
        <w:tc>
          <w:tcPr>
            <w:tcW w:w="759" w:type="dxa"/>
            <w:tcBorders>
              <w:top w:val="single" w:sz="4" w:space="0" w:color="BFBFBF"/>
              <w:left w:val="nil"/>
              <w:bottom w:val="single" w:sz="4" w:space="0" w:color="BFBFBF"/>
              <w:right w:val="single" w:sz="4" w:space="0" w:color="auto"/>
            </w:tcBorders>
            <w:vAlign w:val="center"/>
          </w:tcPr>
          <w:p w:rsidR="009571FA" w:rsidRPr="000F72B5" w:rsidRDefault="009571FA">
            <w:pPr>
              <w:spacing w:line="276" w:lineRule="auto"/>
              <w:jc w:val="center"/>
              <w:rPr>
                <w:rFonts w:ascii="Calibri" w:hAnsi="Calibri"/>
                <w:lang w:val="es-ES_tradnl"/>
              </w:rPr>
            </w:pPr>
            <w:r w:rsidRPr="000F72B5">
              <w:rPr>
                <w:rFonts w:ascii="Calibri" w:hAnsi="Calibri"/>
                <w:lang w:val="es-ES_tradnl"/>
              </w:rPr>
              <w:t>5.8</w:t>
            </w:r>
          </w:p>
        </w:tc>
        <w:tc>
          <w:tcPr>
            <w:tcW w:w="654" w:type="dxa"/>
            <w:tcBorders>
              <w:top w:val="single" w:sz="4" w:space="0" w:color="BFBFBF"/>
              <w:left w:val="single" w:sz="4" w:space="0" w:color="auto"/>
              <w:bottom w:val="single" w:sz="4" w:space="0" w:color="BFBFBF"/>
              <w:right w:val="nil"/>
            </w:tcBorders>
            <w:vAlign w:val="center"/>
          </w:tcPr>
          <w:p w:rsidR="009571FA" w:rsidRPr="000F72B5" w:rsidRDefault="009571FA">
            <w:pPr>
              <w:spacing w:line="276" w:lineRule="auto"/>
              <w:jc w:val="center"/>
              <w:rPr>
                <w:rFonts w:ascii="Calibri" w:hAnsi="Calibri"/>
                <w:lang w:val="es-ES_tradnl"/>
              </w:rPr>
            </w:pPr>
            <w:r w:rsidRPr="000F72B5">
              <w:rPr>
                <w:rFonts w:ascii="Calibri" w:hAnsi="Calibri"/>
                <w:lang w:val="es-ES_tradnl"/>
              </w:rPr>
              <w:t>42</w:t>
            </w:r>
          </w:p>
        </w:tc>
        <w:tc>
          <w:tcPr>
            <w:tcW w:w="990" w:type="dxa"/>
            <w:tcBorders>
              <w:top w:val="single" w:sz="4" w:space="0" w:color="BFBFBF"/>
              <w:left w:val="nil"/>
              <w:bottom w:val="single" w:sz="4" w:space="0" w:color="BFBFBF"/>
              <w:right w:val="single" w:sz="4" w:space="0" w:color="auto"/>
            </w:tcBorders>
            <w:vAlign w:val="center"/>
          </w:tcPr>
          <w:p w:rsidR="009571FA" w:rsidRPr="000F72B5" w:rsidRDefault="009571FA">
            <w:pPr>
              <w:spacing w:line="276" w:lineRule="auto"/>
              <w:jc w:val="center"/>
              <w:rPr>
                <w:rFonts w:ascii="Calibri" w:hAnsi="Calibri"/>
                <w:lang w:val="es-ES_tradnl"/>
              </w:rPr>
            </w:pPr>
            <w:r w:rsidRPr="000F72B5">
              <w:rPr>
                <w:rFonts w:ascii="Calibri" w:hAnsi="Calibri"/>
                <w:lang w:val="es-ES_tradnl"/>
              </w:rPr>
              <w:t>40.4</w:t>
            </w:r>
          </w:p>
        </w:tc>
        <w:tc>
          <w:tcPr>
            <w:tcW w:w="266" w:type="dxa"/>
            <w:vMerge w:val="restart"/>
            <w:tcBorders>
              <w:top w:val="single" w:sz="4" w:space="0" w:color="BFBFBF"/>
              <w:left w:val="single" w:sz="4" w:space="0" w:color="auto"/>
              <w:bottom w:val="single" w:sz="4" w:space="0" w:color="auto"/>
              <w:right w:val="nil"/>
            </w:tcBorders>
            <w:vAlign w:val="center"/>
          </w:tcPr>
          <w:p w:rsidR="009571FA" w:rsidRPr="000F72B5" w:rsidRDefault="009571FA">
            <w:pPr>
              <w:spacing w:line="276" w:lineRule="auto"/>
              <w:rPr>
                <w:rFonts w:ascii="Calibri" w:hAnsi="Calibri"/>
              </w:rPr>
            </w:pPr>
          </w:p>
        </w:tc>
        <w:tc>
          <w:tcPr>
            <w:tcW w:w="485" w:type="dxa"/>
            <w:tcBorders>
              <w:top w:val="single" w:sz="4" w:space="0" w:color="BFBFBF"/>
              <w:left w:val="nil"/>
              <w:bottom w:val="single" w:sz="4" w:space="0" w:color="BFBFBF"/>
              <w:right w:val="nil"/>
            </w:tcBorders>
            <w:vAlign w:val="center"/>
          </w:tcPr>
          <w:p w:rsidR="009571FA" w:rsidRPr="000F72B5" w:rsidRDefault="009571FA">
            <w:pPr>
              <w:spacing w:line="276" w:lineRule="auto"/>
              <w:rPr>
                <w:rFonts w:ascii="Calibri" w:hAnsi="Calibri"/>
                <w:lang w:val="es-ES_tradnl"/>
              </w:rPr>
            </w:pPr>
            <w:r w:rsidRPr="000F72B5">
              <w:rPr>
                <w:rFonts w:ascii="Calibri" w:hAnsi="Calibri"/>
                <w:lang w:val="es-ES_tradnl"/>
              </w:rPr>
              <w:t>56</w:t>
            </w:r>
          </w:p>
        </w:tc>
        <w:tc>
          <w:tcPr>
            <w:tcW w:w="884" w:type="dxa"/>
            <w:tcBorders>
              <w:top w:val="single" w:sz="4" w:space="0" w:color="BFBFBF"/>
              <w:left w:val="nil"/>
              <w:bottom w:val="single" w:sz="4" w:space="0" w:color="BFBFBF"/>
              <w:right w:val="single" w:sz="4" w:space="0" w:color="auto"/>
            </w:tcBorders>
            <w:vAlign w:val="center"/>
          </w:tcPr>
          <w:p w:rsidR="009571FA" w:rsidRPr="000F72B5" w:rsidRDefault="009571FA">
            <w:pPr>
              <w:spacing w:line="276" w:lineRule="auto"/>
              <w:jc w:val="center"/>
              <w:rPr>
                <w:rFonts w:ascii="Calibri" w:hAnsi="Calibri"/>
                <w:lang w:val="es-ES_tradnl"/>
              </w:rPr>
            </w:pPr>
            <w:r w:rsidRPr="000F72B5">
              <w:rPr>
                <w:rFonts w:ascii="Calibri" w:hAnsi="Calibri"/>
                <w:lang w:val="es-ES_tradnl"/>
              </w:rPr>
              <w:t>53.8</w:t>
            </w:r>
          </w:p>
        </w:tc>
      </w:tr>
      <w:tr w:rsidR="009571FA" w:rsidRPr="000F72B5" w:rsidTr="00CD5BEF">
        <w:trPr>
          <w:trHeight w:val="284"/>
          <w:jc w:val="center"/>
        </w:trPr>
        <w:tc>
          <w:tcPr>
            <w:tcW w:w="2000" w:type="dxa"/>
            <w:tcBorders>
              <w:top w:val="single" w:sz="4" w:space="0" w:color="BFBFBF"/>
              <w:left w:val="single" w:sz="4" w:space="0" w:color="auto"/>
              <w:bottom w:val="single" w:sz="4" w:space="0" w:color="auto"/>
              <w:right w:val="single" w:sz="4" w:space="0" w:color="auto"/>
            </w:tcBorders>
            <w:tcMar>
              <w:top w:w="0" w:type="dxa"/>
              <w:left w:w="28" w:type="dxa"/>
              <w:bottom w:w="0" w:type="dxa"/>
              <w:right w:w="28" w:type="dxa"/>
            </w:tcMar>
            <w:vAlign w:val="center"/>
          </w:tcPr>
          <w:p w:rsidR="009571FA" w:rsidRPr="000F72B5" w:rsidRDefault="009571FA">
            <w:pPr>
              <w:tabs>
                <w:tab w:val="left" w:pos="253"/>
              </w:tabs>
              <w:spacing w:line="276" w:lineRule="auto"/>
              <w:rPr>
                <w:rFonts w:ascii="Calibri" w:hAnsi="Calibri"/>
                <w:lang w:val="es-ES_tradnl"/>
              </w:rPr>
            </w:pPr>
            <w:r w:rsidRPr="000F72B5">
              <w:rPr>
                <w:rFonts w:ascii="Calibri" w:hAnsi="Calibri"/>
                <w:lang w:val="es-ES_tradnl"/>
              </w:rPr>
              <w:tab/>
              <w:t>Other</w:t>
            </w:r>
          </w:p>
        </w:tc>
        <w:tc>
          <w:tcPr>
            <w:tcW w:w="641" w:type="dxa"/>
            <w:tcBorders>
              <w:top w:val="single" w:sz="4" w:space="0" w:color="BFBFBF"/>
              <w:left w:val="single" w:sz="4" w:space="0" w:color="auto"/>
              <w:bottom w:val="single" w:sz="4" w:space="0" w:color="auto"/>
              <w:right w:val="single" w:sz="4" w:space="0" w:color="auto"/>
            </w:tcBorders>
            <w:vAlign w:val="center"/>
          </w:tcPr>
          <w:p w:rsidR="009571FA" w:rsidRPr="000F72B5" w:rsidRDefault="009571FA">
            <w:pPr>
              <w:tabs>
                <w:tab w:val="left" w:pos="253"/>
              </w:tabs>
              <w:spacing w:line="276" w:lineRule="auto"/>
              <w:jc w:val="center"/>
              <w:rPr>
                <w:rFonts w:ascii="Calibri" w:hAnsi="Calibri"/>
                <w:lang w:val="es-ES_tradnl"/>
              </w:rPr>
            </w:pPr>
            <w:r w:rsidRPr="000F72B5">
              <w:rPr>
                <w:rFonts w:ascii="Calibri" w:hAnsi="Calibri"/>
                <w:lang w:val="es-ES_tradnl"/>
              </w:rPr>
              <w:t>14</w:t>
            </w:r>
          </w:p>
        </w:tc>
        <w:tc>
          <w:tcPr>
            <w:tcW w:w="470" w:type="dxa"/>
            <w:tcBorders>
              <w:top w:val="single" w:sz="4" w:space="0" w:color="BFBFBF"/>
              <w:left w:val="single" w:sz="4" w:space="0" w:color="auto"/>
              <w:bottom w:val="single" w:sz="4" w:space="0" w:color="auto"/>
              <w:right w:val="nil"/>
            </w:tcBorders>
            <w:vAlign w:val="center"/>
          </w:tcPr>
          <w:p w:rsidR="009571FA" w:rsidRPr="000F72B5" w:rsidRDefault="009571FA">
            <w:pPr>
              <w:spacing w:line="276" w:lineRule="auto"/>
              <w:jc w:val="center"/>
              <w:rPr>
                <w:rFonts w:ascii="Calibri" w:hAnsi="Calibri"/>
                <w:lang w:val="es-ES_tradnl"/>
              </w:rPr>
            </w:pPr>
            <w:r w:rsidRPr="000F72B5">
              <w:rPr>
                <w:rFonts w:ascii="Calibri" w:hAnsi="Calibri"/>
                <w:lang w:val="es-ES_tradnl"/>
              </w:rPr>
              <w:t>0</w:t>
            </w:r>
          </w:p>
        </w:tc>
        <w:tc>
          <w:tcPr>
            <w:tcW w:w="759" w:type="dxa"/>
            <w:tcBorders>
              <w:top w:val="single" w:sz="4" w:space="0" w:color="BFBFBF"/>
              <w:left w:val="nil"/>
              <w:bottom w:val="single" w:sz="4" w:space="0" w:color="auto"/>
              <w:right w:val="single" w:sz="4" w:space="0" w:color="auto"/>
            </w:tcBorders>
            <w:vAlign w:val="center"/>
          </w:tcPr>
          <w:p w:rsidR="009571FA" w:rsidRPr="000F72B5" w:rsidRDefault="009571FA">
            <w:pPr>
              <w:spacing w:line="276" w:lineRule="auto"/>
              <w:jc w:val="center"/>
              <w:rPr>
                <w:rFonts w:ascii="Calibri" w:hAnsi="Calibri"/>
                <w:lang w:val="es-ES_tradnl"/>
              </w:rPr>
            </w:pPr>
            <w:r w:rsidRPr="000F72B5">
              <w:rPr>
                <w:rFonts w:ascii="Calibri" w:hAnsi="Calibri"/>
                <w:lang w:val="es-ES_tradnl"/>
              </w:rPr>
              <w:t>0.0</w:t>
            </w:r>
          </w:p>
        </w:tc>
        <w:tc>
          <w:tcPr>
            <w:tcW w:w="654" w:type="dxa"/>
            <w:tcBorders>
              <w:top w:val="single" w:sz="4" w:space="0" w:color="BFBFBF"/>
              <w:left w:val="single" w:sz="4" w:space="0" w:color="auto"/>
              <w:bottom w:val="single" w:sz="4" w:space="0" w:color="auto"/>
              <w:right w:val="nil"/>
            </w:tcBorders>
            <w:vAlign w:val="center"/>
          </w:tcPr>
          <w:p w:rsidR="009571FA" w:rsidRPr="000F72B5" w:rsidRDefault="009571FA">
            <w:pPr>
              <w:spacing w:line="276" w:lineRule="auto"/>
              <w:jc w:val="center"/>
              <w:rPr>
                <w:rFonts w:ascii="Calibri" w:hAnsi="Calibri"/>
                <w:lang w:val="es-ES_tradnl"/>
              </w:rPr>
            </w:pPr>
            <w:r w:rsidRPr="000F72B5">
              <w:rPr>
                <w:rFonts w:ascii="Calibri" w:hAnsi="Calibri"/>
                <w:lang w:val="es-ES_tradnl"/>
              </w:rPr>
              <w:t>6</w:t>
            </w:r>
          </w:p>
        </w:tc>
        <w:tc>
          <w:tcPr>
            <w:tcW w:w="990" w:type="dxa"/>
            <w:tcBorders>
              <w:top w:val="single" w:sz="4" w:space="0" w:color="BFBFBF"/>
              <w:left w:val="nil"/>
              <w:bottom w:val="single" w:sz="4" w:space="0" w:color="auto"/>
              <w:right w:val="single" w:sz="4" w:space="0" w:color="auto"/>
            </w:tcBorders>
            <w:vAlign w:val="center"/>
          </w:tcPr>
          <w:p w:rsidR="009571FA" w:rsidRPr="000F72B5" w:rsidRDefault="009571FA">
            <w:pPr>
              <w:spacing w:line="276" w:lineRule="auto"/>
              <w:jc w:val="center"/>
              <w:rPr>
                <w:rFonts w:ascii="Calibri" w:hAnsi="Calibri"/>
                <w:lang w:val="es-ES_tradnl"/>
              </w:rPr>
            </w:pPr>
            <w:r w:rsidRPr="000F72B5">
              <w:rPr>
                <w:rFonts w:ascii="Calibri" w:hAnsi="Calibri"/>
                <w:lang w:val="es-ES_tradnl"/>
              </w:rPr>
              <w:t>42.9</w:t>
            </w:r>
          </w:p>
        </w:tc>
        <w:tc>
          <w:tcPr>
            <w:tcW w:w="0" w:type="auto"/>
            <w:vMerge/>
            <w:tcBorders>
              <w:top w:val="single" w:sz="4" w:space="0" w:color="BFBFBF"/>
              <w:left w:val="single" w:sz="4" w:space="0" w:color="auto"/>
              <w:bottom w:val="single" w:sz="4" w:space="0" w:color="auto"/>
              <w:right w:val="nil"/>
            </w:tcBorders>
            <w:vAlign w:val="center"/>
          </w:tcPr>
          <w:p w:rsidR="009571FA" w:rsidRPr="000F72B5" w:rsidRDefault="009571FA">
            <w:pPr>
              <w:rPr>
                <w:rFonts w:ascii="Calibri" w:hAnsi="Calibri"/>
              </w:rPr>
            </w:pPr>
          </w:p>
        </w:tc>
        <w:tc>
          <w:tcPr>
            <w:tcW w:w="485" w:type="dxa"/>
            <w:tcBorders>
              <w:top w:val="single" w:sz="4" w:space="0" w:color="BFBFBF"/>
              <w:left w:val="nil"/>
              <w:bottom w:val="single" w:sz="4" w:space="0" w:color="auto"/>
              <w:right w:val="nil"/>
            </w:tcBorders>
            <w:vAlign w:val="center"/>
          </w:tcPr>
          <w:p w:rsidR="009571FA" w:rsidRPr="000F72B5" w:rsidRDefault="009571FA">
            <w:pPr>
              <w:spacing w:line="276" w:lineRule="auto"/>
              <w:jc w:val="center"/>
              <w:rPr>
                <w:rFonts w:ascii="Calibri" w:hAnsi="Calibri"/>
                <w:lang w:val="es-ES_tradnl"/>
              </w:rPr>
            </w:pPr>
            <w:r w:rsidRPr="000F72B5">
              <w:rPr>
                <w:rFonts w:ascii="Calibri" w:hAnsi="Calibri"/>
                <w:lang w:val="es-ES_tradnl"/>
              </w:rPr>
              <w:t>8</w:t>
            </w:r>
          </w:p>
        </w:tc>
        <w:tc>
          <w:tcPr>
            <w:tcW w:w="884" w:type="dxa"/>
            <w:tcBorders>
              <w:top w:val="single" w:sz="4" w:space="0" w:color="BFBFBF"/>
              <w:left w:val="nil"/>
              <w:bottom w:val="single" w:sz="4" w:space="0" w:color="auto"/>
              <w:right w:val="single" w:sz="4" w:space="0" w:color="auto"/>
            </w:tcBorders>
            <w:vAlign w:val="center"/>
          </w:tcPr>
          <w:p w:rsidR="009571FA" w:rsidRPr="000F72B5" w:rsidRDefault="009571FA">
            <w:pPr>
              <w:spacing w:line="276" w:lineRule="auto"/>
              <w:jc w:val="center"/>
              <w:rPr>
                <w:rFonts w:ascii="Calibri" w:hAnsi="Calibri"/>
                <w:lang w:val="es-ES_tradnl"/>
              </w:rPr>
            </w:pPr>
            <w:r w:rsidRPr="000F72B5">
              <w:rPr>
                <w:rFonts w:ascii="Calibri" w:hAnsi="Calibri"/>
                <w:lang w:val="es-ES_tradnl"/>
              </w:rPr>
              <w:t>57.1</w:t>
            </w:r>
          </w:p>
        </w:tc>
      </w:tr>
      <w:tr w:rsidR="009571FA" w:rsidRPr="000F72B5" w:rsidTr="000F72B5">
        <w:trPr>
          <w:trHeight w:val="284"/>
          <w:jc w:val="center"/>
        </w:trPr>
        <w:tc>
          <w:tcPr>
            <w:tcW w:w="2000"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9571FA" w:rsidRPr="000F72B5" w:rsidRDefault="009571FA">
            <w:pPr>
              <w:tabs>
                <w:tab w:val="left" w:pos="253"/>
              </w:tabs>
              <w:spacing w:line="276" w:lineRule="auto"/>
              <w:rPr>
                <w:rFonts w:ascii="Calibri" w:hAnsi="Calibri"/>
                <w:lang w:val="es-ES_tradnl"/>
              </w:rPr>
            </w:pPr>
            <w:r w:rsidRPr="000F72B5">
              <w:rPr>
                <w:rFonts w:ascii="Calibri" w:hAnsi="Calibri"/>
                <w:lang w:val="es-ES_tradnl"/>
              </w:rPr>
              <w:t xml:space="preserve"> p-value</w:t>
            </w:r>
          </w:p>
        </w:tc>
        <w:tc>
          <w:tcPr>
            <w:tcW w:w="641" w:type="dxa"/>
            <w:tcBorders>
              <w:top w:val="nil"/>
              <w:left w:val="single" w:sz="4" w:space="0" w:color="auto"/>
              <w:bottom w:val="single" w:sz="4" w:space="0" w:color="auto"/>
              <w:right w:val="single" w:sz="4" w:space="0" w:color="auto"/>
            </w:tcBorders>
            <w:vAlign w:val="center"/>
          </w:tcPr>
          <w:p w:rsidR="009571FA" w:rsidRPr="000F72B5" w:rsidRDefault="009571FA">
            <w:pPr>
              <w:tabs>
                <w:tab w:val="left" w:pos="253"/>
              </w:tabs>
              <w:spacing w:line="276" w:lineRule="auto"/>
              <w:jc w:val="center"/>
              <w:rPr>
                <w:rFonts w:ascii="Calibri" w:hAnsi="Calibri"/>
                <w:lang w:val="es-ES_tradnl"/>
              </w:rPr>
            </w:pPr>
          </w:p>
        </w:tc>
        <w:tc>
          <w:tcPr>
            <w:tcW w:w="4508" w:type="dxa"/>
            <w:gridSpan w:val="7"/>
            <w:tcBorders>
              <w:top w:val="nil"/>
              <w:left w:val="single" w:sz="4" w:space="0" w:color="auto"/>
              <w:bottom w:val="single" w:sz="4" w:space="0" w:color="auto"/>
              <w:right w:val="single" w:sz="4" w:space="0" w:color="auto"/>
            </w:tcBorders>
            <w:vAlign w:val="center"/>
          </w:tcPr>
          <w:p w:rsidR="009571FA" w:rsidRPr="000F72B5" w:rsidRDefault="009571FA">
            <w:pPr>
              <w:spacing w:line="276" w:lineRule="auto"/>
              <w:rPr>
                <w:rFonts w:ascii="Calibri" w:hAnsi="Calibri"/>
                <w:lang w:val="es-ES_tradnl"/>
              </w:rPr>
            </w:pPr>
            <w:r w:rsidRPr="000F72B5">
              <w:rPr>
                <w:rFonts w:ascii="Calibri" w:hAnsi="Calibri"/>
                <w:lang w:val="es-ES_tradnl"/>
              </w:rPr>
              <w:t xml:space="preserve">                                          0.0656</w:t>
            </w:r>
          </w:p>
        </w:tc>
      </w:tr>
    </w:tbl>
    <w:p w:rsidR="009571FA" w:rsidRDefault="009571FA" w:rsidP="00683981">
      <w:pPr>
        <w:pStyle w:val="ListParagraph"/>
        <w:ind w:left="0"/>
        <w:rPr>
          <w:sz w:val="24"/>
        </w:rPr>
      </w:pPr>
    </w:p>
    <w:p w:rsidR="007850B3" w:rsidRPr="001D6630" w:rsidRDefault="009571FA" w:rsidP="00EF6EC8">
      <w:pPr>
        <w:tabs>
          <w:tab w:val="left" w:pos="900"/>
          <w:tab w:val="left" w:pos="990"/>
          <w:tab w:val="left" w:pos="1260"/>
        </w:tabs>
        <w:ind w:left="720"/>
        <w:rPr>
          <w:sz w:val="12"/>
        </w:rPr>
      </w:pPr>
      <w:r>
        <w:rPr>
          <w:b/>
          <w:sz w:val="22"/>
        </w:rPr>
        <w:t xml:space="preserve">   </w:t>
      </w:r>
    </w:p>
    <w:p w:rsidR="007850B3" w:rsidRPr="00D8519A" w:rsidRDefault="007850B3" w:rsidP="00581596">
      <w:pPr>
        <w:pStyle w:val="ListParagraph"/>
        <w:numPr>
          <w:ilvl w:val="0"/>
          <w:numId w:val="2"/>
        </w:numPr>
        <w:jc w:val="both"/>
        <w:rPr>
          <w:i/>
          <w:sz w:val="22"/>
        </w:rPr>
      </w:pPr>
      <w:r w:rsidRPr="00D8519A">
        <w:rPr>
          <w:i/>
          <w:sz w:val="22"/>
        </w:rPr>
        <w:t>Sex and grade differentials</w:t>
      </w:r>
    </w:p>
    <w:p w:rsidR="007850B3" w:rsidRPr="00635770" w:rsidRDefault="007850B3" w:rsidP="007850B3">
      <w:pPr>
        <w:pStyle w:val="ListParagraph"/>
        <w:ind w:left="0"/>
        <w:jc w:val="both"/>
        <w:rPr>
          <w:sz w:val="10"/>
        </w:rPr>
      </w:pPr>
    </w:p>
    <w:p w:rsidR="007850B3" w:rsidRDefault="007850B3" w:rsidP="007850B3">
      <w:pPr>
        <w:pStyle w:val="ListParagraph"/>
        <w:ind w:left="0"/>
        <w:jc w:val="both"/>
        <w:rPr>
          <w:sz w:val="22"/>
        </w:rPr>
      </w:pPr>
      <w:r w:rsidRPr="00D8519A">
        <w:rPr>
          <w:sz w:val="22"/>
        </w:rPr>
        <w:t>A higher percentage of males (65) than of females (63) fell in the category of “good knowledge”</w:t>
      </w:r>
      <w:r>
        <w:rPr>
          <w:sz w:val="22"/>
        </w:rPr>
        <w:t xml:space="preserve"> but the sex difference was not statistically significant (Table 3). </w:t>
      </w:r>
      <w:r w:rsidRPr="00D8519A">
        <w:rPr>
          <w:sz w:val="22"/>
        </w:rPr>
        <w:t xml:space="preserve"> </w:t>
      </w:r>
      <w:r>
        <w:rPr>
          <w:sz w:val="22"/>
        </w:rPr>
        <w:t>A</w:t>
      </w:r>
      <w:r w:rsidRPr="00D8519A">
        <w:rPr>
          <w:sz w:val="22"/>
        </w:rPr>
        <w:t xml:space="preserve"> </w:t>
      </w:r>
      <w:r>
        <w:rPr>
          <w:sz w:val="22"/>
        </w:rPr>
        <w:t xml:space="preserve">larger proportion </w:t>
      </w:r>
      <w:r w:rsidRPr="00D8519A">
        <w:rPr>
          <w:sz w:val="22"/>
        </w:rPr>
        <w:t xml:space="preserve">of </w:t>
      </w:r>
      <w:r>
        <w:rPr>
          <w:sz w:val="22"/>
        </w:rPr>
        <w:t>p</w:t>
      </w:r>
      <w:r w:rsidRPr="00D8519A">
        <w:rPr>
          <w:sz w:val="22"/>
        </w:rPr>
        <w:t xml:space="preserve">rofessionals (68%) than of General Service staff (54%) or Directors (50%) </w:t>
      </w:r>
      <w:r>
        <w:rPr>
          <w:sz w:val="22"/>
        </w:rPr>
        <w:t xml:space="preserve">were categorized as having “good knowledge”, but the grade differences were not </w:t>
      </w:r>
      <w:r w:rsidRPr="00D8519A">
        <w:rPr>
          <w:sz w:val="22"/>
        </w:rPr>
        <w:t xml:space="preserve">statistically significant </w:t>
      </w:r>
      <w:r>
        <w:rPr>
          <w:sz w:val="22"/>
        </w:rPr>
        <w:t xml:space="preserve">either </w:t>
      </w:r>
      <w:r w:rsidRPr="00D8519A">
        <w:rPr>
          <w:sz w:val="22"/>
        </w:rPr>
        <w:t xml:space="preserve">(Table </w:t>
      </w:r>
      <w:r>
        <w:rPr>
          <w:sz w:val="22"/>
        </w:rPr>
        <w:t>3</w:t>
      </w:r>
      <w:r w:rsidRPr="00D8519A">
        <w:rPr>
          <w:sz w:val="22"/>
        </w:rPr>
        <w:t>)</w:t>
      </w:r>
      <w:r>
        <w:rPr>
          <w:sz w:val="22"/>
        </w:rPr>
        <w:t>.</w:t>
      </w:r>
    </w:p>
    <w:p w:rsidR="007850B3" w:rsidRPr="00C00796" w:rsidRDefault="007850B3" w:rsidP="007850B3">
      <w:pPr>
        <w:pStyle w:val="ListParagraph"/>
        <w:ind w:left="0"/>
        <w:jc w:val="both"/>
        <w:rPr>
          <w:sz w:val="6"/>
        </w:rPr>
      </w:pPr>
    </w:p>
    <w:p w:rsidR="007850B3" w:rsidRPr="001D6630" w:rsidRDefault="007850B3" w:rsidP="007850B3">
      <w:pPr>
        <w:pStyle w:val="ListParagraph"/>
        <w:ind w:left="0"/>
        <w:jc w:val="both"/>
        <w:rPr>
          <w:sz w:val="16"/>
        </w:rPr>
      </w:pPr>
    </w:p>
    <w:p w:rsidR="007850B3" w:rsidRPr="00D8519A" w:rsidRDefault="007850B3" w:rsidP="00581596">
      <w:pPr>
        <w:pStyle w:val="ListParagraph"/>
        <w:numPr>
          <w:ilvl w:val="0"/>
          <w:numId w:val="2"/>
        </w:numPr>
        <w:rPr>
          <w:i/>
          <w:sz w:val="22"/>
        </w:rPr>
      </w:pPr>
      <w:r>
        <w:rPr>
          <w:i/>
          <w:sz w:val="22"/>
        </w:rPr>
        <w:t>D</w:t>
      </w:r>
      <w:r w:rsidRPr="00D8519A">
        <w:rPr>
          <w:i/>
          <w:sz w:val="22"/>
        </w:rPr>
        <w:t>ifferentials</w:t>
      </w:r>
      <w:r>
        <w:rPr>
          <w:i/>
          <w:sz w:val="22"/>
        </w:rPr>
        <w:t xml:space="preserve"> by WHO Region</w:t>
      </w:r>
    </w:p>
    <w:p w:rsidR="007850B3" w:rsidRPr="00635770" w:rsidRDefault="007850B3" w:rsidP="007850B3">
      <w:pPr>
        <w:pStyle w:val="ListParagraph"/>
        <w:ind w:left="0"/>
        <w:jc w:val="both"/>
        <w:rPr>
          <w:sz w:val="8"/>
        </w:rPr>
      </w:pPr>
    </w:p>
    <w:p w:rsidR="007850B3" w:rsidRDefault="007850B3" w:rsidP="007850B3">
      <w:pPr>
        <w:pStyle w:val="ListParagraph"/>
        <w:ind w:left="0"/>
        <w:jc w:val="both"/>
        <w:rPr>
          <w:sz w:val="22"/>
        </w:rPr>
      </w:pPr>
      <w:r>
        <w:rPr>
          <w:sz w:val="22"/>
        </w:rPr>
        <w:t>The differentials in knowledge levels between regions were statistically significant at the 0.01 level. In the specific category of ”</w:t>
      </w:r>
      <w:r w:rsidRPr="00D8519A">
        <w:rPr>
          <w:sz w:val="22"/>
        </w:rPr>
        <w:t>good</w:t>
      </w:r>
      <w:r>
        <w:rPr>
          <w:sz w:val="22"/>
        </w:rPr>
        <w:t>”</w:t>
      </w:r>
      <w:r w:rsidRPr="00D8519A">
        <w:rPr>
          <w:sz w:val="22"/>
        </w:rPr>
        <w:t xml:space="preserve"> knowledge of gender concepts</w:t>
      </w:r>
      <w:r>
        <w:rPr>
          <w:sz w:val="22"/>
        </w:rPr>
        <w:t xml:space="preserve">, PAHO’s percentage of  63 was above the WHO’s average of 59. PAHO </w:t>
      </w:r>
      <w:r w:rsidRPr="00DB45B3">
        <w:rPr>
          <w:b/>
          <w:sz w:val="22"/>
        </w:rPr>
        <w:t>rank</w:t>
      </w:r>
      <w:r>
        <w:rPr>
          <w:b/>
          <w:sz w:val="22"/>
        </w:rPr>
        <w:t>ed</w:t>
      </w:r>
      <w:r w:rsidRPr="00DB45B3">
        <w:rPr>
          <w:b/>
          <w:sz w:val="22"/>
        </w:rPr>
        <w:t xml:space="preserve"> second</w:t>
      </w:r>
      <w:r>
        <w:rPr>
          <w:sz w:val="22"/>
        </w:rPr>
        <w:t xml:space="preserve">  among all WHO Regions</w:t>
      </w:r>
      <w:r w:rsidR="00E06B4C">
        <w:rPr>
          <w:sz w:val="22"/>
        </w:rPr>
        <w:t xml:space="preserve"> and WHO/HQ</w:t>
      </w:r>
      <w:r>
        <w:rPr>
          <w:sz w:val="22"/>
        </w:rPr>
        <w:t xml:space="preserve"> in terms of good knowledge, </w:t>
      </w:r>
      <w:r w:rsidRPr="00D8519A">
        <w:rPr>
          <w:sz w:val="22"/>
        </w:rPr>
        <w:t xml:space="preserve">closely </w:t>
      </w:r>
      <w:r>
        <w:rPr>
          <w:sz w:val="22"/>
        </w:rPr>
        <w:t xml:space="preserve">after </w:t>
      </w:r>
      <w:r w:rsidRPr="00D8519A">
        <w:rPr>
          <w:sz w:val="22"/>
        </w:rPr>
        <w:t>EURO</w:t>
      </w:r>
      <w:r>
        <w:rPr>
          <w:sz w:val="22"/>
        </w:rPr>
        <w:t xml:space="preserve"> with </w:t>
      </w:r>
      <w:r w:rsidRPr="00D8519A">
        <w:rPr>
          <w:sz w:val="22"/>
        </w:rPr>
        <w:t>65</w:t>
      </w:r>
      <w:r>
        <w:rPr>
          <w:sz w:val="22"/>
        </w:rPr>
        <w:t xml:space="preserve"> (See Figure 2)</w:t>
      </w:r>
      <w:r w:rsidRPr="00D8519A">
        <w:rPr>
          <w:sz w:val="22"/>
        </w:rPr>
        <w:t>.</w:t>
      </w:r>
      <w:r>
        <w:rPr>
          <w:sz w:val="22"/>
        </w:rPr>
        <w:t xml:space="preserve"> In the more general category resulting from the addition of the </w:t>
      </w:r>
      <w:r w:rsidRPr="00D8519A">
        <w:rPr>
          <w:sz w:val="22"/>
        </w:rPr>
        <w:t>“some</w:t>
      </w:r>
      <w:r>
        <w:rPr>
          <w:sz w:val="22"/>
        </w:rPr>
        <w:t>” and “</w:t>
      </w:r>
      <w:r w:rsidRPr="00D8519A">
        <w:rPr>
          <w:sz w:val="22"/>
        </w:rPr>
        <w:t>good</w:t>
      </w:r>
      <w:r>
        <w:rPr>
          <w:sz w:val="22"/>
        </w:rPr>
        <w:t>” knowledge categories,</w:t>
      </w:r>
      <w:r w:rsidRPr="00D8519A">
        <w:rPr>
          <w:sz w:val="22"/>
        </w:rPr>
        <w:t xml:space="preserve"> </w:t>
      </w:r>
      <w:r>
        <w:rPr>
          <w:sz w:val="22"/>
        </w:rPr>
        <w:t xml:space="preserve">the percentage of PAHO staff </w:t>
      </w:r>
      <w:r w:rsidRPr="00D8519A">
        <w:rPr>
          <w:sz w:val="22"/>
        </w:rPr>
        <w:t>was 97%</w:t>
      </w:r>
      <w:r>
        <w:rPr>
          <w:sz w:val="22"/>
        </w:rPr>
        <w:t xml:space="preserve">, </w:t>
      </w:r>
      <w:r w:rsidRPr="00D8519A">
        <w:rPr>
          <w:sz w:val="22"/>
        </w:rPr>
        <w:t xml:space="preserve">which </w:t>
      </w:r>
      <w:r>
        <w:rPr>
          <w:sz w:val="22"/>
        </w:rPr>
        <w:t xml:space="preserve">represented </w:t>
      </w:r>
      <w:r w:rsidRPr="00D8519A">
        <w:rPr>
          <w:sz w:val="22"/>
        </w:rPr>
        <w:t xml:space="preserve">the highest </w:t>
      </w:r>
      <w:r>
        <w:rPr>
          <w:sz w:val="22"/>
        </w:rPr>
        <w:t>proportion of</w:t>
      </w:r>
      <w:r w:rsidRPr="00D8519A">
        <w:rPr>
          <w:sz w:val="22"/>
        </w:rPr>
        <w:t xml:space="preserve"> all regions</w:t>
      </w:r>
      <w:r>
        <w:rPr>
          <w:sz w:val="22"/>
        </w:rPr>
        <w:t>.</w:t>
      </w:r>
    </w:p>
    <w:p w:rsidR="007850B3" w:rsidRPr="007850B3" w:rsidRDefault="007850B3" w:rsidP="007850B3">
      <w:pPr>
        <w:pStyle w:val="ListParagraph"/>
        <w:ind w:left="0"/>
        <w:jc w:val="both"/>
        <w:rPr>
          <w:sz w:val="16"/>
        </w:rPr>
      </w:pPr>
    </w:p>
    <w:p w:rsidR="007850B3" w:rsidRDefault="007850B3" w:rsidP="00B378E6">
      <w:pPr>
        <w:tabs>
          <w:tab w:val="left" w:pos="900"/>
          <w:tab w:val="left" w:pos="990"/>
          <w:tab w:val="left" w:pos="1260"/>
        </w:tabs>
        <w:ind w:left="720"/>
        <w:rPr>
          <w:b/>
          <w:sz w:val="22"/>
        </w:rPr>
      </w:pPr>
    </w:p>
    <w:p w:rsidR="009571FA" w:rsidRDefault="00EF6EC8" w:rsidP="00B378E6">
      <w:pPr>
        <w:tabs>
          <w:tab w:val="left" w:pos="900"/>
          <w:tab w:val="left" w:pos="990"/>
          <w:tab w:val="left" w:pos="1260"/>
        </w:tabs>
        <w:ind w:left="720"/>
        <w:rPr>
          <w:sz w:val="22"/>
        </w:rPr>
      </w:pPr>
      <w:r>
        <w:rPr>
          <w:b/>
          <w:sz w:val="22"/>
        </w:rPr>
        <w:t xml:space="preserve">    </w:t>
      </w:r>
      <w:r w:rsidR="009571FA">
        <w:rPr>
          <w:b/>
          <w:sz w:val="22"/>
        </w:rPr>
        <w:t xml:space="preserve"> F</w:t>
      </w:r>
      <w:r w:rsidR="009571FA" w:rsidRPr="002F271A">
        <w:rPr>
          <w:b/>
          <w:sz w:val="22"/>
        </w:rPr>
        <w:t>igure 2.</w:t>
      </w:r>
      <w:r w:rsidR="009571FA" w:rsidRPr="002F271A">
        <w:rPr>
          <w:sz w:val="22"/>
        </w:rPr>
        <w:t xml:space="preserve"> Percent</w:t>
      </w:r>
      <w:r w:rsidR="009571FA">
        <w:rPr>
          <w:sz w:val="22"/>
        </w:rPr>
        <w:t>age</w:t>
      </w:r>
      <w:r w:rsidR="009571FA" w:rsidRPr="002F271A">
        <w:rPr>
          <w:sz w:val="22"/>
        </w:rPr>
        <w:t xml:space="preserve"> of WHO staff members with</w:t>
      </w:r>
      <w:r w:rsidR="009571FA">
        <w:rPr>
          <w:sz w:val="22"/>
        </w:rPr>
        <w:t xml:space="preserve"> “g</w:t>
      </w:r>
      <w:r w:rsidR="009571FA" w:rsidRPr="002F271A">
        <w:rPr>
          <w:sz w:val="22"/>
        </w:rPr>
        <w:t xml:space="preserve">ood </w:t>
      </w:r>
      <w:r w:rsidR="009571FA">
        <w:rPr>
          <w:sz w:val="22"/>
        </w:rPr>
        <w:t>k</w:t>
      </w:r>
      <w:r w:rsidR="009571FA" w:rsidRPr="002F271A">
        <w:rPr>
          <w:sz w:val="22"/>
        </w:rPr>
        <w:t>nowledge” of</w:t>
      </w:r>
      <w:r w:rsidR="009571FA">
        <w:rPr>
          <w:sz w:val="22"/>
        </w:rPr>
        <w:t xml:space="preserve">                      </w:t>
      </w:r>
      <w:r w:rsidR="009571FA" w:rsidRPr="002F271A">
        <w:rPr>
          <w:sz w:val="22"/>
        </w:rPr>
        <w:t xml:space="preserve"> </w:t>
      </w:r>
      <w:r w:rsidR="009571FA">
        <w:rPr>
          <w:sz w:val="22"/>
        </w:rPr>
        <w:t xml:space="preserve">  </w:t>
      </w:r>
    </w:p>
    <w:p w:rsidR="009571FA" w:rsidRDefault="009571FA" w:rsidP="00B378E6">
      <w:pPr>
        <w:tabs>
          <w:tab w:val="left" w:pos="900"/>
          <w:tab w:val="left" w:pos="990"/>
          <w:tab w:val="left" w:pos="1260"/>
        </w:tabs>
        <w:ind w:left="720"/>
      </w:pPr>
      <w:r>
        <w:rPr>
          <w:b/>
          <w:sz w:val="22"/>
        </w:rPr>
        <w:t xml:space="preserve">     </w:t>
      </w:r>
      <w:r w:rsidRPr="002F271A">
        <w:rPr>
          <w:sz w:val="22"/>
        </w:rPr>
        <w:t xml:space="preserve">gender concepts, by Region. 2008. </w:t>
      </w:r>
      <w:r w:rsidR="00C173AA">
        <w:rPr>
          <w:noProof/>
          <w:lang w:val="en-US"/>
        </w:rPr>
        <w:drawing>
          <wp:inline distT="0" distB="0" distL="0" distR="0">
            <wp:extent cx="4932045" cy="25977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4932045" cy="2597785"/>
                    </a:xfrm>
                    <a:prstGeom prst="rect">
                      <a:avLst/>
                    </a:prstGeom>
                    <a:noFill/>
                    <a:ln w="9525">
                      <a:noFill/>
                      <a:miter lim="800000"/>
                      <a:headEnd/>
                      <a:tailEnd/>
                    </a:ln>
                  </pic:spPr>
                </pic:pic>
              </a:graphicData>
            </a:graphic>
          </wp:inline>
        </w:drawing>
      </w:r>
    </w:p>
    <w:p w:rsidR="009571FA" w:rsidRDefault="009571FA" w:rsidP="00B378E6">
      <w:pPr>
        <w:tabs>
          <w:tab w:val="left" w:pos="900"/>
          <w:tab w:val="left" w:pos="990"/>
          <w:tab w:val="left" w:pos="1260"/>
        </w:tabs>
        <w:ind w:left="720"/>
        <w:rPr>
          <w:b/>
        </w:rPr>
      </w:pPr>
    </w:p>
    <w:p w:rsidR="009571FA" w:rsidRPr="007C65A5" w:rsidRDefault="009571FA" w:rsidP="00581596">
      <w:pPr>
        <w:pStyle w:val="ListParagraph"/>
        <w:numPr>
          <w:ilvl w:val="1"/>
          <w:numId w:val="44"/>
        </w:numPr>
        <w:jc w:val="both"/>
        <w:rPr>
          <w:sz w:val="22"/>
        </w:rPr>
      </w:pPr>
      <w:r>
        <w:rPr>
          <w:b/>
          <w:sz w:val="22"/>
        </w:rPr>
        <w:t xml:space="preserve"> </w:t>
      </w:r>
      <w:r w:rsidRPr="00D8519A">
        <w:rPr>
          <w:b/>
          <w:sz w:val="22"/>
        </w:rPr>
        <w:t xml:space="preserve">Relevance of gender to </w:t>
      </w:r>
      <w:r w:rsidR="00057B01">
        <w:rPr>
          <w:b/>
          <w:sz w:val="22"/>
        </w:rPr>
        <w:t xml:space="preserve">PAHO/ </w:t>
      </w:r>
      <w:r>
        <w:rPr>
          <w:b/>
          <w:sz w:val="22"/>
        </w:rPr>
        <w:t xml:space="preserve">WHO </w:t>
      </w:r>
      <w:r w:rsidRPr="00D8519A">
        <w:rPr>
          <w:b/>
          <w:sz w:val="22"/>
        </w:rPr>
        <w:t xml:space="preserve">work </w:t>
      </w:r>
    </w:p>
    <w:p w:rsidR="007C65A5" w:rsidRPr="00905D38" w:rsidRDefault="007C65A5" w:rsidP="007C65A5">
      <w:pPr>
        <w:pStyle w:val="ListParagraph"/>
        <w:ind w:left="810"/>
        <w:jc w:val="both"/>
        <w:rPr>
          <w:sz w:val="4"/>
        </w:rPr>
      </w:pPr>
    </w:p>
    <w:p w:rsidR="009571FA" w:rsidRPr="006B166F" w:rsidRDefault="009571FA" w:rsidP="00415105">
      <w:pPr>
        <w:pStyle w:val="ListParagraph"/>
        <w:jc w:val="both"/>
        <w:rPr>
          <w:sz w:val="4"/>
        </w:rPr>
      </w:pPr>
    </w:p>
    <w:p w:rsidR="00905D38" w:rsidRDefault="009571FA" w:rsidP="00415105">
      <w:pPr>
        <w:pStyle w:val="ListParagraph"/>
        <w:ind w:left="0"/>
        <w:jc w:val="both"/>
        <w:rPr>
          <w:bCs/>
          <w:sz w:val="22"/>
        </w:rPr>
      </w:pPr>
      <w:r w:rsidRPr="00D8519A">
        <w:rPr>
          <w:sz w:val="22"/>
        </w:rPr>
        <w:t xml:space="preserve">More than 6 out of 10 PAHO staff members declared </w:t>
      </w:r>
      <w:r w:rsidRPr="00D8519A">
        <w:rPr>
          <w:bCs/>
          <w:sz w:val="22"/>
        </w:rPr>
        <w:t>that gender</w:t>
      </w:r>
      <w:r w:rsidRPr="00D8519A">
        <w:rPr>
          <w:b/>
          <w:bCs/>
          <w:sz w:val="22"/>
        </w:rPr>
        <w:t xml:space="preserve"> </w:t>
      </w:r>
      <w:r w:rsidRPr="00CB0D47">
        <w:rPr>
          <w:b/>
          <w:bCs/>
          <w:sz w:val="22"/>
          <w:u w:val="single"/>
        </w:rPr>
        <w:t>was</w:t>
      </w:r>
      <w:r w:rsidRPr="004163CA">
        <w:rPr>
          <w:b/>
          <w:bCs/>
          <w:sz w:val="22"/>
        </w:rPr>
        <w:t xml:space="preserve"> </w:t>
      </w:r>
      <w:r w:rsidRPr="00D8519A">
        <w:rPr>
          <w:b/>
          <w:bCs/>
          <w:sz w:val="22"/>
        </w:rPr>
        <w:t xml:space="preserve">relevant </w:t>
      </w:r>
      <w:r w:rsidRPr="00D8519A">
        <w:rPr>
          <w:bCs/>
          <w:sz w:val="22"/>
        </w:rPr>
        <w:t>to the work of their office</w:t>
      </w:r>
      <w:r w:rsidR="00057B01">
        <w:rPr>
          <w:bCs/>
          <w:sz w:val="22"/>
        </w:rPr>
        <w:t>s</w:t>
      </w:r>
      <w:r w:rsidRPr="00D8519A">
        <w:rPr>
          <w:sz w:val="22"/>
        </w:rPr>
        <w:t xml:space="preserve"> and/or </w:t>
      </w:r>
      <w:r w:rsidR="00057B01">
        <w:rPr>
          <w:bCs/>
          <w:sz w:val="22"/>
        </w:rPr>
        <w:t xml:space="preserve">to their own work. </w:t>
      </w:r>
    </w:p>
    <w:p w:rsidR="00057B01" w:rsidRPr="00057B01" w:rsidRDefault="00057B01" w:rsidP="00057B01">
      <w:pPr>
        <w:pStyle w:val="ListParagraph"/>
        <w:ind w:left="360"/>
        <w:jc w:val="both"/>
        <w:rPr>
          <w:sz w:val="22"/>
        </w:rPr>
      </w:pPr>
    </w:p>
    <w:p w:rsidR="00905D38" w:rsidRPr="00905D38" w:rsidRDefault="00905D38" w:rsidP="00581596">
      <w:pPr>
        <w:pStyle w:val="ListParagraph"/>
        <w:numPr>
          <w:ilvl w:val="0"/>
          <w:numId w:val="2"/>
        </w:numPr>
        <w:jc w:val="both"/>
        <w:rPr>
          <w:sz w:val="22"/>
        </w:rPr>
      </w:pPr>
      <w:r w:rsidRPr="00905D38">
        <w:rPr>
          <w:i/>
          <w:sz w:val="22"/>
        </w:rPr>
        <w:t>S</w:t>
      </w:r>
      <w:r w:rsidR="0081362A" w:rsidRPr="00905D38">
        <w:rPr>
          <w:i/>
          <w:sz w:val="22"/>
        </w:rPr>
        <w:t xml:space="preserve">ex and grade differentials </w:t>
      </w:r>
    </w:p>
    <w:p w:rsidR="008366EC" w:rsidRPr="008366EC" w:rsidRDefault="008366EC" w:rsidP="00905D38">
      <w:pPr>
        <w:pStyle w:val="ListParagraph"/>
        <w:ind w:left="0"/>
        <w:jc w:val="both"/>
        <w:rPr>
          <w:sz w:val="6"/>
        </w:rPr>
      </w:pPr>
    </w:p>
    <w:p w:rsidR="008A6D21" w:rsidRPr="008A6D21" w:rsidRDefault="0081362A" w:rsidP="00905D38">
      <w:pPr>
        <w:pStyle w:val="ListParagraph"/>
        <w:ind w:left="0"/>
        <w:jc w:val="both"/>
        <w:rPr>
          <w:sz w:val="8"/>
        </w:rPr>
      </w:pPr>
      <w:r w:rsidRPr="00905D38">
        <w:rPr>
          <w:sz w:val="22"/>
        </w:rPr>
        <w:t>Men, more often than women, tended to report that gender was relevant both to the work of their offices and to their own work</w:t>
      </w:r>
      <w:r w:rsidR="008A6D21">
        <w:rPr>
          <w:sz w:val="22"/>
        </w:rPr>
        <w:t>.  T</w:t>
      </w:r>
      <w:r w:rsidR="00905D38" w:rsidRPr="00905D38">
        <w:rPr>
          <w:sz w:val="22"/>
        </w:rPr>
        <w:t>h</w:t>
      </w:r>
      <w:r w:rsidR="00057B01">
        <w:rPr>
          <w:sz w:val="22"/>
        </w:rPr>
        <w:t>is</w:t>
      </w:r>
      <w:r w:rsidR="00905D38" w:rsidRPr="00905D38">
        <w:rPr>
          <w:sz w:val="22"/>
        </w:rPr>
        <w:t xml:space="preserve"> </w:t>
      </w:r>
      <w:r w:rsidR="008A6D21">
        <w:rPr>
          <w:sz w:val="22"/>
        </w:rPr>
        <w:t>sex-</w:t>
      </w:r>
      <w:r w:rsidR="00905D38" w:rsidRPr="00905D38">
        <w:rPr>
          <w:sz w:val="22"/>
        </w:rPr>
        <w:t>difference was statistically significant</w:t>
      </w:r>
      <w:r w:rsidR="008366EC">
        <w:rPr>
          <w:sz w:val="22"/>
        </w:rPr>
        <w:t xml:space="preserve"> (Table 4)</w:t>
      </w:r>
      <w:r w:rsidR="00A56963">
        <w:rPr>
          <w:rStyle w:val="FootnoteReference"/>
          <w:sz w:val="22"/>
        </w:rPr>
        <w:footnoteReference w:id="7"/>
      </w:r>
      <w:r w:rsidRPr="00905D38">
        <w:rPr>
          <w:sz w:val="22"/>
        </w:rPr>
        <w:t xml:space="preserve">. </w:t>
      </w:r>
    </w:p>
    <w:p w:rsidR="0081362A" w:rsidRDefault="0081362A" w:rsidP="00905D38">
      <w:pPr>
        <w:pStyle w:val="ListParagraph"/>
        <w:ind w:left="0"/>
        <w:jc w:val="both"/>
        <w:rPr>
          <w:sz w:val="22"/>
        </w:rPr>
      </w:pPr>
      <w:r w:rsidRPr="00905D38">
        <w:rPr>
          <w:sz w:val="22"/>
        </w:rPr>
        <w:t>Regarding grade</w:t>
      </w:r>
      <w:r w:rsidRPr="00905D38">
        <w:rPr>
          <w:b/>
          <w:sz w:val="22"/>
        </w:rPr>
        <w:t>, all Ds</w:t>
      </w:r>
      <w:r w:rsidRPr="00905D38">
        <w:rPr>
          <w:sz w:val="22"/>
        </w:rPr>
        <w:t xml:space="preserve"> and, approximately, </w:t>
      </w:r>
      <w:r w:rsidRPr="00905D38">
        <w:rPr>
          <w:b/>
          <w:sz w:val="22"/>
        </w:rPr>
        <w:t>8 out of 10</w:t>
      </w:r>
      <w:r w:rsidRPr="00905D38">
        <w:rPr>
          <w:sz w:val="22"/>
        </w:rPr>
        <w:t xml:space="preserve"> </w:t>
      </w:r>
      <w:r w:rsidRPr="00905D38">
        <w:rPr>
          <w:b/>
          <w:sz w:val="22"/>
        </w:rPr>
        <w:t>Ps</w:t>
      </w:r>
      <w:r w:rsidRPr="00905D38">
        <w:rPr>
          <w:sz w:val="22"/>
        </w:rPr>
        <w:t xml:space="preserve"> and </w:t>
      </w:r>
      <w:r w:rsidRPr="00905D38">
        <w:rPr>
          <w:b/>
          <w:sz w:val="22"/>
        </w:rPr>
        <w:t xml:space="preserve">4 out of 10 Gs </w:t>
      </w:r>
      <w:r w:rsidRPr="00905D38">
        <w:rPr>
          <w:sz w:val="22"/>
        </w:rPr>
        <w:t>declared that gender was relevant to the work of their offices. The corresponding proportions were slightly lower regarding individual’s own work</w:t>
      </w:r>
      <w:r w:rsidR="00057B01">
        <w:rPr>
          <w:sz w:val="22"/>
        </w:rPr>
        <w:t xml:space="preserve">, but </w:t>
      </w:r>
      <w:r w:rsidRPr="00905D38">
        <w:rPr>
          <w:sz w:val="22"/>
        </w:rPr>
        <w:t xml:space="preserve">statistically significant </w:t>
      </w:r>
      <w:r w:rsidR="00057B01">
        <w:rPr>
          <w:sz w:val="22"/>
        </w:rPr>
        <w:t>in both instances</w:t>
      </w:r>
      <w:r w:rsidR="00057B01" w:rsidRPr="00905D38">
        <w:rPr>
          <w:sz w:val="22"/>
        </w:rPr>
        <w:t xml:space="preserve"> </w:t>
      </w:r>
      <w:r w:rsidRPr="00905D38">
        <w:rPr>
          <w:sz w:val="22"/>
        </w:rPr>
        <w:t xml:space="preserve">(Table 4). </w:t>
      </w:r>
    </w:p>
    <w:p w:rsidR="00EF6EC8" w:rsidRPr="00905D38" w:rsidRDefault="00EF6EC8" w:rsidP="00905D38">
      <w:pPr>
        <w:pStyle w:val="ListParagraph"/>
        <w:ind w:left="0"/>
        <w:jc w:val="both"/>
        <w:rPr>
          <w:sz w:val="22"/>
        </w:rPr>
      </w:pPr>
    </w:p>
    <w:p w:rsidR="006B4CD0" w:rsidRDefault="006B4CD0" w:rsidP="00415105">
      <w:pPr>
        <w:pStyle w:val="ListParagraph"/>
        <w:ind w:left="0"/>
        <w:jc w:val="both"/>
        <w:rPr>
          <w:b/>
          <w:sz w:val="4"/>
        </w:rPr>
      </w:pPr>
    </w:p>
    <w:p w:rsidR="006B4CD0" w:rsidRDefault="006B4CD0" w:rsidP="00415105">
      <w:pPr>
        <w:pStyle w:val="ListParagraph"/>
        <w:ind w:left="0"/>
        <w:jc w:val="both"/>
        <w:rPr>
          <w:b/>
          <w:sz w:val="4"/>
        </w:rPr>
      </w:pPr>
    </w:p>
    <w:p w:rsidR="006B4CD0" w:rsidRDefault="006B4CD0" w:rsidP="00415105">
      <w:pPr>
        <w:pStyle w:val="ListParagraph"/>
        <w:ind w:left="0"/>
        <w:jc w:val="both"/>
        <w:rPr>
          <w:b/>
          <w:sz w:val="4"/>
        </w:rPr>
      </w:pPr>
    </w:p>
    <w:p w:rsidR="006B4CD0" w:rsidRDefault="006B4CD0" w:rsidP="00415105">
      <w:pPr>
        <w:pStyle w:val="ListParagraph"/>
        <w:ind w:left="0"/>
        <w:jc w:val="both"/>
        <w:rPr>
          <w:b/>
          <w:sz w:val="4"/>
        </w:rPr>
      </w:pPr>
    </w:p>
    <w:p w:rsidR="006B4CD0" w:rsidRDefault="006B4CD0" w:rsidP="00415105">
      <w:pPr>
        <w:pStyle w:val="ListParagraph"/>
        <w:ind w:left="0"/>
        <w:jc w:val="both"/>
        <w:rPr>
          <w:b/>
          <w:sz w:val="4"/>
        </w:rPr>
      </w:pPr>
    </w:p>
    <w:p w:rsidR="006B4CD0" w:rsidRPr="00D26585" w:rsidRDefault="006B4CD0" w:rsidP="00415105">
      <w:pPr>
        <w:pStyle w:val="ListParagraph"/>
        <w:ind w:left="0"/>
        <w:jc w:val="both"/>
        <w:rPr>
          <w:b/>
          <w:sz w:val="4"/>
        </w:rPr>
      </w:pPr>
    </w:p>
    <w:tbl>
      <w:tblPr>
        <w:tblpPr w:leftFromText="180" w:rightFromText="180" w:vertAnchor="text" w:horzAnchor="margin" w:tblpX="208" w:tblpY="717"/>
        <w:tblW w:w="0" w:type="auto"/>
        <w:tblLayout w:type="fixed"/>
        <w:tblLook w:val="00BF"/>
      </w:tblPr>
      <w:tblGrid>
        <w:gridCol w:w="1363"/>
        <w:gridCol w:w="490"/>
        <w:gridCol w:w="610"/>
        <w:gridCol w:w="636"/>
        <w:gridCol w:w="611"/>
        <w:gridCol w:w="610"/>
        <w:gridCol w:w="28"/>
        <w:gridCol w:w="610"/>
        <w:gridCol w:w="650"/>
        <w:gridCol w:w="598"/>
        <w:gridCol w:w="572"/>
        <w:gridCol w:w="65"/>
        <w:gridCol w:w="611"/>
        <w:gridCol w:w="637"/>
        <w:gridCol w:w="560"/>
        <w:gridCol w:w="647"/>
      </w:tblGrid>
      <w:tr w:rsidR="009571FA" w:rsidTr="00BC175D">
        <w:trPr>
          <w:trHeight w:val="350"/>
        </w:trPr>
        <w:tc>
          <w:tcPr>
            <w:tcW w:w="1363" w:type="dxa"/>
            <w:vMerge w:val="restart"/>
            <w:tcBorders>
              <w:top w:val="single" w:sz="4" w:space="0" w:color="auto"/>
              <w:left w:val="single" w:sz="4" w:space="0" w:color="auto"/>
              <w:bottom w:val="single" w:sz="4" w:space="0" w:color="auto"/>
              <w:right w:val="single" w:sz="4" w:space="0" w:color="auto"/>
            </w:tcBorders>
            <w:shd w:val="clear" w:color="auto" w:fill="C6D9F1"/>
            <w:tcMar>
              <w:top w:w="0" w:type="dxa"/>
              <w:left w:w="28" w:type="dxa"/>
              <w:bottom w:w="0" w:type="dxa"/>
              <w:right w:w="28" w:type="dxa"/>
            </w:tcMar>
            <w:vAlign w:val="center"/>
          </w:tcPr>
          <w:p w:rsidR="009571FA" w:rsidRDefault="009571FA" w:rsidP="00415105">
            <w:pPr>
              <w:tabs>
                <w:tab w:val="left" w:pos="253"/>
              </w:tabs>
              <w:spacing w:line="276" w:lineRule="auto"/>
              <w:jc w:val="both"/>
              <w:rPr>
                <w:rFonts w:ascii="Calibri" w:hAnsi="Calibri"/>
                <w:b/>
                <w:sz w:val="22"/>
              </w:rPr>
            </w:pPr>
            <w:r>
              <w:rPr>
                <w:rFonts w:ascii="Calibri" w:hAnsi="Calibri"/>
                <w:b/>
                <w:sz w:val="22"/>
              </w:rPr>
              <w:t xml:space="preserve"> </w:t>
            </w:r>
            <w:r w:rsidRPr="00E9113B">
              <w:rPr>
                <w:rFonts w:ascii="Calibri" w:hAnsi="Calibri"/>
                <w:b/>
                <w:sz w:val="22"/>
              </w:rPr>
              <w:t xml:space="preserve">Staff </w:t>
            </w:r>
          </w:p>
          <w:p w:rsidR="009571FA" w:rsidRPr="00E9113B" w:rsidRDefault="009571FA" w:rsidP="00415105">
            <w:pPr>
              <w:tabs>
                <w:tab w:val="left" w:pos="253"/>
              </w:tabs>
              <w:spacing w:line="276" w:lineRule="auto"/>
              <w:jc w:val="both"/>
              <w:rPr>
                <w:rFonts w:ascii="Calibri" w:hAnsi="Calibri"/>
                <w:b/>
              </w:rPr>
            </w:pPr>
            <w:r>
              <w:rPr>
                <w:rFonts w:ascii="Calibri" w:hAnsi="Calibri"/>
                <w:b/>
                <w:sz w:val="22"/>
              </w:rPr>
              <w:t xml:space="preserve"> C</w:t>
            </w:r>
            <w:r w:rsidRPr="00E9113B">
              <w:rPr>
                <w:rFonts w:ascii="Calibri" w:hAnsi="Calibri"/>
                <w:b/>
                <w:sz w:val="22"/>
              </w:rPr>
              <w:t>ategories</w:t>
            </w:r>
          </w:p>
        </w:tc>
        <w:tc>
          <w:tcPr>
            <w:tcW w:w="490" w:type="dxa"/>
            <w:vMerge w:val="restart"/>
            <w:tcBorders>
              <w:top w:val="single" w:sz="4" w:space="0" w:color="auto"/>
              <w:left w:val="single" w:sz="4" w:space="0" w:color="auto"/>
              <w:right w:val="single" w:sz="4" w:space="0" w:color="auto"/>
            </w:tcBorders>
            <w:shd w:val="clear" w:color="auto" w:fill="C6D9F1"/>
            <w:vAlign w:val="center"/>
          </w:tcPr>
          <w:p w:rsidR="009571FA" w:rsidRDefault="009571FA" w:rsidP="000D3483">
            <w:pPr>
              <w:tabs>
                <w:tab w:val="left" w:pos="253"/>
              </w:tabs>
              <w:spacing w:line="276" w:lineRule="auto"/>
              <w:jc w:val="both"/>
              <w:rPr>
                <w:rFonts w:ascii="Calibri" w:hAnsi="Calibri"/>
                <w:b/>
              </w:rPr>
            </w:pPr>
            <w:r>
              <w:rPr>
                <w:rFonts w:ascii="Calibri" w:hAnsi="Calibri"/>
                <w:b/>
                <w:lang w:val="es-ES_tradnl"/>
              </w:rPr>
              <w:t>N</w:t>
            </w:r>
          </w:p>
        </w:tc>
        <w:tc>
          <w:tcPr>
            <w:tcW w:w="7445" w:type="dxa"/>
            <w:gridSpan w:val="14"/>
            <w:tcBorders>
              <w:top w:val="single" w:sz="4" w:space="0" w:color="auto"/>
              <w:left w:val="single" w:sz="4" w:space="0" w:color="auto"/>
              <w:bottom w:val="single" w:sz="4" w:space="0" w:color="auto"/>
              <w:right w:val="single" w:sz="4" w:space="0" w:color="auto"/>
            </w:tcBorders>
            <w:shd w:val="clear" w:color="auto" w:fill="C6D9F1"/>
            <w:vAlign w:val="center"/>
          </w:tcPr>
          <w:p w:rsidR="009571FA" w:rsidRPr="001321A6" w:rsidRDefault="009571FA" w:rsidP="00415105">
            <w:pPr>
              <w:spacing w:line="276" w:lineRule="auto"/>
              <w:jc w:val="both"/>
              <w:rPr>
                <w:rFonts w:ascii="Calibri" w:hAnsi="Calibri"/>
                <w:b/>
                <w:sz w:val="2"/>
              </w:rPr>
            </w:pPr>
          </w:p>
          <w:p w:rsidR="009571FA" w:rsidRPr="00E9113B" w:rsidRDefault="009571FA" w:rsidP="00415105">
            <w:pPr>
              <w:spacing w:line="276" w:lineRule="auto"/>
              <w:jc w:val="both"/>
              <w:rPr>
                <w:rFonts w:ascii="Calibri" w:hAnsi="Calibri"/>
                <w:b/>
              </w:rPr>
            </w:pPr>
            <w:r>
              <w:rPr>
                <w:rFonts w:ascii="Calibri" w:hAnsi="Calibri"/>
                <w:b/>
              </w:rPr>
              <w:t xml:space="preserve">                                                 </w:t>
            </w:r>
            <w:r w:rsidRPr="00E9113B">
              <w:rPr>
                <w:rFonts w:ascii="Calibri" w:hAnsi="Calibri"/>
                <w:b/>
              </w:rPr>
              <w:t xml:space="preserve">Relevance of gender </w:t>
            </w:r>
            <w:r>
              <w:rPr>
                <w:rFonts w:ascii="Calibri" w:hAnsi="Calibri"/>
                <w:b/>
              </w:rPr>
              <w:t>to</w:t>
            </w:r>
            <w:r w:rsidR="00EF6EC8">
              <w:rPr>
                <w:rFonts w:ascii="Calibri" w:hAnsi="Calibri"/>
                <w:b/>
              </w:rPr>
              <w:t xml:space="preserve"> work</w:t>
            </w:r>
          </w:p>
        </w:tc>
      </w:tr>
      <w:tr w:rsidR="009571FA" w:rsidTr="00BC175D">
        <w:trPr>
          <w:trHeight w:val="227"/>
        </w:trPr>
        <w:tc>
          <w:tcPr>
            <w:tcW w:w="1363" w:type="dxa"/>
            <w:vMerge/>
            <w:tcBorders>
              <w:top w:val="single" w:sz="4" w:space="0" w:color="auto"/>
              <w:left w:val="single" w:sz="4" w:space="0" w:color="auto"/>
              <w:bottom w:val="single" w:sz="4" w:space="0" w:color="auto"/>
              <w:right w:val="single" w:sz="4" w:space="0" w:color="auto"/>
            </w:tcBorders>
            <w:shd w:val="clear" w:color="auto" w:fill="C6D9F1"/>
            <w:tcMar>
              <w:top w:w="0" w:type="dxa"/>
              <w:left w:w="28" w:type="dxa"/>
              <w:bottom w:w="0" w:type="dxa"/>
              <w:right w:w="28" w:type="dxa"/>
            </w:tcMar>
            <w:vAlign w:val="center"/>
          </w:tcPr>
          <w:p w:rsidR="009571FA" w:rsidRDefault="009571FA" w:rsidP="00415105">
            <w:pPr>
              <w:tabs>
                <w:tab w:val="left" w:pos="253"/>
              </w:tabs>
              <w:spacing w:line="276" w:lineRule="auto"/>
              <w:jc w:val="both"/>
              <w:rPr>
                <w:rFonts w:ascii="Calibri" w:hAnsi="Calibri"/>
                <w:b/>
                <w:sz w:val="22"/>
              </w:rPr>
            </w:pPr>
          </w:p>
        </w:tc>
        <w:tc>
          <w:tcPr>
            <w:tcW w:w="490" w:type="dxa"/>
            <w:vMerge/>
            <w:tcBorders>
              <w:left w:val="single" w:sz="4" w:space="0" w:color="auto"/>
              <w:right w:val="single" w:sz="4" w:space="0" w:color="auto"/>
            </w:tcBorders>
            <w:shd w:val="clear" w:color="auto" w:fill="C6D9F1"/>
            <w:vAlign w:val="center"/>
          </w:tcPr>
          <w:p w:rsidR="009571FA" w:rsidRDefault="009571FA" w:rsidP="000D3483">
            <w:pPr>
              <w:tabs>
                <w:tab w:val="left" w:pos="253"/>
              </w:tabs>
              <w:spacing w:line="276" w:lineRule="auto"/>
              <w:jc w:val="both"/>
              <w:rPr>
                <w:rFonts w:ascii="Calibri" w:hAnsi="Calibri"/>
                <w:b/>
              </w:rPr>
            </w:pPr>
          </w:p>
        </w:tc>
        <w:tc>
          <w:tcPr>
            <w:tcW w:w="7445" w:type="dxa"/>
            <w:gridSpan w:val="14"/>
            <w:tcBorders>
              <w:top w:val="single" w:sz="4" w:space="0" w:color="auto"/>
              <w:left w:val="single" w:sz="4" w:space="0" w:color="auto"/>
              <w:bottom w:val="single" w:sz="4" w:space="0" w:color="auto"/>
              <w:right w:val="single" w:sz="4" w:space="0" w:color="auto"/>
            </w:tcBorders>
            <w:shd w:val="clear" w:color="auto" w:fill="C6D9F1"/>
            <w:vAlign w:val="center"/>
          </w:tcPr>
          <w:p w:rsidR="009571FA" w:rsidRPr="001321A6" w:rsidRDefault="009571FA" w:rsidP="00A43A02">
            <w:pPr>
              <w:spacing w:line="276" w:lineRule="auto"/>
              <w:jc w:val="both"/>
              <w:rPr>
                <w:rFonts w:ascii="Calibri" w:hAnsi="Calibri"/>
                <w:b/>
                <w:sz w:val="2"/>
              </w:rPr>
            </w:pPr>
            <w:r>
              <w:rPr>
                <w:rFonts w:ascii="Calibri" w:hAnsi="Calibri"/>
                <w:b/>
              </w:rPr>
              <w:t xml:space="preserve">       Work of their offices                                                            </w:t>
            </w:r>
            <w:r w:rsidRPr="00E9113B">
              <w:rPr>
                <w:rFonts w:ascii="Calibri" w:hAnsi="Calibri"/>
                <w:b/>
              </w:rPr>
              <w:t xml:space="preserve"> </w:t>
            </w:r>
            <w:r>
              <w:rPr>
                <w:rFonts w:ascii="Calibri" w:hAnsi="Calibri"/>
                <w:b/>
              </w:rPr>
              <w:t>T</w:t>
            </w:r>
            <w:r w:rsidRPr="00E9113B">
              <w:rPr>
                <w:rFonts w:ascii="Calibri" w:hAnsi="Calibri"/>
                <w:b/>
              </w:rPr>
              <w:t xml:space="preserve">heir own  work </w:t>
            </w:r>
          </w:p>
        </w:tc>
      </w:tr>
      <w:tr w:rsidR="009571FA" w:rsidTr="00EF6EC8">
        <w:trPr>
          <w:trHeight w:val="284"/>
        </w:trPr>
        <w:tc>
          <w:tcPr>
            <w:tcW w:w="1363" w:type="dxa"/>
            <w:vMerge/>
            <w:tcBorders>
              <w:top w:val="single" w:sz="4" w:space="0" w:color="auto"/>
              <w:left w:val="single" w:sz="4" w:space="0" w:color="auto"/>
              <w:bottom w:val="single" w:sz="4" w:space="0" w:color="auto"/>
              <w:right w:val="single" w:sz="4" w:space="0" w:color="auto"/>
            </w:tcBorders>
            <w:vAlign w:val="center"/>
          </w:tcPr>
          <w:p w:rsidR="009571FA" w:rsidRDefault="009571FA" w:rsidP="00415105">
            <w:pPr>
              <w:jc w:val="both"/>
              <w:rPr>
                <w:rFonts w:ascii="Calibri" w:hAnsi="Calibri"/>
              </w:rPr>
            </w:pPr>
          </w:p>
        </w:tc>
        <w:tc>
          <w:tcPr>
            <w:tcW w:w="490" w:type="dxa"/>
            <w:vMerge/>
            <w:tcBorders>
              <w:left w:val="single" w:sz="4" w:space="0" w:color="auto"/>
              <w:right w:val="single" w:sz="4" w:space="0" w:color="auto"/>
            </w:tcBorders>
            <w:shd w:val="clear" w:color="auto" w:fill="C6D9F1"/>
            <w:vAlign w:val="center"/>
          </w:tcPr>
          <w:p w:rsidR="009571FA" w:rsidRPr="00FC5E10" w:rsidRDefault="009571FA" w:rsidP="00415105">
            <w:pPr>
              <w:tabs>
                <w:tab w:val="left" w:pos="253"/>
              </w:tabs>
              <w:spacing w:line="276" w:lineRule="auto"/>
              <w:jc w:val="both"/>
              <w:rPr>
                <w:rFonts w:ascii="Calibri" w:hAnsi="Calibri"/>
                <w:b/>
                <w:lang w:val="en-US"/>
              </w:rPr>
            </w:pPr>
          </w:p>
        </w:tc>
        <w:tc>
          <w:tcPr>
            <w:tcW w:w="1246" w:type="dxa"/>
            <w:gridSpan w:val="2"/>
            <w:tcBorders>
              <w:top w:val="single" w:sz="4" w:space="0" w:color="auto"/>
              <w:left w:val="single" w:sz="4" w:space="0" w:color="auto"/>
              <w:bottom w:val="single" w:sz="4" w:space="0" w:color="auto"/>
              <w:right w:val="nil"/>
            </w:tcBorders>
            <w:shd w:val="clear" w:color="auto" w:fill="C6D9F1"/>
            <w:vAlign w:val="center"/>
          </w:tcPr>
          <w:p w:rsidR="009571FA" w:rsidRDefault="009571FA" w:rsidP="00415105">
            <w:pPr>
              <w:spacing w:line="276" w:lineRule="auto"/>
              <w:jc w:val="both"/>
              <w:rPr>
                <w:rFonts w:ascii="Calibri" w:hAnsi="Calibri"/>
                <w:lang w:val="es-ES_tradnl"/>
              </w:rPr>
            </w:pPr>
            <w:r>
              <w:rPr>
                <w:rFonts w:ascii="Calibri" w:hAnsi="Calibri"/>
                <w:lang w:val="es-ES_tradnl"/>
              </w:rPr>
              <w:t>No</w:t>
            </w:r>
          </w:p>
        </w:tc>
        <w:tc>
          <w:tcPr>
            <w:tcW w:w="1221" w:type="dxa"/>
            <w:gridSpan w:val="2"/>
            <w:tcBorders>
              <w:top w:val="single" w:sz="4" w:space="0" w:color="auto"/>
              <w:left w:val="nil"/>
              <w:bottom w:val="single" w:sz="4" w:space="0" w:color="auto"/>
              <w:right w:val="single" w:sz="4" w:space="0" w:color="BFBFBF"/>
            </w:tcBorders>
            <w:shd w:val="clear" w:color="auto" w:fill="C6D9F1"/>
            <w:vAlign w:val="center"/>
          </w:tcPr>
          <w:p w:rsidR="009571FA" w:rsidRDefault="009571FA" w:rsidP="00415105">
            <w:pPr>
              <w:spacing w:line="276" w:lineRule="auto"/>
              <w:jc w:val="both"/>
              <w:rPr>
                <w:rFonts w:ascii="Calibri" w:hAnsi="Calibri"/>
                <w:lang w:val="es-ES_tradnl"/>
              </w:rPr>
            </w:pPr>
            <w:r>
              <w:rPr>
                <w:rFonts w:ascii="Calibri" w:hAnsi="Calibri"/>
                <w:lang w:val="es-ES_tradnl"/>
              </w:rPr>
              <w:t>Yes</w:t>
            </w:r>
          </w:p>
        </w:tc>
        <w:tc>
          <w:tcPr>
            <w:tcW w:w="1288" w:type="dxa"/>
            <w:gridSpan w:val="3"/>
            <w:tcBorders>
              <w:top w:val="single" w:sz="4" w:space="0" w:color="auto"/>
              <w:left w:val="nil"/>
              <w:bottom w:val="single" w:sz="4" w:space="0" w:color="auto"/>
              <w:right w:val="single" w:sz="4" w:space="0" w:color="auto"/>
            </w:tcBorders>
            <w:shd w:val="clear" w:color="auto" w:fill="C6D9F1"/>
            <w:vAlign w:val="center"/>
          </w:tcPr>
          <w:p w:rsidR="009571FA" w:rsidRDefault="009571FA" w:rsidP="00415105">
            <w:pPr>
              <w:spacing w:line="276" w:lineRule="auto"/>
              <w:jc w:val="both"/>
              <w:rPr>
                <w:rFonts w:ascii="Calibri" w:hAnsi="Calibri"/>
                <w:lang w:val="es-ES_tradnl"/>
              </w:rPr>
            </w:pPr>
            <w:r>
              <w:rPr>
                <w:rFonts w:ascii="Calibri" w:hAnsi="Calibri"/>
                <w:lang w:val="es-ES_tradnl"/>
              </w:rPr>
              <w:t>Don't Know</w:t>
            </w:r>
          </w:p>
        </w:tc>
        <w:tc>
          <w:tcPr>
            <w:tcW w:w="1170" w:type="dxa"/>
            <w:gridSpan w:val="2"/>
            <w:tcBorders>
              <w:top w:val="single" w:sz="4" w:space="0" w:color="auto"/>
              <w:left w:val="single" w:sz="4" w:space="0" w:color="auto"/>
              <w:bottom w:val="single" w:sz="4" w:space="0" w:color="auto"/>
              <w:right w:val="single" w:sz="4" w:space="0" w:color="BFBFBF"/>
            </w:tcBorders>
            <w:shd w:val="clear" w:color="auto" w:fill="C6D9F1"/>
            <w:vAlign w:val="center"/>
          </w:tcPr>
          <w:p w:rsidR="009571FA" w:rsidRDefault="009571FA" w:rsidP="00415105">
            <w:pPr>
              <w:spacing w:line="276" w:lineRule="auto"/>
              <w:jc w:val="both"/>
              <w:rPr>
                <w:rFonts w:ascii="Calibri" w:hAnsi="Calibri"/>
                <w:lang w:val="es-ES_tradnl"/>
              </w:rPr>
            </w:pPr>
            <w:r>
              <w:rPr>
                <w:rFonts w:ascii="Calibri" w:hAnsi="Calibri"/>
                <w:lang w:val="es-ES_tradnl"/>
              </w:rPr>
              <w:t>No</w:t>
            </w:r>
          </w:p>
        </w:tc>
        <w:tc>
          <w:tcPr>
            <w:tcW w:w="1313" w:type="dxa"/>
            <w:gridSpan w:val="3"/>
            <w:tcBorders>
              <w:top w:val="single" w:sz="4" w:space="0" w:color="auto"/>
              <w:left w:val="single" w:sz="4" w:space="0" w:color="BFBFBF"/>
              <w:bottom w:val="single" w:sz="4" w:space="0" w:color="auto"/>
              <w:right w:val="single" w:sz="4" w:space="0" w:color="BFBFBF"/>
            </w:tcBorders>
            <w:shd w:val="clear" w:color="auto" w:fill="C6D9F1"/>
            <w:vAlign w:val="center"/>
          </w:tcPr>
          <w:p w:rsidR="009571FA" w:rsidRDefault="009571FA" w:rsidP="00415105">
            <w:pPr>
              <w:spacing w:line="276" w:lineRule="auto"/>
              <w:jc w:val="both"/>
              <w:rPr>
                <w:rFonts w:ascii="Calibri" w:hAnsi="Calibri"/>
                <w:lang w:val="es-ES_tradnl"/>
              </w:rPr>
            </w:pPr>
            <w:r>
              <w:rPr>
                <w:rFonts w:ascii="Calibri" w:hAnsi="Calibri"/>
                <w:lang w:val="es-ES_tradnl"/>
              </w:rPr>
              <w:t>Yes</w:t>
            </w:r>
          </w:p>
        </w:tc>
        <w:tc>
          <w:tcPr>
            <w:tcW w:w="1207" w:type="dxa"/>
            <w:gridSpan w:val="2"/>
            <w:tcBorders>
              <w:top w:val="single" w:sz="4" w:space="0" w:color="auto"/>
              <w:left w:val="single" w:sz="4" w:space="0" w:color="BFBFBF"/>
              <w:bottom w:val="single" w:sz="4" w:space="0" w:color="auto"/>
              <w:right w:val="single" w:sz="4" w:space="0" w:color="auto"/>
            </w:tcBorders>
            <w:shd w:val="clear" w:color="auto" w:fill="C6D9F1"/>
            <w:vAlign w:val="center"/>
          </w:tcPr>
          <w:p w:rsidR="009571FA" w:rsidRDefault="009571FA" w:rsidP="00415105">
            <w:pPr>
              <w:spacing w:line="276" w:lineRule="auto"/>
              <w:jc w:val="both"/>
              <w:rPr>
                <w:rFonts w:ascii="Calibri" w:hAnsi="Calibri"/>
                <w:lang w:val="es-ES_tradnl"/>
              </w:rPr>
            </w:pPr>
            <w:r>
              <w:rPr>
                <w:rFonts w:ascii="Calibri" w:hAnsi="Calibri"/>
                <w:lang w:val="es-ES_tradnl"/>
              </w:rPr>
              <w:t>Don't Know</w:t>
            </w:r>
          </w:p>
        </w:tc>
      </w:tr>
      <w:tr w:rsidR="009571FA" w:rsidTr="00EF6EC8">
        <w:trPr>
          <w:trHeight w:val="284"/>
        </w:trPr>
        <w:tc>
          <w:tcPr>
            <w:tcW w:w="1363" w:type="dxa"/>
            <w:vMerge/>
            <w:tcBorders>
              <w:top w:val="single" w:sz="4" w:space="0" w:color="auto"/>
              <w:left w:val="single" w:sz="4" w:space="0" w:color="auto"/>
              <w:bottom w:val="single" w:sz="4" w:space="0" w:color="auto"/>
              <w:right w:val="single" w:sz="4" w:space="0" w:color="auto"/>
            </w:tcBorders>
            <w:vAlign w:val="center"/>
          </w:tcPr>
          <w:p w:rsidR="009571FA" w:rsidRDefault="009571FA" w:rsidP="00415105">
            <w:pPr>
              <w:jc w:val="both"/>
              <w:rPr>
                <w:rFonts w:ascii="Calibri" w:hAnsi="Calibri"/>
              </w:rPr>
            </w:pPr>
          </w:p>
        </w:tc>
        <w:tc>
          <w:tcPr>
            <w:tcW w:w="490" w:type="dxa"/>
            <w:vMerge/>
            <w:tcBorders>
              <w:left w:val="single" w:sz="4" w:space="0" w:color="auto"/>
              <w:bottom w:val="single" w:sz="4" w:space="0" w:color="auto"/>
              <w:right w:val="single" w:sz="4" w:space="0" w:color="auto"/>
            </w:tcBorders>
            <w:vAlign w:val="center"/>
          </w:tcPr>
          <w:p w:rsidR="009571FA" w:rsidRDefault="009571FA" w:rsidP="00415105">
            <w:pPr>
              <w:jc w:val="both"/>
              <w:rPr>
                <w:rFonts w:ascii="Calibri" w:hAnsi="Calibri"/>
                <w:b/>
                <w:lang w:val="es-ES_tradnl"/>
              </w:rPr>
            </w:pPr>
          </w:p>
        </w:tc>
        <w:tc>
          <w:tcPr>
            <w:tcW w:w="610" w:type="dxa"/>
            <w:tcBorders>
              <w:top w:val="single" w:sz="4" w:space="0" w:color="auto"/>
              <w:left w:val="single" w:sz="4" w:space="0" w:color="auto"/>
              <w:bottom w:val="single" w:sz="4" w:space="0" w:color="auto"/>
              <w:right w:val="nil"/>
            </w:tcBorders>
            <w:shd w:val="clear" w:color="auto" w:fill="C6D9F1"/>
            <w:vAlign w:val="center"/>
          </w:tcPr>
          <w:p w:rsidR="009571FA" w:rsidRDefault="009571FA" w:rsidP="00415105">
            <w:pPr>
              <w:spacing w:line="276" w:lineRule="auto"/>
              <w:jc w:val="both"/>
              <w:rPr>
                <w:rFonts w:ascii="Calibri" w:hAnsi="Calibri"/>
                <w:lang w:val="es-ES_tradnl"/>
              </w:rPr>
            </w:pPr>
            <w:r>
              <w:rPr>
                <w:rFonts w:ascii="Calibri" w:hAnsi="Calibri"/>
                <w:lang w:val="es-ES_tradnl"/>
              </w:rPr>
              <w:t>n</w:t>
            </w:r>
          </w:p>
        </w:tc>
        <w:tc>
          <w:tcPr>
            <w:tcW w:w="636" w:type="dxa"/>
            <w:tcBorders>
              <w:top w:val="single" w:sz="4" w:space="0" w:color="auto"/>
              <w:left w:val="nil"/>
              <w:bottom w:val="single" w:sz="4" w:space="0" w:color="auto"/>
              <w:right w:val="nil"/>
            </w:tcBorders>
            <w:shd w:val="clear" w:color="auto" w:fill="C6D9F1"/>
            <w:vAlign w:val="center"/>
          </w:tcPr>
          <w:p w:rsidR="009571FA" w:rsidRDefault="009571FA" w:rsidP="00415105">
            <w:pPr>
              <w:spacing w:line="276" w:lineRule="auto"/>
              <w:jc w:val="both"/>
              <w:rPr>
                <w:rFonts w:ascii="Calibri" w:hAnsi="Calibri"/>
                <w:lang w:val="es-ES_tradnl"/>
              </w:rPr>
            </w:pPr>
            <w:r>
              <w:rPr>
                <w:rFonts w:ascii="Calibri" w:hAnsi="Calibri"/>
                <w:lang w:val="es-ES_tradnl"/>
              </w:rPr>
              <w:t>%</w:t>
            </w:r>
          </w:p>
        </w:tc>
        <w:tc>
          <w:tcPr>
            <w:tcW w:w="611" w:type="dxa"/>
            <w:tcBorders>
              <w:top w:val="single" w:sz="4" w:space="0" w:color="auto"/>
              <w:left w:val="nil"/>
              <w:bottom w:val="single" w:sz="4" w:space="0" w:color="auto"/>
              <w:right w:val="nil"/>
            </w:tcBorders>
            <w:shd w:val="clear" w:color="auto" w:fill="C6D9F1"/>
            <w:vAlign w:val="center"/>
          </w:tcPr>
          <w:p w:rsidR="009571FA" w:rsidRDefault="009571FA" w:rsidP="00415105">
            <w:pPr>
              <w:spacing w:line="276" w:lineRule="auto"/>
              <w:jc w:val="both"/>
              <w:rPr>
                <w:rFonts w:ascii="Calibri" w:hAnsi="Calibri"/>
                <w:lang w:val="es-ES_tradnl"/>
              </w:rPr>
            </w:pPr>
            <w:r>
              <w:rPr>
                <w:rFonts w:ascii="Calibri" w:hAnsi="Calibri"/>
                <w:lang w:val="es-ES_tradnl"/>
              </w:rPr>
              <w:t>n</w:t>
            </w:r>
          </w:p>
        </w:tc>
        <w:tc>
          <w:tcPr>
            <w:tcW w:w="610" w:type="dxa"/>
            <w:tcBorders>
              <w:top w:val="single" w:sz="4" w:space="0" w:color="auto"/>
              <w:left w:val="nil"/>
              <w:bottom w:val="single" w:sz="4" w:space="0" w:color="auto"/>
              <w:right w:val="single" w:sz="4" w:space="0" w:color="BFBFBF"/>
            </w:tcBorders>
            <w:shd w:val="clear" w:color="auto" w:fill="C6D9F1"/>
            <w:vAlign w:val="center"/>
          </w:tcPr>
          <w:p w:rsidR="009571FA" w:rsidRDefault="009571FA" w:rsidP="00415105">
            <w:pPr>
              <w:spacing w:line="276" w:lineRule="auto"/>
              <w:jc w:val="both"/>
              <w:rPr>
                <w:rFonts w:ascii="Calibri" w:hAnsi="Calibri"/>
                <w:lang w:val="es-ES_tradnl"/>
              </w:rPr>
            </w:pPr>
            <w:r>
              <w:rPr>
                <w:rFonts w:ascii="Calibri" w:hAnsi="Calibri"/>
                <w:lang w:val="es-ES_tradnl"/>
              </w:rPr>
              <w:t>%</w:t>
            </w:r>
          </w:p>
        </w:tc>
        <w:tc>
          <w:tcPr>
            <w:tcW w:w="638" w:type="dxa"/>
            <w:gridSpan w:val="2"/>
            <w:tcBorders>
              <w:top w:val="single" w:sz="4" w:space="0" w:color="auto"/>
              <w:left w:val="nil"/>
              <w:bottom w:val="single" w:sz="4" w:space="0" w:color="auto"/>
              <w:right w:val="single" w:sz="4" w:space="0" w:color="BFBFBF"/>
            </w:tcBorders>
            <w:shd w:val="clear" w:color="auto" w:fill="C6D9F1"/>
            <w:vAlign w:val="center"/>
          </w:tcPr>
          <w:p w:rsidR="009571FA" w:rsidRDefault="009571FA" w:rsidP="00415105">
            <w:pPr>
              <w:spacing w:line="276" w:lineRule="auto"/>
              <w:jc w:val="both"/>
              <w:rPr>
                <w:rFonts w:ascii="Calibri" w:hAnsi="Calibri"/>
                <w:lang w:val="es-ES_tradnl"/>
              </w:rPr>
            </w:pPr>
            <w:r>
              <w:rPr>
                <w:rFonts w:ascii="Calibri" w:hAnsi="Calibri"/>
                <w:lang w:val="es-ES_tradnl"/>
              </w:rPr>
              <w:t>n</w:t>
            </w:r>
          </w:p>
        </w:tc>
        <w:tc>
          <w:tcPr>
            <w:tcW w:w="650" w:type="dxa"/>
            <w:tcBorders>
              <w:top w:val="single" w:sz="4" w:space="0" w:color="auto"/>
              <w:left w:val="nil"/>
              <w:bottom w:val="single" w:sz="4" w:space="0" w:color="auto"/>
              <w:right w:val="single" w:sz="4" w:space="0" w:color="auto"/>
            </w:tcBorders>
            <w:shd w:val="clear" w:color="auto" w:fill="C6D9F1"/>
            <w:vAlign w:val="center"/>
          </w:tcPr>
          <w:p w:rsidR="009571FA" w:rsidRDefault="009571FA" w:rsidP="00415105">
            <w:pPr>
              <w:spacing w:line="276" w:lineRule="auto"/>
              <w:jc w:val="both"/>
              <w:rPr>
                <w:rFonts w:ascii="Calibri" w:hAnsi="Calibri"/>
                <w:lang w:val="es-ES_tradnl"/>
              </w:rPr>
            </w:pPr>
            <w:r>
              <w:rPr>
                <w:rFonts w:ascii="Calibri" w:hAnsi="Calibri"/>
                <w:lang w:val="es-ES_tradnl"/>
              </w:rPr>
              <w:t>%</w:t>
            </w:r>
          </w:p>
        </w:tc>
        <w:tc>
          <w:tcPr>
            <w:tcW w:w="598" w:type="dxa"/>
            <w:tcBorders>
              <w:top w:val="single" w:sz="4" w:space="0" w:color="auto"/>
              <w:left w:val="single" w:sz="4" w:space="0" w:color="auto"/>
              <w:bottom w:val="single" w:sz="4" w:space="0" w:color="auto"/>
              <w:right w:val="single" w:sz="4" w:space="0" w:color="BFBFBF"/>
            </w:tcBorders>
            <w:shd w:val="clear" w:color="auto" w:fill="C6D9F1"/>
            <w:vAlign w:val="center"/>
          </w:tcPr>
          <w:p w:rsidR="009571FA" w:rsidRDefault="009571FA" w:rsidP="00415105">
            <w:pPr>
              <w:spacing w:line="276" w:lineRule="auto"/>
              <w:jc w:val="both"/>
              <w:rPr>
                <w:rFonts w:ascii="Calibri" w:hAnsi="Calibri"/>
                <w:lang w:val="es-ES_tradnl"/>
              </w:rPr>
            </w:pPr>
            <w:r>
              <w:rPr>
                <w:rFonts w:ascii="Calibri" w:hAnsi="Calibri"/>
                <w:lang w:val="es-ES_tradnl"/>
              </w:rPr>
              <w:t>n</w:t>
            </w:r>
          </w:p>
        </w:tc>
        <w:tc>
          <w:tcPr>
            <w:tcW w:w="572" w:type="dxa"/>
            <w:tcBorders>
              <w:top w:val="single" w:sz="4" w:space="0" w:color="auto"/>
              <w:left w:val="single" w:sz="4" w:space="0" w:color="BFBFBF"/>
              <w:bottom w:val="single" w:sz="4" w:space="0" w:color="auto"/>
              <w:right w:val="single" w:sz="4" w:space="0" w:color="BFBFBF"/>
            </w:tcBorders>
            <w:shd w:val="clear" w:color="auto" w:fill="C6D9F1"/>
            <w:vAlign w:val="center"/>
          </w:tcPr>
          <w:p w:rsidR="009571FA" w:rsidRDefault="009571FA" w:rsidP="00415105">
            <w:pPr>
              <w:spacing w:line="276" w:lineRule="auto"/>
              <w:jc w:val="both"/>
              <w:rPr>
                <w:rFonts w:ascii="Calibri" w:hAnsi="Calibri"/>
                <w:lang w:val="es-ES_tradnl"/>
              </w:rPr>
            </w:pPr>
            <w:r>
              <w:rPr>
                <w:rFonts w:ascii="Calibri" w:hAnsi="Calibri"/>
                <w:lang w:val="es-ES_tradnl"/>
              </w:rPr>
              <w:t>%</w:t>
            </w:r>
          </w:p>
        </w:tc>
        <w:tc>
          <w:tcPr>
            <w:tcW w:w="676" w:type="dxa"/>
            <w:gridSpan w:val="2"/>
            <w:tcBorders>
              <w:top w:val="single" w:sz="4" w:space="0" w:color="auto"/>
              <w:left w:val="single" w:sz="4" w:space="0" w:color="BFBFBF"/>
              <w:bottom w:val="single" w:sz="4" w:space="0" w:color="auto"/>
              <w:right w:val="single" w:sz="4" w:space="0" w:color="BFBFBF"/>
            </w:tcBorders>
            <w:shd w:val="clear" w:color="auto" w:fill="C6D9F1"/>
            <w:vAlign w:val="center"/>
          </w:tcPr>
          <w:p w:rsidR="009571FA" w:rsidRDefault="009571FA" w:rsidP="00415105">
            <w:pPr>
              <w:spacing w:line="276" w:lineRule="auto"/>
              <w:jc w:val="both"/>
              <w:rPr>
                <w:rFonts w:ascii="Calibri" w:hAnsi="Calibri"/>
                <w:lang w:val="es-ES_tradnl"/>
              </w:rPr>
            </w:pPr>
            <w:r>
              <w:rPr>
                <w:rFonts w:ascii="Calibri" w:hAnsi="Calibri"/>
                <w:lang w:val="es-ES_tradnl"/>
              </w:rPr>
              <w:t>n</w:t>
            </w:r>
          </w:p>
        </w:tc>
        <w:tc>
          <w:tcPr>
            <w:tcW w:w="637" w:type="dxa"/>
            <w:tcBorders>
              <w:top w:val="single" w:sz="4" w:space="0" w:color="auto"/>
              <w:left w:val="single" w:sz="4" w:space="0" w:color="BFBFBF"/>
              <w:bottom w:val="single" w:sz="4" w:space="0" w:color="auto"/>
              <w:right w:val="single" w:sz="4" w:space="0" w:color="BFBFBF"/>
            </w:tcBorders>
            <w:shd w:val="clear" w:color="auto" w:fill="C6D9F1"/>
            <w:vAlign w:val="center"/>
          </w:tcPr>
          <w:p w:rsidR="009571FA" w:rsidRDefault="009571FA" w:rsidP="00415105">
            <w:pPr>
              <w:spacing w:line="276" w:lineRule="auto"/>
              <w:jc w:val="both"/>
              <w:rPr>
                <w:rFonts w:ascii="Calibri" w:hAnsi="Calibri"/>
                <w:lang w:val="es-ES_tradnl"/>
              </w:rPr>
            </w:pPr>
            <w:r>
              <w:rPr>
                <w:rFonts w:ascii="Calibri" w:hAnsi="Calibri"/>
                <w:lang w:val="es-ES_tradnl"/>
              </w:rPr>
              <w:t>%</w:t>
            </w:r>
          </w:p>
        </w:tc>
        <w:tc>
          <w:tcPr>
            <w:tcW w:w="560" w:type="dxa"/>
            <w:tcBorders>
              <w:top w:val="single" w:sz="4" w:space="0" w:color="auto"/>
              <w:left w:val="single" w:sz="4" w:space="0" w:color="BFBFBF"/>
              <w:bottom w:val="single" w:sz="4" w:space="0" w:color="auto"/>
              <w:right w:val="nil"/>
            </w:tcBorders>
            <w:shd w:val="clear" w:color="auto" w:fill="C6D9F1"/>
            <w:vAlign w:val="center"/>
          </w:tcPr>
          <w:p w:rsidR="009571FA" w:rsidRDefault="009571FA" w:rsidP="00415105">
            <w:pPr>
              <w:spacing w:line="276" w:lineRule="auto"/>
              <w:jc w:val="both"/>
              <w:rPr>
                <w:rFonts w:ascii="Calibri" w:hAnsi="Calibri"/>
                <w:lang w:val="es-ES_tradnl"/>
              </w:rPr>
            </w:pPr>
            <w:r>
              <w:rPr>
                <w:rFonts w:ascii="Calibri" w:hAnsi="Calibri"/>
                <w:lang w:val="es-ES_tradnl"/>
              </w:rPr>
              <w:t>n</w:t>
            </w:r>
          </w:p>
        </w:tc>
        <w:tc>
          <w:tcPr>
            <w:tcW w:w="647" w:type="dxa"/>
            <w:tcBorders>
              <w:top w:val="single" w:sz="4" w:space="0" w:color="auto"/>
              <w:left w:val="nil"/>
              <w:bottom w:val="single" w:sz="4" w:space="0" w:color="auto"/>
              <w:right w:val="single" w:sz="4" w:space="0" w:color="auto"/>
            </w:tcBorders>
            <w:shd w:val="clear" w:color="auto" w:fill="C6D9F1"/>
            <w:vAlign w:val="center"/>
          </w:tcPr>
          <w:p w:rsidR="009571FA" w:rsidRDefault="009571FA" w:rsidP="00415105">
            <w:pPr>
              <w:spacing w:line="276" w:lineRule="auto"/>
              <w:jc w:val="both"/>
              <w:rPr>
                <w:rFonts w:ascii="Calibri" w:hAnsi="Calibri"/>
                <w:lang w:val="es-ES_tradnl"/>
              </w:rPr>
            </w:pPr>
            <w:r>
              <w:rPr>
                <w:rFonts w:ascii="Calibri" w:hAnsi="Calibri"/>
                <w:lang w:val="es-ES_tradnl"/>
              </w:rPr>
              <w:t>%</w:t>
            </w:r>
          </w:p>
        </w:tc>
      </w:tr>
      <w:tr w:rsidR="009571FA" w:rsidTr="00EF6EC8">
        <w:trPr>
          <w:trHeight w:val="284"/>
        </w:trPr>
        <w:tc>
          <w:tcPr>
            <w:tcW w:w="13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571FA" w:rsidRDefault="009571FA" w:rsidP="00415105">
            <w:pPr>
              <w:tabs>
                <w:tab w:val="left" w:pos="253"/>
              </w:tabs>
              <w:spacing w:line="276" w:lineRule="auto"/>
              <w:jc w:val="both"/>
              <w:rPr>
                <w:rFonts w:ascii="Calibri" w:hAnsi="Calibri"/>
                <w:b/>
                <w:lang w:val="es-ES_tradnl"/>
              </w:rPr>
            </w:pPr>
            <w:r>
              <w:rPr>
                <w:rFonts w:ascii="Calibri" w:hAnsi="Calibri"/>
                <w:b/>
                <w:lang w:val="es-ES_tradnl"/>
              </w:rPr>
              <w:t xml:space="preserve"> All AMRO/     </w:t>
            </w:r>
          </w:p>
          <w:p w:rsidR="009571FA" w:rsidRDefault="009571FA" w:rsidP="00415105">
            <w:pPr>
              <w:tabs>
                <w:tab w:val="left" w:pos="253"/>
              </w:tabs>
              <w:spacing w:line="276" w:lineRule="auto"/>
              <w:jc w:val="both"/>
              <w:rPr>
                <w:rFonts w:ascii="Calibri" w:hAnsi="Calibri"/>
                <w:b/>
                <w:lang w:val="es-ES_tradnl"/>
              </w:rPr>
            </w:pPr>
            <w:r>
              <w:rPr>
                <w:rFonts w:ascii="Calibri" w:hAnsi="Calibri"/>
                <w:b/>
                <w:lang w:val="es-ES_tradnl"/>
              </w:rPr>
              <w:t xml:space="preserve"> PAHO Staff</w:t>
            </w:r>
          </w:p>
        </w:tc>
        <w:tc>
          <w:tcPr>
            <w:tcW w:w="490" w:type="dxa"/>
            <w:tcBorders>
              <w:top w:val="single" w:sz="4" w:space="0" w:color="auto"/>
              <w:left w:val="single" w:sz="4" w:space="0" w:color="auto"/>
              <w:bottom w:val="single" w:sz="4" w:space="0" w:color="auto"/>
              <w:right w:val="single" w:sz="4" w:space="0" w:color="auto"/>
            </w:tcBorders>
            <w:vAlign w:val="center"/>
          </w:tcPr>
          <w:p w:rsidR="009571FA" w:rsidRDefault="009571FA" w:rsidP="00415105">
            <w:pPr>
              <w:tabs>
                <w:tab w:val="left" w:pos="253"/>
              </w:tabs>
              <w:spacing w:line="276" w:lineRule="auto"/>
              <w:jc w:val="both"/>
              <w:rPr>
                <w:rFonts w:ascii="Calibri" w:hAnsi="Calibri"/>
                <w:sz w:val="18"/>
                <w:lang w:val="es-ES_tradnl"/>
              </w:rPr>
            </w:pPr>
            <w:r>
              <w:rPr>
                <w:rFonts w:ascii="Calibri" w:hAnsi="Calibri"/>
                <w:sz w:val="18"/>
                <w:lang w:val="es-ES_tradnl"/>
              </w:rPr>
              <w:t>390</w:t>
            </w:r>
          </w:p>
        </w:tc>
        <w:tc>
          <w:tcPr>
            <w:tcW w:w="610" w:type="dxa"/>
            <w:tcBorders>
              <w:top w:val="single" w:sz="4" w:space="0" w:color="auto"/>
              <w:left w:val="single" w:sz="4" w:space="0" w:color="auto"/>
              <w:bottom w:val="single" w:sz="4" w:space="0" w:color="auto"/>
              <w:right w:val="nil"/>
            </w:tcBorders>
            <w:vAlign w:val="center"/>
          </w:tcPr>
          <w:p w:rsidR="009571FA" w:rsidRDefault="009571FA" w:rsidP="00415105">
            <w:pPr>
              <w:spacing w:line="276" w:lineRule="auto"/>
              <w:jc w:val="both"/>
              <w:rPr>
                <w:rFonts w:ascii="Calibri" w:hAnsi="Calibri"/>
                <w:sz w:val="18"/>
                <w:lang w:val="es-ES_tradnl"/>
              </w:rPr>
            </w:pPr>
            <w:r>
              <w:rPr>
                <w:rFonts w:ascii="Calibri" w:hAnsi="Calibri"/>
                <w:sz w:val="18"/>
                <w:lang w:val="es-ES_tradnl"/>
              </w:rPr>
              <w:t>109</w:t>
            </w:r>
          </w:p>
        </w:tc>
        <w:tc>
          <w:tcPr>
            <w:tcW w:w="636" w:type="dxa"/>
            <w:tcBorders>
              <w:top w:val="single" w:sz="4" w:space="0" w:color="auto"/>
              <w:left w:val="nil"/>
              <w:bottom w:val="single" w:sz="4" w:space="0" w:color="auto"/>
              <w:right w:val="nil"/>
            </w:tcBorders>
            <w:vAlign w:val="center"/>
          </w:tcPr>
          <w:p w:rsidR="009571FA" w:rsidRDefault="009571FA" w:rsidP="00415105">
            <w:pPr>
              <w:spacing w:line="276" w:lineRule="auto"/>
              <w:jc w:val="both"/>
              <w:rPr>
                <w:rFonts w:ascii="Calibri" w:hAnsi="Calibri"/>
                <w:sz w:val="18"/>
                <w:lang w:val="es-ES_tradnl"/>
              </w:rPr>
            </w:pPr>
            <w:r>
              <w:rPr>
                <w:rFonts w:ascii="Calibri" w:hAnsi="Calibri"/>
                <w:sz w:val="18"/>
                <w:lang w:val="es-ES_tradnl"/>
              </w:rPr>
              <w:t>27.9</w:t>
            </w:r>
          </w:p>
        </w:tc>
        <w:tc>
          <w:tcPr>
            <w:tcW w:w="611" w:type="dxa"/>
            <w:tcBorders>
              <w:top w:val="single" w:sz="4" w:space="0" w:color="auto"/>
              <w:left w:val="nil"/>
              <w:bottom w:val="single" w:sz="4" w:space="0" w:color="auto"/>
              <w:right w:val="nil"/>
            </w:tcBorders>
            <w:vAlign w:val="center"/>
          </w:tcPr>
          <w:p w:rsidR="009571FA" w:rsidRDefault="009571FA" w:rsidP="00415105">
            <w:pPr>
              <w:spacing w:line="276" w:lineRule="auto"/>
              <w:jc w:val="both"/>
              <w:rPr>
                <w:rFonts w:ascii="Calibri" w:hAnsi="Calibri"/>
                <w:sz w:val="18"/>
                <w:lang w:val="es-ES_tradnl"/>
              </w:rPr>
            </w:pPr>
            <w:r>
              <w:rPr>
                <w:rFonts w:ascii="Calibri" w:hAnsi="Calibri"/>
                <w:sz w:val="18"/>
                <w:lang w:val="es-ES_tradnl"/>
              </w:rPr>
              <w:t>262</w:t>
            </w:r>
          </w:p>
        </w:tc>
        <w:tc>
          <w:tcPr>
            <w:tcW w:w="610" w:type="dxa"/>
            <w:tcBorders>
              <w:top w:val="single" w:sz="4" w:space="0" w:color="auto"/>
              <w:left w:val="nil"/>
              <w:bottom w:val="single" w:sz="4" w:space="0" w:color="auto"/>
              <w:right w:val="single" w:sz="4" w:space="0" w:color="BFBFBF"/>
            </w:tcBorders>
            <w:vAlign w:val="center"/>
          </w:tcPr>
          <w:p w:rsidR="009571FA" w:rsidRDefault="009571FA" w:rsidP="00415105">
            <w:pPr>
              <w:spacing w:line="276" w:lineRule="auto"/>
              <w:jc w:val="both"/>
              <w:rPr>
                <w:rFonts w:ascii="Calibri" w:hAnsi="Calibri"/>
                <w:sz w:val="18"/>
                <w:lang w:val="es-ES_tradnl"/>
              </w:rPr>
            </w:pPr>
            <w:r>
              <w:rPr>
                <w:rFonts w:ascii="Calibri" w:hAnsi="Calibri"/>
                <w:sz w:val="18"/>
                <w:lang w:val="es-ES_tradnl"/>
              </w:rPr>
              <w:t>67.2</w:t>
            </w:r>
          </w:p>
        </w:tc>
        <w:tc>
          <w:tcPr>
            <w:tcW w:w="638" w:type="dxa"/>
            <w:gridSpan w:val="2"/>
            <w:tcBorders>
              <w:top w:val="single" w:sz="4" w:space="0" w:color="auto"/>
              <w:left w:val="nil"/>
              <w:bottom w:val="single" w:sz="4" w:space="0" w:color="auto"/>
              <w:right w:val="single" w:sz="4" w:space="0" w:color="BFBFBF"/>
            </w:tcBorders>
            <w:vAlign w:val="center"/>
          </w:tcPr>
          <w:p w:rsidR="009571FA" w:rsidRDefault="009571FA" w:rsidP="00415105">
            <w:pPr>
              <w:spacing w:line="276" w:lineRule="auto"/>
              <w:jc w:val="both"/>
              <w:rPr>
                <w:rFonts w:ascii="Calibri" w:hAnsi="Calibri"/>
                <w:sz w:val="18"/>
                <w:lang w:val="es-ES_tradnl"/>
              </w:rPr>
            </w:pPr>
            <w:r>
              <w:rPr>
                <w:rFonts w:ascii="Calibri" w:hAnsi="Calibri"/>
                <w:sz w:val="18"/>
                <w:lang w:val="es-ES_tradnl"/>
              </w:rPr>
              <w:t>19</w:t>
            </w:r>
          </w:p>
        </w:tc>
        <w:tc>
          <w:tcPr>
            <w:tcW w:w="650" w:type="dxa"/>
            <w:tcBorders>
              <w:top w:val="single" w:sz="4" w:space="0" w:color="auto"/>
              <w:left w:val="nil"/>
              <w:bottom w:val="single" w:sz="4" w:space="0" w:color="auto"/>
              <w:right w:val="single" w:sz="4" w:space="0" w:color="auto"/>
            </w:tcBorders>
            <w:vAlign w:val="center"/>
          </w:tcPr>
          <w:p w:rsidR="009571FA" w:rsidRDefault="009571FA" w:rsidP="00415105">
            <w:pPr>
              <w:spacing w:line="276" w:lineRule="auto"/>
              <w:jc w:val="both"/>
              <w:rPr>
                <w:rFonts w:ascii="Calibri" w:hAnsi="Calibri"/>
                <w:sz w:val="18"/>
                <w:lang w:val="es-ES_tradnl"/>
              </w:rPr>
            </w:pPr>
            <w:r>
              <w:rPr>
                <w:rFonts w:ascii="Calibri" w:hAnsi="Calibri"/>
                <w:sz w:val="18"/>
                <w:lang w:val="es-ES_tradnl"/>
              </w:rPr>
              <w:t>4.9</w:t>
            </w:r>
          </w:p>
        </w:tc>
        <w:tc>
          <w:tcPr>
            <w:tcW w:w="598" w:type="dxa"/>
            <w:tcBorders>
              <w:top w:val="single" w:sz="4" w:space="0" w:color="auto"/>
              <w:left w:val="single" w:sz="4" w:space="0" w:color="auto"/>
              <w:bottom w:val="single" w:sz="4" w:space="0" w:color="auto"/>
              <w:right w:val="single" w:sz="4" w:space="0" w:color="BFBFBF"/>
            </w:tcBorders>
            <w:vAlign w:val="center"/>
          </w:tcPr>
          <w:p w:rsidR="009571FA" w:rsidRDefault="009571FA" w:rsidP="00415105">
            <w:pPr>
              <w:spacing w:line="276" w:lineRule="auto"/>
              <w:jc w:val="both"/>
              <w:rPr>
                <w:rFonts w:ascii="Calibri" w:hAnsi="Calibri"/>
                <w:sz w:val="18"/>
                <w:lang w:val="es-ES_tradnl"/>
              </w:rPr>
            </w:pPr>
            <w:r>
              <w:rPr>
                <w:rFonts w:ascii="Calibri" w:hAnsi="Calibri"/>
                <w:sz w:val="18"/>
                <w:lang w:val="es-ES_tradnl"/>
              </w:rPr>
              <w:t>127</w:t>
            </w:r>
          </w:p>
        </w:tc>
        <w:tc>
          <w:tcPr>
            <w:tcW w:w="572" w:type="dxa"/>
            <w:tcBorders>
              <w:top w:val="single" w:sz="4" w:space="0" w:color="auto"/>
              <w:left w:val="single" w:sz="4" w:space="0" w:color="BFBFBF"/>
              <w:bottom w:val="single" w:sz="4" w:space="0" w:color="auto"/>
              <w:right w:val="single" w:sz="4" w:space="0" w:color="BFBFBF"/>
            </w:tcBorders>
            <w:vAlign w:val="center"/>
          </w:tcPr>
          <w:p w:rsidR="009571FA" w:rsidRDefault="009571FA" w:rsidP="00415105">
            <w:pPr>
              <w:spacing w:line="276" w:lineRule="auto"/>
              <w:jc w:val="both"/>
              <w:rPr>
                <w:rFonts w:ascii="Calibri" w:hAnsi="Calibri"/>
                <w:sz w:val="18"/>
                <w:lang w:val="es-ES_tradnl"/>
              </w:rPr>
            </w:pPr>
            <w:r>
              <w:rPr>
                <w:rFonts w:ascii="Calibri" w:hAnsi="Calibri"/>
                <w:sz w:val="18"/>
                <w:lang w:val="es-ES_tradnl"/>
              </w:rPr>
              <w:t>32.6</w:t>
            </w:r>
          </w:p>
        </w:tc>
        <w:tc>
          <w:tcPr>
            <w:tcW w:w="676" w:type="dxa"/>
            <w:gridSpan w:val="2"/>
            <w:tcBorders>
              <w:top w:val="single" w:sz="4" w:space="0" w:color="auto"/>
              <w:left w:val="single" w:sz="4" w:space="0" w:color="BFBFBF"/>
              <w:bottom w:val="single" w:sz="4" w:space="0" w:color="auto"/>
              <w:right w:val="single" w:sz="4" w:space="0" w:color="BFBFBF"/>
            </w:tcBorders>
            <w:vAlign w:val="center"/>
          </w:tcPr>
          <w:p w:rsidR="009571FA" w:rsidRDefault="009571FA" w:rsidP="00415105">
            <w:pPr>
              <w:spacing w:line="276" w:lineRule="auto"/>
              <w:jc w:val="both"/>
              <w:rPr>
                <w:rFonts w:ascii="Calibri" w:hAnsi="Calibri"/>
                <w:sz w:val="18"/>
                <w:lang w:val="es-ES_tradnl"/>
              </w:rPr>
            </w:pPr>
            <w:r>
              <w:rPr>
                <w:rFonts w:ascii="Calibri" w:hAnsi="Calibri"/>
                <w:sz w:val="18"/>
                <w:lang w:val="es-ES_tradnl"/>
              </w:rPr>
              <w:t>252</w:t>
            </w:r>
          </w:p>
        </w:tc>
        <w:tc>
          <w:tcPr>
            <w:tcW w:w="637" w:type="dxa"/>
            <w:tcBorders>
              <w:top w:val="single" w:sz="4" w:space="0" w:color="auto"/>
              <w:left w:val="single" w:sz="4" w:space="0" w:color="BFBFBF"/>
              <w:bottom w:val="single" w:sz="4" w:space="0" w:color="auto"/>
              <w:right w:val="single" w:sz="4" w:space="0" w:color="BFBFBF"/>
            </w:tcBorders>
            <w:vAlign w:val="center"/>
          </w:tcPr>
          <w:p w:rsidR="009571FA" w:rsidRDefault="009571FA" w:rsidP="00415105">
            <w:pPr>
              <w:spacing w:line="276" w:lineRule="auto"/>
              <w:jc w:val="both"/>
              <w:rPr>
                <w:rFonts w:ascii="Calibri" w:hAnsi="Calibri"/>
                <w:sz w:val="18"/>
                <w:lang w:val="es-ES_tradnl"/>
              </w:rPr>
            </w:pPr>
            <w:r>
              <w:rPr>
                <w:rFonts w:ascii="Calibri" w:hAnsi="Calibri"/>
                <w:sz w:val="18"/>
                <w:lang w:val="es-ES_tradnl"/>
              </w:rPr>
              <w:t>64.6</w:t>
            </w:r>
          </w:p>
        </w:tc>
        <w:tc>
          <w:tcPr>
            <w:tcW w:w="560" w:type="dxa"/>
            <w:tcBorders>
              <w:top w:val="single" w:sz="4" w:space="0" w:color="auto"/>
              <w:left w:val="single" w:sz="4" w:space="0" w:color="BFBFBF"/>
              <w:bottom w:val="single" w:sz="4" w:space="0" w:color="auto"/>
              <w:right w:val="nil"/>
            </w:tcBorders>
            <w:vAlign w:val="center"/>
          </w:tcPr>
          <w:p w:rsidR="009571FA" w:rsidRDefault="009571FA" w:rsidP="00415105">
            <w:pPr>
              <w:spacing w:line="276" w:lineRule="auto"/>
              <w:jc w:val="both"/>
              <w:rPr>
                <w:rFonts w:ascii="Calibri" w:hAnsi="Calibri"/>
                <w:sz w:val="18"/>
                <w:lang w:val="es-ES_tradnl"/>
              </w:rPr>
            </w:pPr>
            <w:r>
              <w:rPr>
                <w:rFonts w:ascii="Calibri" w:hAnsi="Calibri"/>
                <w:sz w:val="18"/>
                <w:lang w:val="es-ES_tradnl"/>
              </w:rPr>
              <w:t>11</w:t>
            </w:r>
          </w:p>
        </w:tc>
        <w:tc>
          <w:tcPr>
            <w:tcW w:w="647" w:type="dxa"/>
            <w:tcBorders>
              <w:top w:val="single" w:sz="4" w:space="0" w:color="auto"/>
              <w:left w:val="nil"/>
              <w:bottom w:val="single" w:sz="4" w:space="0" w:color="auto"/>
              <w:right w:val="single" w:sz="4" w:space="0" w:color="auto"/>
            </w:tcBorders>
            <w:vAlign w:val="center"/>
          </w:tcPr>
          <w:p w:rsidR="009571FA" w:rsidRDefault="009571FA" w:rsidP="00415105">
            <w:pPr>
              <w:spacing w:line="276" w:lineRule="auto"/>
              <w:jc w:val="both"/>
              <w:rPr>
                <w:rFonts w:ascii="Calibri" w:hAnsi="Calibri"/>
                <w:sz w:val="18"/>
                <w:lang w:val="es-ES_tradnl"/>
              </w:rPr>
            </w:pPr>
            <w:r>
              <w:rPr>
                <w:rFonts w:ascii="Calibri" w:hAnsi="Calibri"/>
                <w:sz w:val="18"/>
                <w:lang w:val="es-ES_tradnl"/>
              </w:rPr>
              <w:t>2.8</w:t>
            </w:r>
          </w:p>
        </w:tc>
      </w:tr>
      <w:tr w:rsidR="009571FA" w:rsidTr="00EF6EC8">
        <w:trPr>
          <w:trHeight w:val="284"/>
        </w:trPr>
        <w:tc>
          <w:tcPr>
            <w:tcW w:w="1363" w:type="dxa"/>
            <w:tcBorders>
              <w:top w:val="single" w:sz="4" w:space="0" w:color="auto"/>
              <w:left w:val="single" w:sz="4" w:space="0" w:color="auto"/>
              <w:bottom w:val="single" w:sz="4" w:space="0" w:color="auto"/>
              <w:right w:val="single" w:sz="4" w:space="0" w:color="auto"/>
            </w:tcBorders>
            <w:shd w:val="clear" w:color="auto" w:fill="C6D6F4"/>
            <w:tcMar>
              <w:top w:w="0" w:type="dxa"/>
              <w:left w:w="28" w:type="dxa"/>
              <w:bottom w:w="0" w:type="dxa"/>
              <w:right w:w="28" w:type="dxa"/>
            </w:tcMar>
            <w:vAlign w:val="center"/>
          </w:tcPr>
          <w:p w:rsidR="009571FA" w:rsidRDefault="009571FA" w:rsidP="00415105">
            <w:pPr>
              <w:tabs>
                <w:tab w:val="left" w:pos="253"/>
              </w:tabs>
              <w:spacing w:line="276" w:lineRule="auto"/>
              <w:jc w:val="both"/>
              <w:rPr>
                <w:rFonts w:ascii="Calibri" w:hAnsi="Calibri"/>
                <w:b/>
                <w:lang w:val="es-ES_tradnl"/>
              </w:rPr>
            </w:pPr>
            <w:r>
              <w:rPr>
                <w:rFonts w:ascii="Calibri" w:hAnsi="Calibri"/>
                <w:b/>
                <w:lang w:val="es-ES_tradnl"/>
              </w:rPr>
              <w:t xml:space="preserve"> By Sex</w:t>
            </w:r>
          </w:p>
        </w:tc>
        <w:tc>
          <w:tcPr>
            <w:tcW w:w="490" w:type="dxa"/>
            <w:tcBorders>
              <w:top w:val="single" w:sz="4" w:space="0" w:color="auto"/>
              <w:left w:val="single" w:sz="4" w:space="0" w:color="auto"/>
              <w:bottom w:val="single" w:sz="4" w:space="0" w:color="auto"/>
              <w:right w:val="single" w:sz="4" w:space="0" w:color="auto"/>
            </w:tcBorders>
            <w:shd w:val="clear" w:color="auto" w:fill="C6D6F4"/>
            <w:vAlign w:val="center"/>
          </w:tcPr>
          <w:p w:rsidR="009571FA" w:rsidRDefault="009571FA" w:rsidP="00415105">
            <w:pPr>
              <w:tabs>
                <w:tab w:val="left" w:pos="253"/>
              </w:tabs>
              <w:spacing w:line="276" w:lineRule="auto"/>
              <w:jc w:val="both"/>
              <w:rPr>
                <w:rFonts w:ascii="Calibri" w:hAnsi="Calibri"/>
                <w:sz w:val="18"/>
                <w:lang w:val="es-ES_tradnl"/>
              </w:rPr>
            </w:pPr>
          </w:p>
        </w:tc>
        <w:tc>
          <w:tcPr>
            <w:tcW w:w="610" w:type="dxa"/>
            <w:tcBorders>
              <w:top w:val="single" w:sz="4" w:space="0" w:color="auto"/>
              <w:left w:val="single" w:sz="4" w:space="0" w:color="auto"/>
              <w:bottom w:val="single" w:sz="4" w:space="0" w:color="auto"/>
              <w:right w:val="nil"/>
            </w:tcBorders>
            <w:shd w:val="clear" w:color="auto" w:fill="C6D6F4"/>
            <w:vAlign w:val="center"/>
          </w:tcPr>
          <w:p w:rsidR="009571FA" w:rsidRDefault="009571FA" w:rsidP="00415105">
            <w:pPr>
              <w:spacing w:line="276" w:lineRule="auto"/>
              <w:jc w:val="both"/>
              <w:rPr>
                <w:rFonts w:ascii="Calibri" w:hAnsi="Calibri"/>
                <w:sz w:val="18"/>
                <w:lang w:val="es-ES_tradnl"/>
              </w:rPr>
            </w:pPr>
          </w:p>
        </w:tc>
        <w:tc>
          <w:tcPr>
            <w:tcW w:w="636" w:type="dxa"/>
            <w:tcBorders>
              <w:top w:val="single" w:sz="4" w:space="0" w:color="auto"/>
              <w:left w:val="nil"/>
              <w:bottom w:val="single" w:sz="4" w:space="0" w:color="auto"/>
              <w:right w:val="nil"/>
            </w:tcBorders>
            <w:shd w:val="clear" w:color="auto" w:fill="C6D6F4"/>
            <w:vAlign w:val="center"/>
          </w:tcPr>
          <w:p w:rsidR="009571FA" w:rsidRDefault="009571FA" w:rsidP="00415105">
            <w:pPr>
              <w:spacing w:line="276" w:lineRule="auto"/>
              <w:jc w:val="both"/>
              <w:rPr>
                <w:rFonts w:ascii="Calibri" w:hAnsi="Calibri"/>
                <w:sz w:val="18"/>
                <w:lang w:val="es-ES_tradnl"/>
              </w:rPr>
            </w:pPr>
          </w:p>
        </w:tc>
        <w:tc>
          <w:tcPr>
            <w:tcW w:w="611" w:type="dxa"/>
            <w:tcBorders>
              <w:top w:val="single" w:sz="4" w:space="0" w:color="auto"/>
              <w:left w:val="nil"/>
              <w:bottom w:val="single" w:sz="4" w:space="0" w:color="auto"/>
              <w:right w:val="nil"/>
            </w:tcBorders>
            <w:shd w:val="clear" w:color="auto" w:fill="C6D6F4"/>
            <w:vAlign w:val="center"/>
          </w:tcPr>
          <w:p w:rsidR="009571FA" w:rsidRDefault="009571FA" w:rsidP="00415105">
            <w:pPr>
              <w:spacing w:line="276" w:lineRule="auto"/>
              <w:jc w:val="both"/>
              <w:rPr>
                <w:rFonts w:ascii="Calibri" w:hAnsi="Calibri"/>
                <w:sz w:val="18"/>
                <w:lang w:val="es-ES_tradnl"/>
              </w:rPr>
            </w:pPr>
          </w:p>
        </w:tc>
        <w:tc>
          <w:tcPr>
            <w:tcW w:w="610" w:type="dxa"/>
            <w:tcBorders>
              <w:top w:val="single" w:sz="4" w:space="0" w:color="auto"/>
              <w:left w:val="nil"/>
              <w:bottom w:val="single" w:sz="4" w:space="0" w:color="auto"/>
              <w:right w:val="single" w:sz="4" w:space="0" w:color="BFBFBF"/>
            </w:tcBorders>
            <w:shd w:val="clear" w:color="auto" w:fill="C6D6F4"/>
            <w:vAlign w:val="center"/>
          </w:tcPr>
          <w:p w:rsidR="009571FA" w:rsidRDefault="009571FA" w:rsidP="00415105">
            <w:pPr>
              <w:spacing w:line="276" w:lineRule="auto"/>
              <w:jc w:val="both"/>
              <w:rPr>
                <w:rFonts w:ascii="Calibri" w:hAnsi="Calibri"/>
                <w:sz w:val="18"/>
                <w:lang w:val="es-ES_tradnl"/>
              </w:rPr>
            </w:pPr>
          </w:p>
        </w:tc>
        <w:tc>
          <w:tcPr>
            <w:tcW w:w="638" w:type="dxa"/>
            <w:gridSpan w:val="2"/>
            <w:tcBorders>
              <w:top w:val="single" w:sz="4" w:space="0" w:color="auto"/>
              <w:left w:val="nil"/>
              <w:bottom w:val="single" w:sz="4" w:space="0" w:color="auto"/>
              <w:right w:val="single" w:sz="4" w:space="0" w:color="BFBFBF"/>
            </w:tcBorders>
            <w:shd w:val="clear" w:color="auto" w:fill="C6D6F4"/>
            <w:vAlign w:val="center"/>
          </w:tcPr>
          <w:p w:rsidR="009571FA" w:rsidRDefault="009571FA" w:rsidP="00415105">
            <w:pPr>
              <w:spacing w:line="276" w:lineRule="auto"/>
              <w:jc w:val="both"/>
              <w:rPr>
                <w:rFonts w:ascii="Calibri" w:hAnsi="Calibri"/>
                <w:sz w:val="18"/>
                <w:lang w:val="es-ES_tradnl"/>
              </w:rPr>
            </w:pPr>
          </w:p>
        </w:tc>
        <w:tc>
          <w:tcPr>
            <w:tcW w:w="650" w:type="dxa"/>
            <w:tcBorders>
              <w:top w:val="single" w:sz="4" w:space="0" w:color="auto"/>
              <w:left w:val="nil"/>
              <w:bottom w:val="single" w:sz="4" w:space="0" w:color="auto"/>
              <w:right w:val="single" w:sz="4" w:space="0" w:color="auto"/>
            </w:tcBorders>
            <w:shd w:val="clear" w:color="auto" w:fill="C6D6F4"/>
            <w:vAlign w:val="center"/>
          </w:tcPr>
          <w:p w:rsidR="009571FA" w:rsidRDefault="009571FA" w:rsidP="00415105">
            <w:pPr>
              <w:spacing w:line="276" w:lineRule="auto"/>
              <w:jc w:val="both"/>
              <w:rPr>
                <w:rFonts w:ascii="Calibri" w:hAnsi="Calibri"/>
                <w:sz w:val="18"/>
                <w:lang w:val="es-ES_tradnl"/>
              </w:rPr>
            </w:pPr>
          </w:p>
        </w:tc>
        <w:tc>
          <w:tcPr>
            <w:tcW w:w="598" w:type="dxa"/>
            <w:tcBorders>
              <w:top w:val="single" w:sz="4" w:space="0" w:color="auto"/>
              <w:left w:val="single" w:sz="4" w:space="0" w:color="auto"/>
              <w:bottom w:val="single" w:sz="4" w:space="0" w:color="auto"/>
              <w:right w:val="single" w:sz="4" w:space="0" w:color="BFBFBF"/>
            </w:tcBorders>
            <w:shd w:val="clear" w:color="auto" w:fill="C6D6F4"/>
            <w:vAlign w:val="center"/>
          </w:tcPr>
          <w:p w:rsidR="009571FA" w:rsidRDefault="009571FA" w:rsidP="00415105">
            <w:pPr>
              <w:spacing w:line="276" w:lineRule="auto"/>
              <w:jc w:val="both"/>
              <w:rPr>
                <w:rFonts w:ascii="Calibri" w:hAnsi="Calibri"/>
                <w:sz w:val="18"/>
                <w:lang w:val="es-ES_tradnl"/>
              </w:rPr>
            </w:pPr>
          </w:p>
        </w:tc>
        <w:tc>
          <w:tcPr>
            <w:tcW w:w="572" w:type="dxa"/>
            <w:tcBorders>
              <w:top w:val="single" w:sz="4" w:space="0" w:color="auto"/>
              <w:left w:val="single" w:sz="4" w:space="0" w:color="BFBFBF"/>
              <w:bottom w:val="single" w:sz="4" w:space="0" w:color="auto"/>
              <w:right w:val="single" w:sz="4" w:space="0" w:color="BFBFBF"/>
            </w:tcBorders>
            <w:shd w:val="clear" w:color="auto" w:fill="C6D6F4"/>
            <w:vAlign w:val="center"/>
          </w:tcPr>
          <w:p w:rsidR="009571FA" w:rsidRDefault="009571FA" w:rsidP="00415105">
            <w:pPr>
              <w:spacing w:line="276" w:lineRule="auto"/>
              <w:jc w:val="both"/>
              <w:rPr>
                <w:rFonts w:ascii="Calibri" w:hAnsi="Calibri"/>
                <w:sz w:val="18"/>
                <w:lang w:val="es-ES_tradnl"/>
              </w:rPr>
            </w:pPr>
          </w:p>
        </w:tc>
        <w:tc>
          <w:tcPr>
            <w:tcW w:w="676" w:type="dxa"/>
            <w:gridSpan w:val="2"/>
            <w:tcBorders>
              <w:top w:val="single" w:sz="4" w:space="0" w:color="auto"/>
              <w:left w:val="single" w:sz="4" w:space="0" w:color="BFBFBF"/>
              <w:bottom w:val="single" w:sz="4" w:space="0" w:color="auto"/>
              <w:right w:val="single" w:sz="4" w:space="0" w:color="BFBFBF"/>
            </w:tcBorders>
            <w:shd w:val="clear" w:color="auto" w:fill="C6D6F4"/>
            <w:vAlign w:val="center"/>
          </w:tcPr>
          <w:p w:rsidR="009571FA" w:rsidRDefault="009571FA" w:rsidP="00415105">
            <w:pPr>
              <w:spacing w:line="276" w:lineRule="auto"/>
              <w:jc w:val="both"/>
              <w:rPr>
                <w:rFonts w:ascii="Calibri" w:hAnsi="Calibri"/>
                <w:sz w:val="18"/>
                <w:lang w:val="es-ES_tradnl"/>
              </w:rPr>
            </w:pPr>
          </w:p>
        </w:tc>
        <w:tc>
          <w:tcPr>
            <w:tcW w:w="637" w:type="dxa"/>
            <w:tcBorders>
              <w:top w:val="single" w:sz="4" w:space="0" w:color="auto"/>
              <w:left w:val="single" w:sz="4" w:space="0" w:color="BFBFBF"/>
              <w:bottom w:val="single" w:sz="4" w:space="0" w:color="auto"/>
              <w:right w:val="single" w:sz="4" w:space="0" w:color="BFBFBF"/>
            </w:tcBorders>
            <w:shd w:val="clear" w:color="auto" w:fill="C6D6F4"/>
            <w:vAlign w:val="center"/>
          </w:tcPr>
          <w:p w:rsidR="009571FA" w:rsidRDefault="009571FA" w:rsidP="00415105">
            <w:pPr>
              <w:spacing w:line="276" w:lineRule="auto"/>
              <w:jc w:val="both"/>
              <w:rPr>
                <w:rFonts w:ascii="Calibri" w:hAnsi="Calibri"/>
                <w:sz w:val="18"/>
                <w:lang w:val="es-ES_tradnl"/>
              </w:rPr>
            </w:pPr>
          </w:p>
        </w:tc>
        <w:tc>
          <w:tcPr>
            <w:tcW w:w="560" w:type="dxa"/>
            <w:tcBorders>
              <w:top w:val="single" w:sz="4" w:space="0" w:color="auto"/>
              <w:left w:val="single" w:sz="4" w:space="0" w:color="BFBFBF"/>
              <w:bottom w:val="single" w:sz="4" w:space="0" w:color="auto"/>
              <w:right w:val="nil"/>
            </w:tcBorders>
            <w:shd w:val="clear" w:color="auto" w:fill="C6D6F4"/>
            <w:vAlign w:val="center"/>
          </w:tcPr>
          <w:p w:rsidR="009571FA" w:rsidRDefault="009571FA" w:rsidP="00415105">
            <w:pPr>
              <w:spacing w:line="276" w:lineRule="auto"/>
              <w:jc w:val="both"/>
              <w:rPr>
                <w:rFonts w:ascii="Calibri" w:hAnsi="Calibri"/>
                <w:sz w:val="18"/>
                <w:lang w:val="es-ES_tradnl"/>
              </w:rPr>
            </w:pPr>
          </w:p>
        </w:tc>
        <w:tc>
          <w:tcPr>
            <w:tcW w:w="647" w:type="dxa"/>
            <w:tcBorders>
              <w:top w:val="single" w:sz="4" w:space="0" w:color="auto"/>
              <w:left w:val="nil"/>
              <w:bottom w:val="single" w:sz="4" w:space="0" w:color="auto"/>
              <w:right w:val="single" w:sz="4" w:space="0" w:color="auto"/>
            </w:tcBorders>
            <w:shd w:val="clear" w:color="auto" w:fill="C6D6F4"/>
            <w:vAlign w:val="center"/>
          </w:tcPr>
          <w:p w:rsidR="009571FA" w:rsidRDefault="009571FA" w:rsidP="00415105">
            <w:pPr>
              <w:spacing w:line="276" w:lineRule="auto"/>
              <w:jc w:val="both"/>
              <w:rPr>
                <w:rFonts w:ascii="Calibri" w:hAnsi="Calibri"/>
                <w:sz w:val="18"/>
                <w:lang w:val="es-ES_tradnl"/>
              </w:rPr>
            </w:pPr>
          </w:p>
        </w:tc>
      </w:tr>
      <w:tr w:rsidR="009571FA" w:rsidTr="00EF6EC8">
        <w:trPr>
          <w:trHeight w:val="284"/>
        </w:trPr>
        <w:tc>
          <w:tcPr>
            <w:tcW w:w="1363" w:type="dxa"/>
            <w:tcBorders>
              <w:top w:val="single" w:sz="4" w:space="0" w:color="auto"/>
              <w:left w:val="single" w:sz="4" w:space="0" w:color="auto"/>
              <w:bottom w:val="single" w:sz="4" w:space="0" w:color="BFBFBF"/>
              <w:right w:val="single" w:sz="4" w:space="0" w:color="auto"/>
            </w:tcBorders>
            <w:tcMar>
              <w:top w:w="0" w:type="dxa"/>
              <w:left w:w="28" w:type="dxa"/>
              <w:bottom w:w="0" w:type="dxa"/>
              <w:right w:w="28" w:type="dxa"/>
            </w:tcMar>
            <w:vAlign w:val="center"/>
          </w:tcPr>
          <w:p w:rsidR="009571FA" w:rsidRDefault="009571FA" w:rsidP="00415105">
            <w:pPr>
              <w:tabs>
                <w:tab w:val="left" w:pos="253"/>
              </w:tabs>
              <w:spacing w:line="276" w:lineRule="auto"/>
              <w:jc w:val="both"/>
              <w:rPr>
                <w:rFonts w:ascii="Calibri" w:hAnsi="Calibri"/>
                <w:lang w:val="es-ES_tradnl"/>
              </w:rPr>
            </w:pPr>
            <w:r>
              <w:rPr>
                <w:rFonts w:ascii="Calibri" w:hAnsi="Calibri"/>
                <w:lang w:val="es-ES_tradnl"/>
              </w:rPr>
              <w:tab/>
              <w:t>Male Staff</w:t>
            </w:r>
          </w:p>
        </w:tc>
        <w:tc>
          <w:tcPr>
            <w:tcW w:w="490" w:type="dxa"/>
            <w:tcBorders>
              <w:top w:val="single" w:sz="4" w:space="0" w:color="auto"/>
              <w:left w:val="single" w:sz="4" w:space="0" w:color="auto"/>
              <w:bottom w:val="single" w:sz="4" w:space="0" w:color="BFBFBF"/>
              <w:right w:val="single" w:sz="4" w:space="0" w:color="auto"/>
            </w:tcBorders>
            <w:vAlign w:val="center"/>
          </w:tcPr>
          <w:p w:rsidR="009571FA" w:rsidRDefault="009571FA" w:rsidP="00415105">
            <w:pPr>
              <w:tabs>
                <w:tab w:val="left" w:pos="253"/>
              </w:tabs>
              <w:spacing w:line="276" w:lineRule="auto"/>
              <w:jc w:val="both"/>
              <w:rPr>
                <w:rFonts w:ascii="Calibri" w:hAnsi="Calibri"/>
                <w:sz w:val="18"/>
                <w:lang w:val="es-ES_tradnl"/>
              </w:rPr>
            </w:pPr>
            <w:r>
              <w:rPr>
                <w:rFonts w:ascii="Calibri" w:hAnsi="Calibri"/>
                <w:sz w:val="18"/>
                <w:lang w:val="es-ES_tradnl"/>
              </w:rPr>
              <w:t>161</w:t>
            </w:r>
          </w:p>
        </w:tc>
        <w:tc>
          <w:tcPr>
            <w:tcW w:w="610" w:type="dxa"/>
            <w:tcBorders>
              <w:top w:val="single" w:sz="4" w:space="0" w:color="auto"/>
              <w:left w:val="single" w:sz="4" w:space="0" w:color="auto"/>
              <w:bottom w:val="single" w:sz="4" w:space="0" w:color="BFBFBF"/>
              <w:right w:val="nil"/>
            </w:tcBorders>
            <w:vAlign w:val="center"/>
          </w:tcPr>
          <w:p w:rsidR="009571FA" w:rsidRDefault="009571FA" w:rsidP="00415105">
            <w:pPr>
              <w:spacing w:line="276" w:lineRule="auto"/>
              <w:jc w:val="both"/>
              <w:rPr>
                <w:rFonts w:ascii="Calibri" w:hAnsi="Calibri"/>
                <w:sz w:val="18"/>
                <w:lang w:val="es-ES_tradnl"/>
              </w:rPr>
            </w:pPr>
            <w:r>
              <w:rPr>
                <w:rFonts w:ascii="Calibri" w:hAnsi="Calibri"/>
                <w:sz w:val="18"/>
                <w:lang w:val="es-ES_tradnl"/>
              </w:rPr>
              <w:t>33</w:t>
            </w:r>
          </w:p>
        </w:tc>
        <w:tc>
          <w:tcPr>
            <w:tcW w:w="636" w:type="dxa"/>
            <w:tcBorders>
              <w:top w:val="single" w:sz="4" w:space="0" w:color="auto"/>
              <w:left w:val="nil"/>
              <w:bottom w:val="single" w:sz="4" w:space="0" w:color="BFBFBF"/>
              <w:right w:val="nil"/>
            </w:tcBorders>
            <w:vAlign w:val="center"/>
          </w:tcPr>
          <w:p w:rsidR="009571FA" w:rsidRDefault="009571FA" w:rsidP="00415105">
            <w:pPr>
              <w:spacing w:line="276" w:lineRule="auto"/>
              <w:jc w:val="both"/>
              <w:rPr>
                <w:rFonts w:ascii="Calibri" w:hAnsi="Calibri"/>
                <w:sz w:val="18"/>
                <w:lang w:val="es-ES_tradnl"/>
              </w:rPr>
            </w:pPr>
            <w:r>
              <w:rPr>
                <w:rFonts w:ascii="Calibri" w:hAnsi="Calibri"/>
                <w:sz w:val="18"/>
                <w:lang w:val="es-ES_tradnl"/>
              </w:rPr>
              <w:t>20.5</w:t>
            </w:r>
          </w:p>
        </w:tc>
        <w:tc>
          <w:tcPr>
            <w:tcW w:w="611" w:type="dxa"/>
            <w:tcBorders>
              <w:top w:val="single" w:sz="4" w:space="0" w:color="auto"/>
              <w:left w:val="nil"/>
              <w:bottom w:val="single" w:sz="4" w:space="0" w:color="BFBFBF"/>
              <w:right w:val="nil"/>
            </w:tcBorders>
            <w:vAlign w:val="center"/>
          </w:tcPr>
          <w:p w:rsidR="009571FA" w:rsidRDefault="009571FA" w:rsidP="00415105">
            <w:pPr>
              <w:spacing w:line="276" w:lineRule="auto"/>
              <w:jc w:val="both"/>
              <w:rPr>
                <w:rFonts w:ascii="Calibri" w:hAnsi="Calibri"/>
                <w:sz w:val="18"/>
                <w:lang w:val="es-ES_tradnl"/>
              </w:rPr>
            </w:pPr>
            <w:r>
              <w:rPr>
                <w:rFonts w:ascii="Calibri" w:hAnsi="Calibri"/>
                <w:sz w:val="18"/>
                <w:lang w:val="es-ES_tradnl"/>
              </w:rPr>
              <w:t>124</w:t>
            </w:r>
          </w:p>
        </w:tc>
        <w:tc>
          <w:tcPr>
            <w:tcW w:w="610" w:type="dxa"/>
            <w:tcBorders>
              <w:top w:val="single" w:sz="4" w:space="0" w:color="auto"/>
              <w:left w:val="nil"/>
              <w:bottom w:val="single" w:sz="4" w:space="0" w:color="BFBFBF"/>
              <w:right w:val="single" w:sz="4" w:space="0" w:color="BFBFBF"/>
            </w:tcBorders>
            <w:vAlign w:val="center"/>
          </w:tcPr>
          <w:p w:rsidR="009571FA" w:rsidRDefault="009571FA" w:rsidP="00415105">
            <w:pPr>
              <w:spacing w:line="276" w:lineRule="auto"/>
              <w:jc w:val="both"/>
              <w:rPr>
                <w:rFonts w:ascii="Calibri" w:hAnsi="Calibri"/>
                <w:sz w:val="18"/>
                <w:lang w:val="es-ES_tradnl"/>
              </w:rPr>
            </w:pPr>
            <w:r>
              <w:rPr>
                <w:rFonts w:ascii="Calibri" w:hAnsi="Calibri"/>
                <w:sz w:val="18"/>
                <w:lang w:val="es-ES_tradnl"/>
              </w:rPr>
              <w:t>77.0</w:t>
            </w:r>
          </w:p>
        </w:tc>
        <w:tc>
          <w:tcPr>
            <w:tcW w:w="638" w:type="dxa"/>
            <w:gridSpan w:val="2"/>
            <w:tcBorders>
              <w:top w:val="single" w:sz="4" w:space="0" w:color="auto"/>
              <w:left w:val="nil"/>
              <w:bottom w:val="single" w:sz="4" w:space="0" w:color="BFBFBF"/>
              <w:right w:val="single" w:sz="4" w:space="0" w:color="BFBFBF"/>
            </w:tcBorders>
            <w:vAlign w:val="center"/>
          </w:tcPr>
          <w:p w:rsidR="009571FA" w:rsidRDefault="009571FA" w:rsidP="00415105">
            <w:pPr>
              <w:spacing w:line="276" w:lineRule="auto"/>
              <w:jc w:val="both"/>
              <w:rPr>
                <w:rFonts w:ascii="Calibri" w:hAnsi="Calibri"/>
                <w:sz w:val="18"/>
                <w:lang w:val="es-ES_tradnl"/>
              </w:rPr>
            </w:pPr>
            <w:r>
              <w:rPr>
                <w:rFonts w:ascii="Calibri" w:hAnsi="Calibri"/>
                <w:sz w:val="18"/>
                <w:lang w:val="es-ES_tradnl"/>
              </w:rPr>
              <w:t>4</w:t>
            </w:r>
          </w:p>
        </w:tc>
        <w:tc>
          <w:tcPr>
            <w:tcW w:w="650" w:type="dxa"/>
            <w:tcBorders>
              <w:top w:val="single" w:sz="4" w:space="0" w:color="auto"/>
              <w:left w:val="nil"/>
              <w:bottom w:val="single" w:sz="4" w:space="0" w:color="BFBFBF"/>
              <w:right w:val="single" w:sz="4" w:space="0" w:color="auto"/>
            </w:tcBorders>
            <w:vAlign w:val="center"/>
          </w:tcPr>
          <w:p w:rsidR="009571FA" w:rsidRDefault="009571FA" w:rsidP="00415105">
            <w:pPr>
              <w:spacing w:line="276" w:lineRule="auto"/>
              <w:jc w:val="both"/>
              <w:rPr>
                <w:rFonts w:ascii="Calibri" w:hAnsi="Calibri"/>
                <w:sz w:val="18"/>
                <w:lang w:val="es-ES_tradnl"/>
              </w:rPr>
            </w:pPr>
            <w:r>
              <w:rPr>
                <w:rFonts w:ascii="Calibri" w:hAnsi="Calibri"/>
                <w:sz w:val="18"/>
                <w:lang w:val="es-ES_tradnl"/>
              </w:rPr>
              <w:t>2.5</w:t>
            </w:r>
          </w:p>
        </w:tc>
        <w:tc>
          <w:tcPr>
            <w:tcW w:w="598" w:type="dxa"/>
            <w:tcBorders>
              <w:top w:val="single" w:sz="4" w:space="0" w:color="auto"/>
              <w:left w:val="single" w:sz="4" w:space="0" w:color="auto"/>
              <w:bottom w:val="single" w:sz="4" w:space="0" w:color="BFBFBF"/>
              <w:right w:val="single" w:sz="4" w:space="0" w:color="BFBFBF"/>
            </w:tcBorders>
            <w:vAlign w:val="center"/>
          </w:tcPr>
          <w:p w:rsidR="009571FA" w:rsidRDefault="009571FA" w:rsidP="00415105">
            <w:pPr>
              <w:spacing w:line="276" w:lineRule="auto"/>
              <w:jc w:val="both"/>
              <w:rPr>
                <w:rFonts w:ascii="Calibri" w:hAnsi="Calibri"/>
                <w:sz w:val="18"/>
                <w:lang w:val="es-ES_tradnl"/>
              </w:rPr>
            </w:pPr>
            <w:r>
              <w:rPr>
                <w:rFonts w:ascii="Calibri" w:hAnsi="Calibri"/>
                <w:sz w:val="18"/>
                <w:lang w:val="es-ES_tradnl"/>
              </w:rPr>
              <w:t>39</w:t>
            </w:r>
          </w:p>
        </w:tc>
        <w:tc>
          <w:tcPr>
            <w:tcW w:w="572" w:type="dxa"/>
            <w:tcBorders>
              <w:top w:val="single" w:sz="4" w:space="0" w:color="auto"/>
              <w:left w:val="single" w:sz="4" w:space="0" w:color="BFBFBF"/>
              <w:bottom w:val="single" w:sz="4" w:space="0" w:color="BFBFBF"/>
              <w:right w:val="single" w:sz="4" w:space="0" w:color="BFBFBF"/>
            </w:tcBorders>
            <w:vAlign w:val="center"/>
          </w:tcPr>
          <w:p w:rsidR="009571FA" w:rsidRDefault="009571FA" w:rsidP="00415105">
            <w:pPr>
              <w:spacing w:line="276" w:lineRule="auto"/>
              <w:jc w:val="both"/>
              <w:rPr>
                <w:rFonts w:ascii="Calibri" w:hAnsi="Calibri"/>
                <w:sz w:val="18"/>
                <w:lang w:val="es-ES_tradnl"/>
              </w:rPr>
            </w:pPr>
            <w:r>
              <w:rPr>
                <w:rFonts w:ascii="Calibri" w:hAnsi="Calibri"/>
                <w:sz w:val="18"/>
                <w:lang w:val="es-ES_tradnl"/>
              </w:rPr>
              <w:t>24.2</w:t>
            </w:r>
          </w:p>
        </w:tc>
        <w:tc>
          <w:tcPr>
            <w:tcW w:w="676" w:type="dxa"/>
            <w:gridSpan w:val="2"/>
            <w:tcBorders>
              <w:top w:val="single" w:sz="4" w:space="0" w:color="auto"/>
              <w:left w:val="single" w:sz="4" w:space="0" w:color="BFBFBF"/>
              <w:bottom w:val="single" w:sz="4" w:space="0" w:color="BFBFBF"/>
              <w:right w:val="single" w:sz="4" w:space="0" w:color="BFBFBF"/>
            </w:tcBorders>
            <w:vAlign w:val="center"/>
          </w:tcPr>
          <w:p w:rsidR="009571FA" w:rsidRDefault="009571FA" w:rsidP="00415105">
            <w:pPr>
              <w:spacing w:line="276" w:lineRule="auto"/>
              <w:jc w:val="both"/>
              <w:rPr>
                <w:rFonts w:ascii="Calibri" w:hAnsi="Calibri"/>
                <w:sz w:val="18"/>
                <w:lang w:val="es-ES_tradnl"/>
              </w:rPr>
            </w:pPr>
            <w:r>
              <w:rPr>
                <w:rFonts w:ascii="Calibri" w:hAnsi="Calibri"/>
                <w:sz w:val="18"/>
                <w:lang w:val="es-ES_tradnl"/>
              </w:rPr>
              <w:t>120</w:t>
            </w:r>
          </w:p>
        </w:tc>
        <w:tc>
          <w:tcPr>
            <w:tcW w:w="637" w:type="dxa"/>
            <w:tcBorders>
              <w:top w:val="single" w:sz="4" w:space="0" w:color="auto"/>
              <w:left w:val="single" w:sz="4" w:space="0" w:color="BFBFBF"/>
              <w:bottom w:val="single" w:sz="4" w:space="0" w:color="BFBFBF"/>
              <w:right w:val="single" w:sz="4" w:space="0" w:color="BFBFBF"/>
            </w:tcBorders>
            <w:vAlign w:val="center"/>
          </w:tcPr>
          <w:p w:rsidR="009571FA" w:rsidRDefault="009571FA" w:rsidP="00415105">
            <w:pPr>
              <w:spacing w:line="276" w:lineRule="auto"/>
              <w:jc w:val="both"/>
              <w:rPr>
                <w:rFonts w:ascii="Calibri" w:hAnsi="Calibri"/>
                <w:sz w:val="18"/>
                <w:lang w:val="es-ES_tradnl"/>
              </w:rPr>
            </w:pPr>
            <w:r>
              <w:rPr>
                <w:rFonts w:ascii="Calibri" w:hAnsi="Calibri"/>
                <w:sz w:val="18"/>
                <w:lang w:val="es-ES_tradnl"/>
              </w:rPr>
              <w:t>74.5</w:t>
            </w:r>
          </w:p>
        </w:tc>
        <w:tc>
          <w:tcPr>
            <w:tcW w:w="560" w:type="dxa"/>
            <w:tcBorders>
              <w:top w:val="single" w:sz="4" w:space="0" w:color="auto"/>
              <w:left w:val="single" w:sz="4" w:space="0" w:color="BFBFBF"/>
              <w:bottom w:val="single" w:sz="4" w:space="0" w:color="BFBFBF"/>
              <w:right w:val="nil"/>
            </w:tcBorders>
            <w:vAlign w:val="center"/>
          </w:tcPr>
          <w:p w:rsidR="009571FA" w:rsidRDefault="009571FA" w:rsidP="00415105">
            <w:pPr>
              <w:spacing w:line="276" w:lineRule="auto"/>
              <w:jc w:val="both"/>
              <w:rPr>
                <w:rFonts w:ascii="Calibri" w:hAnsi="Calibri"/>
                <w:sz w:val="18"/>
                <w:lang w:val="es-ES_tradnl"/>
              </w:rPr>
            </w:pPr>
            <w:r>
              <w:rPr>
                <w:rFonts w:ascii="Calibri" w:hAnsi="Calibri"/>
                <w:sz w:val="18"/>
                <w:lang w:val="es-ES_tradnl"/>
              </w:rPr>
              <w:t>2</w:t>
            </w:r>
          </w:p>
        </w:tc>
        <w:tc>
          <w:tcPr>
            <w:tcW w:w="647" w:type="dxa"/>
            <w:tcBorders>
              <w:top w:val="single" w:sz="4" w:space="0" w:color="auto"/>
              <w:left w:val="nil"/>
              <w:bottom w:val="single" w:sz="4" w:space="0" w:color="BFBFBF"/>
              <w:right w:val="single" w:sz="4" w:space="0" w:color="auto"/>
            </w:tcBorders>
            <w:vAlign w:val="center"/>
          </w:tcPr>
          <w:p w:rsidR="009571FA" w:rsidRDefault="009571FA" w:rsidP="00415105">
            <w:pPr>
              <w:spacing w:line="276" w:lineRule="auto"/>
              <w:jc w:val="both"/>
              <w:rPr>
                <w:rFonts w:ascii="Calibri" w:hAnsi="Calibri"/>
                <w:sz w:val="18"/>
                <w:lang w:val="es-ES_tradnl"/>
              </w:rPr>
            </w:pPr>
            <w:r>
              <w:rPr>
                <w:rFonts w:ascii="Calibri" w:hAnsi="Calibri"/>
                <w:sz w:val="18"/>
                <w:lang w:val="es-ES_tradnl"/>
              </w:rPr>
              <w:t>1.2</w:t>
            </w:r>
          </w:p>
        </w:tc>
      </w:tr>
      <w:tr w:rsidR="009571FA" w:rsidTr="00EF6EC8">
        <w:trPr>
          <w:trHeight w:val="284"/>
        </w:trPr>
        <w:tc>
          <w:tcPr>
            <w:tcW w:w="1363" w:type="dxa"/>
            <w:tcBorders>
              <w:top w:val="single" w:sz="4" w:space="0" w:color="BFBFBF"/>
              <w:left w:val="single" w:sz="4" w:space="0" w:color="auto"/>
              <w:bottom w:val="single" w:sz="4" w:space="0" w:color="auto"/>
              <w:right w:val="single" w:sz="4" w:space="0" w:color="auto"/>
            </w:tcBorders>
            <w:tcMar>
              <w:top w:w="0" w:type="dxa"/>
              <w:left w:w="28" w:type="dxa"/>
              <w:bottom w:w="0" w:type="dxa"/>
              <w:right w:w="28" w:type="dxa"/>
            </w:tcMar>
            <w:vAlign w:val="center"/>
          </w:tcPr>
          <w:p w:rsidR="009571FA" w:rsidRDefault="009571FA" w:rsidP="00415105">
            <w:pPr>
              <w:tabs>
                <w:tab w:val="left" w:pos="253"/>
              </w:tabs>
              <w:spacing w:line="276" w:lineRule="auto"/>
              <w:jc w:val="both"/>
              <w:rPr>
                <w:rFonts w:ascii="Calibri" w:hAnsi="Calibri"/>
                <w:lang w:val="es-ES_tradnl"/>
              </w:rPr>
            </w:pPr>
            <w:r>
              <w:rPr>
                <w:rFonts w:ascii="Calibri" w:hAnsi="Calibri"/>
                <w:lang w:val="es-ES_tradnl"/>
              </w:rPr>
              <w:tab/>
              <w:t>Female Staff</w:t>
            </w:r>
          </w:p>
        </w:tc>
        <w:tc>
          <w:tcPr>
            <w:tcW w:w="490" w:type="dxa"/>
            <w:tcBorders>
              <w:top w:val="single" w:sz="4" w:space="0" w:color="BFBFBF"/>
              <w:left w:val="single" w:sz="4" w:space="0" w:color="auto"/>
              <w:bottom w:val="single" w:sz="4" w:space="0" w:color="auto"/>
              <w:right w:val="single" w:sz="4" w:space="0" w:color="auto"/>
            </w:tcBorders>
            <w:vAlign w:val="center"/>
          </w:tcPr>
          <w:p w:rsidR="009571FA" w:rsidRDefault="009571FA" w:rsidP="00415105">
            <w:pPr>
              <w:tabs>
                <w:tab w:val="left" w:pos="253"/>
              </w:tabs>
              <w:spacing w:line="276" w:lineRule="auto"/>
              <w:jc w:val="both"/>
              <w:rPr>
                <w:rFonts w:ascii="Calibri" w:hAnsi="Calibri"/>
                <w:sz w:val="18"/>
                <w:lang w:val="es-ES_tradnl"/>
              </w:rPr>
            </w:pPr>
            <w:r>
              <w:rPr>
                <w:rFonts w:ascii="Calibri" w:hAnsi="Calibri"/>
                <w:sz w:val="18"/>
                <w:lang w:val="es-ES_tradnl"/>
              </w:rPr>
              <w:t>229</w:t>
            </w:r>
          </w:p>
        </w:tc>
        <w:tc>
          <w:tcPr>
            <w:tcW w:w="610" w:type="dxa"/>
            <w:tcBorders>
              <w:top w:val="single" w:sz="4" w:space="0" w:color="BFBFBF"/>
              <w:left w:val="single" w:sz="4" w:space="0" w:color="auto"/>
              <w:bottom w:val="single" w:sz="4" w:space="0" w:color="auto"/>
              <w:right w:val="nil"/>
            </w:tcBorders>
            <w:vAlign w:val="center"/>
          </w:tcPr>
          <w:p w:rsidR="009571FA" w:rsidRDefault="009571FA" w:rsidP="00415105">
            <w:pPr>
              <w:spacing w:line="276" w:lineRule="auto"/>
              <w:jc w:val="both"/>
              <w:rPr>
                <w:rFonts w:ascii="Calibri" w:hAnsi="Calibri"/>
                <w:sz w:val="18"/>
                <w:lang w:val="es-ES_tradnl"/>
              </w:rPr>
            </w:pPr>
            <w:r>
              <w:rPr>
                <w:rFonts w:ascii="Calibri" w:hAnsi="Calibri"/>
                <w:sz w:val="18"/>
                <w:lang w:val="es-ES_tradnl"/>
              </w:rPr>
              <w:t>76</w:t>
            </w:r>
          </w:p>
        </w:tc>
        <w:tc>
          <w:tcPr>
            <w:tcW w:w="636" w:type="dxa"/>
            <w:tcBorders>
              <w:top w:val="single" w:sz="4" w:space="0" w:color="BFBFBF"/>
              <w:left w:val="nil"/>
              <w:bottom w:val="single" w:sz="4" w:space="0" w:color="auto"/>
              <w:right w:val="nil"/>
            </w:tcBorders>
            <w:vAlign w:val="center"/>
          </w:tcPr>
          <w:p w:rsidR="009571FA" w:rsidRDefault="009571FA" w:rsidP="00415105">
            <w:pPr>
              <w:spacing w:line="276" w:lineRule="auto"/>
              <w:jc w:val="both"/>
              <w:rPr>
                <w:rFonts w:ascii="Calibri" w:hAnsi="Calibri"/>
                <w:sz w:val="18"/>
                <w:lang w:val="es-ES_tradnl"/>
              </w:rPr>
            </w:pPr>
            <w:r>
              <w:rPr>
                <w:rFonts w:ascii="Calibri" w:hAnsi="Calibri"/>
                <w:sz w:val="18"/>
                <w:lang w:val="es-ES_tradnl"/>
              </w:rPr>
              <w:t>33.2</w:t>
            </w:r>
          </w:p>
        </w:tc>
        <w:tc>
          <w:tcPr>
            <w:tcW w:w="611" w:type="dxa"/>
            <w:tcBorders>
              <w:top w:val="single" w:sz="4" w:space="0" w:color="BFBFBF"/>
              <w:left w:val="nil"/>
              <w:bottom w:val="single" w:sz="4" w:space="0" w:color="auto"/>
              <w:right w:val="nil"/>
            </w:tcBorders>
            <w:vAlign w:val="center"/>
          </w:tcPr>
          <w:p w:rsidR="009571FA" w:rsidRDefault="009571FA" w:rsidP="00415105">
            <w:pPr>
              <w:spacing w:line="276" w:lineRule="auto"/>
              <w:jc w:val="both"/>
              <w:rPr>
                <w:rFonts w:ascii="Calibri" w:hAnsi="Calibri"/>
                <w:sz w:val="18"/>
                <w:lang w:val="es-ES_tradnl"/>
              </w:rPr>
            </w:pPr>
            <w:r>
              <w:rPr>
                <w:rFonts w:ascii="Calibri" w:hAnsi="Calibri"/>
                <w:sz w:val="18"/>
                <w:lang w:val="es-ES_tradnl"/>
              </w:rPr>
              <w:t>138</w:t>
            </w:r>
          </w:p>
        </w:tc>
        <w:tc>
          <w:tcPr>
            <w:tcW w:w="610" w:type="dxa"/>
            <w:tcBorders>
              <w:top w:val="single" w:sz="4" w:space="0" w:color="BFBFBF"/>
              <w:left w:val="nil"/>
              <w:bottom w:val="single" w:sz="4" w:space="0" w:color="auto"/>
              <w:right w:val="single" w:sz="4" w:space="0" w:color="BFBFBF"/>
            </w:tcBorders>
            <w:vAlign w:val="center"/>
          </w:tcPr>
          <w:p w:rsidR="009571FA" w:rsidRDefault="009571FA" w:rsidP="00415105">
            <w:pPr>
              <w:spacing w:line="276" w:lineRule="auto"/>
              <w:jc w:val="both"/>
              <w:rPr>
                <w:rFonts w:ascii="Calibri" w:hAnsi="Calibri"/>
                <w:sz w:val="18"/>
                <w:lang w:val="es-ES_tradnl"/>
              </w:rPr>
            </w:pPr>
            <w:r>
              <w:rPr>
                <w:rFonts w:ascii="Calibri" w:hAnsi="Calibri"/>
                <w:sz w:val="18"/>
                <w:lang w:val="es-ES_tradnl"/>
              </w:rPr>
              <w:t>60.3</w:t>
            </w:r>
          </w:p>
        </w:tc>
        <w:tc>
          <w:tcPr>
            <w:tcW w:w="638" w:type="dxa"/>
            <w:gridSpan w:val="2"/>
            <w:tcBorders>
              <w:top w:val="single" w:sz="4" w:space="0" w:color="BFBFBF"/>
              <w:left w:val="nil"/>
              <w:bottom w:val="single" w:sz="4" w:space="0" w:color="auto"/>
              <w:right w:val="single" w:sz="4" w:space="0" w:color="BFBFBF"/>
            </w:tcBorders>
            <w:vAlign w:val="center"/>
          </w:tcPr>
          <w:p w:rsidR="009571FA" w:rsidRDefault="009571FA" w:rsidP="00415105">
            <w:pPr>
              <w:spacing w:line="276" w:lineRule="auto"/>
              <w:jc w:val="both"/>
              <w:rPr>
                <w:rFonts w:ascii="Calibri" w:hAnsi="Calibri"/>
                <w:sz w:val="18"/>
                <w:lang w:val="es-ES_tradnl"/>
              </w:rPr>
            </w:pPr>
            <w:r>
              <w:rPr>
                <w:rFonts w:ascii="Calibri" w:hAnsi="Calibri"/>
                <w:sz w:val="18"/>
                <w:lang w:val="es-ES_tradnl"/>
              </w:rPr>
              <w:t>15</w:t>
            </w:r>
          </w:p>
        </w:tc>
        <w:tc>
          <w:tcPr>
            <w:tcW w:w="650" w:type="dxa"/>
            <w:tcBorders>
              <w:top w:val="single" w:sz="4" w:space="0" w:color="BFBFBF"/>
              <w:left w:val="nil"/>
              <w:bottom w:val="single" w:sz="4" w:space="0" w:color="auto"/>
              <w:right w:val="single" w:sz="4" w:space="0" w:color="auto"/>
            </w:tcBorders>
            <w:vAlign w:val="center"/>
          </w:tcPr>
          <w:p w:rsidR="009571FA" w:rsidRDefault="009571FA" w:rsidP="00415105">
            <w:pPr>
              <w:spacing w:line="276" w:lineRule="auto"/>
              <w:jc w:val="both"/>
              <w:rPr>
                <w:rFonts w:ascii="Calibri" w:hAnsi="Calibri"/>
                <w:sz w:val="18"/>
                <w:lang w:val="es-ES_tradnl"/>
              </w:rPr>
            </w:pPr>
            <w:r>
              <w:rPr>
                <w:rFonts w:ascii="Calibri" w:hAnsi="Calibri"/>
                <w:sz w:val="18"/>
                <w:lang w:val="es-ES_tradnl"/>
              </w:rPr>
              <w:t>6.6</w:t>
            </w:r>
          </w:p>
        </w:tc>
        <w:tc>
          <w:tcPr>
            <w:tcW w:w="598" w:type="dxa"/>
            <w:tcBorders>
              <w:top w:val="single" w:sz="4" w:space="0" w:color="BFBFBF"/>
              <w:left w:val="single" w:sz="4" w:space="0" w:color="auto"/>
              <w:bottom w:val="single" w:sz="4" w:space="0" w:color="auto"/>
              <w:right w:val="single" w:sz="4" w:space="0" w:color="BFBFBF"/>
            </w:tcBorders>
            <w:vAlign w:val="center"/>
          </w:tcPr>
          <w:p w:rsidR="009571FA" w:rsidRDefault="009571FA" w:rsidP="00415105">
            <w:pPr>
              <w:spacing w:line="276" w:lineRule="auto"/>
              <w:jc w:val="both"/>
              <w:rPr>
                <w:rFonts w:ascii="Calibri" w:hAnsi="Calibri"/>
                <w:sz w:val="18"/>
                <w:lang w:val="es-ES_tradnl"/>
              </w:rPr>
            </w:pPr>
            <w:r>
              <w:rPr>
                <w:rFonts w:ascii="Calibri" w:hAnsi="Calibri"/>
                <w:sz w:val="18"/>
                <w:lang w:val="es-ES_tradnl"/>
              </w:rPr>
              <w:t>88</w:t>
            </w:r>
          </w:p>
        </w:tc>
        <w:tc>
          <w:tcPr>
            <w:tcW w:w="572" w:type="dxa"/>
            <w:tcBorders>
              <w:top w:val="single" w:sz="4" w:space="0" w:color="BFBFBF"/>
              <w:left w:val="single" w:sz="4" w:space="0" w:color="BFBFBF"/>
              <w:bottom w:val="single" w:sz="4" w:space="0" w:color="auto"/>
              <w:right w:val="single" w:sz="4" w:space="0" w:color="BFBFBF"/>
            </w:tcBorders>
            <w:vAlign w:val="center"/>
          </w:tcPr>
          <w:p w:rsidR="009571FA" w:rsidRDefault="009571FA" w:rsidP="00415105">
            <w:pPr>
              <w:spacing w:line="276" w:lineRule="auto"/>
              <w:jc w:val="both"/>
              <w:rPr>
                <w:rFonts w:ascii="Calibri" w:hAnsi="Calibri"/>
                <w:sz w:val="18"/>
                <w:lang w:val="es-ES_tradnl"/>
              </w:rPr>
            </w:pPr>
            <w:r>
              <w:rPr>
                <w:rFonts w:ascii="Calibri" w:hAnsi="Calibri"/>
                <w:sz w:val="18"/>
                <w:lang w:val="es-ES_tradnl"/>
              </w:rPr>
              <w:t>38.4</w:t>
            </w:r>
          </w:p>
        </w:tc>
        <w:tc>
          <w:tcPr>
            <w:tcW w:w="676" w:type="dxa"/>
            <w:gridSpan w:val="2"/>
            <w:tcBorders>
              <w:top w:val="single" w:sz="4" w:space="0" w:color="BFBFBF"/>
              <w:left w:val="single" w:sz="4" w:space="0" w:color="BFBFBF"/>
              <w:bottom w:val="single" w:sz="4" w:space="0" w:color="auto"/>
              <w:right w:val="single" w:sz="4" w:space="0" w:color="BFBFBF"/>
            </w:tcBorders>
            <w:vAlign w:val="center"/>
          </w:tcPr>
          <w:p w:rsidR="009571FA" w:rsidRDefault="009571FA" w:rsidP="00415105">
            <w:pPr>
              <w:spacing w:line="276" w:lineRule="auto"/>
              <w:jc w:val="both"/>
              <w:rPr>
                <w:rFonts w:ascii="Calibri" w:hAnsi="Calibri"/>
                <w:sz w:val="18"/>
                <w:lang w:val="es-ES_tradnl"/>
              </w:rPr>
            </w:pPr>
            <w:r>
              <w:rPr>
                <w:rFonts w:ascii="Calibri" w:hAnsi="Calibri"/>
                <w:sz w:val="18"/>
                <w:lang w:val="es-ES_tradnl"/>
              </w:rPr>
              <w:t>132</w:t>
            </w:r>
          </w:p>
        </w:tc>
        <w:tc>
          <w:tcPr>
            <w:tcW w:w="637" w:type="dxa"/>
            <w:tcBorders>
              <w:top w:val="single" w:sz="4" w:space="0" w:color="BFBFBF"/>
              <w:left w:val="single" w:sz="4" w:space="0" w:color="BFBFBF"/>
              <w:bottom w:val="single" w:sz="4" w:space="0" w:color="auto"/>
              <w:right w:val="single" w:sz="4" w:space="0" w:color="BFBFBF"/>
            </w:tcBorders>
            <w:vAlign w:val="center"/>
          </w:tcPr>
          <w:p w:rsidR="009571FA" w:rsidRDefault="009571FA" w:rsidP="00415105">
            <w:pPr>
              <w:spacing w:line="276" w:lineRule="auto"/>
              <w:jc w:val="both"/>
              <w:rPr>
                <w:rFonts w:ascii="Calibri" w:hAnsi="Calibri"/>
                <w:sz w:val="18"/>
                <w:lang w:val="es-ES_tradnl"/>
              </w:rPr>
            </w:pPr>
            <w:r>
              <w:rPr>
                <w:rFonts w:ascii="Calibri" w:hAnsi="Calibri"/>
                <w:sz w:val="18"/>
                <w:lang w:val="es-ES_tradnl"/>
              </w:rPr>
              <w:t>57.6</w:t>
            </w:r>
          </w:p>
        </w:tc>
        <w:tc>
          <w:tcPr>
            <w:tcW w:w="560" w:type="dxa"/>
            <w:tcBorders>
              <w:top w:val="single" w:sz="4" w:space="0" w:color="BFBFBF"/>
              <w:left w:val="single" w:sz="4" w:space="0" w:color="BFBFBF"/>
              <w:bottom w:val="single" w:sz="4" w:space="0" w:color="auto"/>
              <w:right w:val="nil"/>
            </w:tcBorders>
            <w:vAlign w:val="center"/>
          </w:tcPr>
          <w:p w:rsidR="009571FA" w:rsidRDefault="009571FA" w:rsidP="00415105">
            <w:pPr>
              <w:spacing w:line="276" w:lineRule="auto"/>
              <w:jc w:val="both"/>
              <w:rPr>
                <w:rFonts w:ascii="Calibri" w:hAnsi="Calibri"/>
                <w:sz w:val="18"/>
                <w:lang w:val="es-ES_tradnl"/>
              </w:rPr>
            </w:pPr>
            <w:r>
              <w:rPr>
                <w:rFonts w:ascii="Calibri" w:hAnsi="Calibri"/>
                <w:sz w:val="18"/>
                <w:lang w:val="es-ES_tradnl"/>
              </w:rPr>
              <w:t>9</w:t>
            </w:r>
          </w:p>
        </w:tc>
        <w:tc>
          <w:tcPr>
            <w:tcW w:w="647" w:type="dxa"/>
            <w:tcBorders>
              <w:top w:val="single" w:sz="4" w:space="0" w:color="BFBFBF"/>
              <w:left w:val="nil"/>
              <w:bottom w:val="single" w:sz="4" w:space="0" w:color="auto"/>
              <w:right w:val="single" w:sz="4" w:space="0" w:color="auto"/>
            </w:tcBorders>
            <w:vAlign w:val="center"/>
          </w:tcPr>
          <w:p w:rsidR="009571FA" w:rsidRDefault="009571FA" w:rsidP="00415105">
            <w:pPr>
              <w:spacing w:line="276" w:lineRule="auto"/>
              <w:jc w:val="both"/>
              <w:rPr>
                <w:rFonts w:ascii="Calibri" w:hAnsi="Calibri"/>
                <w:sz w:val="18"/>
                <w:lang w:val="es-ES_tradnl"/>
              </w:rPr>
            </w:pPr>
            <w:r>
              <w:rPr>
                <w:rFonts w:ascii="Calibri" w:hAnsi="Calibri"/>
                <w:sz w:val="18"/>
                <w:lang w:val="es-ES_tradnl"/>
              </w:rPr>
              <w:t>3.9</w:t>
            </w:r>
          </w:p>
        </w:tc>
      </w:tr>
      <w:tr w:rsidR="009571FA" w:rsidTr="000D3483">
        <w:trPr>
          <w:trHeight w:val="284"/>
        </w:trPr>
        <w:tc>
          <w:tcPr>
            <w:tcW w:w="13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571FA" w:rsidRDefault="009571FA" w:rsidP="00415105">
            <w:pPr>
              <w:tabs>
                <w:tab w:val="left" w:pos="253"/>
              </w:tabs>
              <w:spacing w:line="276" w:lineRule="auto"/>
              <w:jc w:val="both"/>
              <w:rPr>
                <w:rFonts w:ascii="Calibri" w:hAnsi="Calibri"/>
                <w:lang w:val="es-ES_tradnl"/>
              </w:rPr>
            </w:pPr>
            <w:r>
              <w:rPr>
                <w:rFonts w:ascii="Calibri" w:hAnsi="Calibri"/>
                <w:lang w:val="es-ES_tradnl"/>
              </w:rPr>
              <w:t>p-value</w:t>
            </w:r>
          </w:p>
        </w:tc>
        <w:tc>
          <w:tcPr>
            <w:tcW w:w="490" w:type="dxa"/>
            <w:tcBorders>
              <w:top w:val="single" w:sz="4" w:space="0" w:color="auto"/>
              <w:left w:val="single" w:sz="4" w:space="0" w:color="auto"/>
              <w:bottom w:val="single" w:sz="4" w:space="0" w:color="auto"/>
              <w:right w:val="single" w:sz="4" w:space="0" w:color="auto"/>
            </w:tcBorders>
            <w:vAlign w:val="center"/>
          </w:tcPr>
          <w:p w:rsidR="009571FA" w:rsidRDefault="009571FA" w:rsidP="00415105">
            <w:pPr>
              <w:tabs>
                <w:tab w:val="left" w:pos="253"/>
              </w:tabs>
              <w:spacing w:line="276" w:lineRule="auto"/>
              <w:jc w:val="both"/>
              <w:rPr>
                <w:rFonts w:ascii="Calibri" w:hAnsi="Calibri"/>
                <w:sz w:val="18"/>
                <w:lang w:val="es-ES_tradnl"/>
              </w:rPr>
            </w:pPr>
          </w:p>
        </w:tc>
        <w:tc>
          <w:tcPr>
            <w:tcW w:w="7445" w:type="dxa"/>
            <w:gridSpan w:val="14"/>
            <w:tcBorders>
              <w:top w:val="single" w:sz="4" w:space="0" w:color="auto"/>
              <w:left w:val="single" w:sz="4" w:space="0" w:color="auto"/>
              <w:bottom w:val="single" w:sz="4" w:space="0" w:color="auto"/>
              <w:right w:val="single" w:sz="4" w:space="0" w:color="auto"/>
            </w:tcBorders>
            <w:vAlign w:val="center"/>
          </w:tcPr>
          <w:p w:rsidR="009571FA" w:rsidRDefault="009571FA" w:rsidP="00BC175D">
            <w:pPr>
              <w:spacing w:line="276" w:lineRule="auto"/>
              <w:jc w:val="both"/>
              <w:rPr>
                <w:rFonts w:ascii="Calibri" w:hAnsi="Calibri"/>
                <w:sz w:val="18"/>
                <w:lang w:val="es-ES_tradnl"/>
              </w:rPr>
            </w:pPr>
            <w:r>
              <w:rPr>
                <w:rFonts w:ascii="Calibri" w:hAnsi="Calibri"/>
                <w:sz w:val="18"/>
                <w:lang w:val="es-ES_tradnl"/>
              </w:rPr>
              <w:t xml:space="preserve">   0.0018</w:t>
            </w:r>
          </w:p>
        </w:tc>
      </w:tr>
      <w:tr w:rsidR="009571FA" w:rsidTr="00EF6EC8">
        <w:trPr>
          <w:trHeight w:val="284"/>
        </w:trPr>
        <w:tc>
          <w:tcPr>
            <w:tcW w:w="1363" w:type="dxa"/>
            <w:tcBorders>
              <w:top w:val="single" w:sz="4" w:space="0" w:color="auto"/>
              <w:left w:val="single" w:sz="4" w:space="0" w:color="auto"/>
              <w:bottom w:val="single" w:sz="4" w:space="0" w:color="auto"/>
              <w:right w:val="single" w:sz="4" w:space="0" w:color="auto"/>
            </w:tcBorders>
            <w:shd w:val="clear" w:color="auto" w:fill="C6D6F4"/>
            <w:tcMar>
              <w:top w:w="0" w:type="dxa"/>
              <w:left w:w="28" w:type="dxa"/>
              <w:bottom w:w="0" w:type="dxa"/>
              <w:right w:w="28" w:type="dxa"/>
            </w:tcMar>
            <w:vAlign w:val="center"/>
          </w:tcPr>
          <w:p w:rsidR="009571FA" w:rsidRDefault="009571FA" w:rsidP="00415105">
            <w:pPr>
              <w:tabs>
                <w:tab w:val="left" w:pos="253"/>
              </w:tabs>
              <w:spacing w:line="276" w:lineRule="auto"/>
              <w:jc w:val="both"/>
              <w:rPr>
                <w:rFonts w:ascii="Calibri" w:hAnsi="Calibri"/>
                <w:b/>
                <w:lang w:val="es-ES_tradnl"/>
              </w:rPr>
            </w:pPr>
            <w:r>
              <w:rPr>
                <w:rFonts w:ascii="Calibri" w:hAnsi="Calibri"/>
                <w:b/>
                <w:lang w:val="es-ES_tradnl"/>
              </w:rPr>
              <w:t xml:space="preserve"> By Grade</w:t>
            </w:r>
          </w:p>
        </w:tc>
        <w:tc>
          <w:tcPr>
            <w:tcW w:w="490" w:type="dxa"/>
            <w:tcBorders>
              <w:top w:val="single" w:sz="4" w:space="0" w:color="auto"/>
              <w:left w:val="single" w:sz="4" w:space="0" w:color="auto"/>
              <w:bottom w:val="single" w:sz="4" w:space="0" w:color="auto"/>
              <w:right w:val="single" w:sz="4" w:space="0" w:color="auto"/>
            </w:tcBorders>
            <w:shd w:val="clear" w:color="auto" w:fill="C6D6F4"/>
            <w:vAlign w:val="center"/>
          </w:tcPr>
          <w:p w:rsidR="009571FA" w:rsidRDefault="009571FA" w:rsidP="00415105">
            <w:pPr>
              <w:tabs>
                <w:tab w:val="left" w:pos="253"/>
              </w:tabs>
              <w:spacing w:line="276" w:lineRule="auto"/>
              <w:jc w:val="both"/>
              <w:rPr>
                <w:rFonts w:ascii="Calibri" w:hAnsi="Calibri"/>
                <w:sz w:val="18"/>
                <w:lang w:val="es-ES_tradnl"/>
              </w:rPr>
            </w:pPr>
          </w:p>
        </w:tc>
        <w:tc>
          <w:tcPr>
            <w:tcW w:w="610" w:type="dxa"/>
            <w:tcBorders>
              <w:top w:val="single" w:sz="4" w:space="0" w:color="auto"/>
              <w:left w:val="single" w:sz="4" w:space="0" w:color="auto"/>
              <w:bottom w:val="single" w:sz="4" w:space="0" w:color="auto"/>
              <w:right w:val="nil"/>
            </w:tcBorders>
            <w:shd w:val="clear" w:color="auto" w:fill="C6D6F4"/>
            <w:vAlign w:val="center"/>
          </w:tcPr>
          <w:p w:rsidR="009571FA" w:rsidRDefault="009571FA" w:rsidP="00415105">
            <w:pPr>
              <w:spacing w:line="276" w:lineRule="auto"/>
              <w:jc w:val="both"/>
              <w:rPr>
                <w:rFonts w:ascii="Calibri" w:hAnsi="Calibri"/>
                <w:sz w:val="18"/>
                <w:lang w:val="es-ES_tradnl"/>
              </w:rPr>
            </w:pPr>
          </w:p>
        </w:tc>
        <w:tc>
          <w:tcPr>
            <w:tcW w:w="636" w:type="dxa"/>
            <w:tcBorders>
              <w:top w:val="single" w:sz="4" w:space="0" w:color="auto"/>
              <w:left w:val="nil"/>
              <w:bottom w:val="single" w:sz="4" w:space="0" w:color="auto"/>
              <w:right w:val="nil"/>
            </w:tcBorders>
            <w:shd w:val="clear" w:color="auto" w:fill="C6D6F4"/>
            <w:vAlign w:val="center"/>
          </w:tcPr>
          <w:p w:rsidR="009571FA" w:rsidRDefault="009571FA" w:rsidP="00415105">
            <w:pPr>
              <w:spacing w:line="276" w:lineRule="auto"/>
              <w:jc w:val="both"/>
              <w:rPr>
                <w:rFonts w:ascii="Calibri" w:hAnsi="Calibri"/>
                <w:sz w:val="18"/>
                <w:lang w:val="es-ES_tradnl"/>
              </w:rPr>
            </w:pPr>
          </w:p>
        </w:tc>
        <w:tc>
          <w:tcPr>
            <w:tcW w:w="611" w:type="dxa"/>
            <w:tcBorders>
              <w:top w:val="single" w:sz="4" w:space="0" w:color="auto"/>
              <w:left w:val="nil"/>
              <w:bottom w:val="single" w:sz="4" w:space="0" w:color="auto"/>
              <w:right w:val="nil"/>
            </w:tcBorders>
            <w:shd w:val="clear" w:color="auto" w:fill="C6D6F4"/>
            <w:vAlign w:val="center"/>
          </w:tcPr>
          <w:p w:rsidR="009571FA" w:rsidRDefault="009571FA" w:rsidP="00415105">
            <w:pPr>
              <w:spacing w:line="276" w:lineRule="auto"/>
              <w:jc w:val="both"/>
              <w:rPr>
                <w:rFonts w:ascii="Calibri" w:hAnsi="Calibri"/>
                <w:sz w:val="18"/>
                <w:lang w:val="es-ES_tradnl"/>
              </w:rPr>
            </w:pPr>
          </w:p>
        </w:tc>
        <w:tc>
          <w:tcPr>
            <w:tcW w:w="638" w:type="dxa"/>
            <w:gridSpan w:val="2"/>
            <w:tcBorders>
              <w:top w:val="single" w:sz="4" w:space="0" w:color="auto"/>
              <w:left w:val="nil"/>
              <w:bottom w:val="single" w:sz="4" w:space="0" w:color="auto"/>
              <w:right w:val="single" w:sz="4" w:space="0" w:color="BFBFBF"/>
            </w:tcBorders>
            <w:shd w:val="clear" w:color="auto" w:fill="C6D6F4"/>
            <w:vAlign w:val="center"/>
          </w:tcPr>
          <w:p w:rsidR="009571FA" w:rsidRDefault="009571FA" w:rsidP="00415105">
            <w:pPr>
              <w:spacing w:line="276" w:lineRule="auto"/>
              <w:jc w:val="both"/>
              <w:rPr>
                <w:rFonts w:ascii="Calibri" w:hAnsi="Calibri"/>
                <w:sz w:val="18"/>
                <w:lang w:val="es-ES_tradnl"/>
              </w:rPr>
            </w:pPr>
          </w:p>
        </w:tc>
        <w:tc>
          <w:tcPr>
            <w:tcW w:w="610" w:type="dxa"/>
            <w:tcBorders>
              <w:top w:val="single" w:sz="4" w:space="0" w:color="auto"/>
              <w:left w:val="nil"/>
              <w:bottom w:val="single" w:sz="4" w:space="0" w:color="auto"/>
              <w:right w:val="single" w:sz="4" w:space="0" w:color="BFBFBF"/>
            </w:tcBorders>
            <w:shd w:val="clear" w:color="auto" w:fill="C6D6F4"/>
            <w:vAlign w:val="center"/>
          </w:tcPr>
          <w:p w:rsidR="009571FA" w:rsidRDefault="009571FA" w:rsidP="00415105">
            <w:pPr>
              <w:spacing w:line="276" w:lineRule="auto"/>
              <w:jc w:val="both"/>
              <w:rPr>
                <w:rFonts w:ascii="Calibri" w:hAnsi="Calibri"/>
                <w:sz w:val="18"/>
                <w:lang w:val="es-ES_tradnl"/>
              </w:rPr>
            </w:pPr>
          </w:p>
        </w:tc>
        <w:tc>
          <w:tcPr>
            <w:tcW w:w="650" w:type="dxa"/>
            <w:tcBorders>
              <w:top w:val="single" w:sz="4" w:space="0" w:color="auto"/>
              <w:left w:val="nil"/>
              <w:bottom w:val="single" w:sz="4" w:space="0" w:color="auto"/>
              <w:right w:val="single" w:sz="4" w:space="0" w:color="auto"/>
            </w:tcBorders>
            <w:shd w:val="clear" w:color="auto" w:fill="C6D6F4"/>
            <w:vAlign w:val="center"/>
          </w:tcPr>
          <w:p w:rsidR="009571FA" w:rsidRDefault="009571FA" w:rsidP="00415105">
            <w:pPr>
              <w:spacing w:line="276" w:lineRule="auto"/>
              <w:jc w:val="both"/>
              <w:rPr>
                <w:rFonts w:ascii="Calibri" w:hAnsi="Calibri"/>
                <w:sz w:val="18"/>
                <w:lang w:val="es-ES_tradnl"/>
              </w:rPr>
            </w:pPr>
          </w:p>
        </w:tc>
        <w:tc>
          <w:tcPr>
            <w:tcW w:w="598" w:type="dxa"/>
            <w:tcBorders>
              <w:top w:val="single" w:sz="4" w:space="0" w:color="auto"/>
              <w:left w:val="single" w:sz="4" w:space="0" w:color="auto"/>
              <w:bottom w:val="single" w:sz="4" w:space="0" w:color="auto"/>
              <w:right w:val="single" w:sz="4" w:space="0" w:color="BFBFBF"/>
            </w:tcBorders>
            <w:shd w:val="clear" w:color="auto" w:fill="C6D6F4"/>
            <w:vAlign w:val="center"/>
          </w:tcPr>
          <w:p w:rsidR="009571FA" w:rsidRDefault="009571FA" w:rsidP="00415105">
            <w:pPr>
              <w:spacing w:line="276" w:lineRule="auto"/>
              <w:jc w:val="both"/>
              <w:rPr>
                <w:rFonts w:ascii="Calibri" w:hAnsi="Calibri"/>
                <w:sz w:val="18"/>
                <w:lang w:val="es-ES_tradnl"/>
              </w:rPr>
            </w:pPr>
          </w:p>
        </w:tc>
        <w:tc>
          <w:tcPr>
            <w:tcW w:w="637" w:type="dxa"/>
            <w:gridSpan w:val="2"/>
            <w:tcBorders>
              <w:top w:val="single" w:sz="4" w:space="0" w:color="auto"/>
              <w:left w:val="single" w:sz="4" w:space="0" w:color="BFBFBF"/>
              <w:bottom w:val="single" w:sz="4" w:space="0" w:color="auto"/>
              <w:right w:val="single" w:sz="4" w:space="0" w:color="BFBFBF"/>
            </w:tcBorders>
            <w:shd w:val="clear" w:color="auto" w:fill="C6D6F4"/>
            <w:vAlign w:val="center"/>
          </w:tcPr>
          <w:p w:rsidR="009571FA" w:rsidRDefault="009571FA" w:rsidP="00415105">
            <w:pPr>
              <w:spacing w:line="276" w:lineRule="auto"/>
              <w:jc w:val="both"/>
              <w:rPr>
                <w:rFonts w:ascii="Calibri" w:hAnsi="Calibri"/>
                <w:sz w:val="18"/>
                <w:lang w:val="es-ES_tradnl"/>
              </w:rPr>
            </w:pPr>
          </w:p>
        </w:tc>
        <w:tc>
          <w:tcPr>
            <w:tcW w:w="611" w:type="dxa"/>
            <w:tcBorders>
              <w:top w:val="single" w:sz="4" w:space="0" w:color="auto"/>
              <w:left w:val="single" w:sz="4" w:space="0" w:color="BFBFBF"/>
              <w:bottom w:val="single" w:sz="4" w:space="0" w:color="auto"/>
              <w:right w:val="single" w:sz="4" w:space="0" w:color="BFBFBF"/>
            </w:tcBorders>
            <w:shd w:val="clear" w:color="auto" w:fill="C6D6F4"/>
            <w:vAlign w:val="center"/>
          </w:tcPr>
          <w:p w:rsidR="009571FA" w:rsidRDefault="009571FA" w:rsidP="00415105">
            <w:pPr>
              <w:spacing w:line="276" w:lineRule="auto"/>
              <w:jc w:val="both"/>
              <w:rPr>
                <w:rFonts w:ascii="Calibri" w:hAnsi="Calibri"/>
                <w:sz w:val="18"/>
                <w:lang w:val="es-ES_tradnl"/>
              </w:rPr>
            </w:pPr>
          </w:p>
        </w:tc>
        <w:tc>
          <w:tcPr>
            <w:tcW w:w="637" w:type="dxa"/>
            <w:tcBorders>
              <w:top w:val="single" w:sz="4" w:space="0" w:color="auto"/>
              <w:left w:val="single" w:sz="4" w:space="0" w:color="BFBFBF"/>
              <w:bottom w:val="single" w:sz="4" w:space="0" w:color="auto"/>
              <w:right w:val="single" w:sz="4" w:space="0" w:color="BFBFBF"/>
            </w:tcBorders>
            <w:shd w:val="clear" w:color="auto" w:fill="C6D6F4"/>
            <w:vAlign w:val="center"/>
          </w:tcPr>
          <w:p w:rsidR="009571FA" w:rsidRDefault="009571FA" w:rsidP="00415105">
            <w:pPr>
              <w:spacing w:line="276" w:lineRule="auto"/>
              <w:jc w:val="both"/>
              <w:rPr>
                <w:rFonts w:ascii="Calibri" w:hAnsi="Calibri"/>
                <w:sz w:val="18"/>
                <w:lang w:val="es-ES_tradnl"/>
              </w:rPr>
            </w:pPr>
          </w:p>
        </w:tc>
        <w:tc>
          <w:tcPr>
            <w:tcW w:w="560" w:type="dxa"/>
            <w:tcBorders>
              <w:top w:val="single" w:sz="4" w:space="0" w:color="auto"/>
              <w:left w:val="single" w:sz="4" w:space="0" w:color="BFBFBF"/>
              <w:bottom w:val="single" w:sz="4" w:space="0" w:color="auto"/>
              <w:right w:val="nil"/>
            </w:tcBorders>
            <w:shd w:val="clear" w:color="auto" w:fill="C6D6F4"/>
            <w:vAlign w:val="center"/>
          </w:tcPr>
          <w:p w:rsidR="009571FA" w:rsidRDefault="009571FA" w:rsidP="00415105">
            <w:pPr>
              <w:spacing w:line="276" w:lineRule="auto"/>
              <w:jc w:val="both"/>
              <w:rPr>
                <w:rFonts w:ascii="Calibri" w:hAnsi="Calibri"/>
                <w:sz w:val="18"/>
                <w:lang w:val="es-ES_tradnl"/>
              </w:rPr>
            </w:pPr>
          </w:p>
        </w:tc>
        <w:tc>
          <w:tcPr>
            <w:tcW w:w="647" w:type="dxa"/>
            <w:tcBorders>
              <w:top w:val="single" w:sz="4" w:space="0" w:color="auto"/>
              <w:left w:val="nil"/>
              <w:bottom w:val="single" w:sz="4" w:space="0" w:color="auto"/>
              <w:right w:val="single" w:sz="4" w:space="0" w:color="auto"/>
            </w:tcBorders>
            <w:shd w:val="clear" w:color="auto" w:fill="C6D6F4"/>
            <w:vAlign w:val="center"/>
          </w:tcPr>
          <w:p w:rsidR="009571FA" w:rsidRDefault="009571FA" w:rsidP="00415105">
            <w:pPr>
              <w:spacing w:line="276" w:lineRule="auto"/>
              <w:jc w:val="both"/>
              <w:rPr>
                <w:rFonts w:ascii="Calibri" w:hAnsi="Calibri"/>
                <w:sz w:val="18"/>
                <w:lang w:val="es-ES_tradnl"/>
              </w:rPr>
            </w:pPr>
          </w:p>
        </w:tc>
      </w:tr>
      <w:tr w:rsidR="009571FA" w:rsidTr="00EF6EC8">
        <w:trPr>
          <w:trHeight w:val="284"/>
        </w:trPr>
        <w:tc>
          <w:tcPr>
            <w:tcW w:w="1363" w:type="dxa"/>
            <w:tcBorders>
              <w:top w:val="single" w:sz="4" w:space="0" w:color="auto"/>
              <w:left w:val="single" w:sz="4" w:space="0" w:color="auto"/>
              <w:bottom w:val="single" w:sz="4" w:space="0" w:color="BFBFBF"/>
              <w:right w:val="single" w:sz="4" w:space="0" w:color="auto"/>
            </w:tcBorders>
            <w:tcMar>
              <w:top w:w="0" w:type="dxa"/>
              <w:left w:w="28" w:type="dxa"/>
              <w:bottom w:w="0" w:type="dxa"/>
              <w:right w:w="28" w:type="dxa"/>
            </w:tcMar>
            <w:vAlign w:val="center"/>
          </w:tcPr>
          <w:p w:rsidR="009571FA" w:rsidRDefault="009571FA" w:rsidP="00415105">
            <w:pPr>
              <w:tabs>
                <w:tab w:val="left" w:pos="253"/>
              </w:tabs>
              <w:spacing w:line="276" w:lineRule="auto"/>
              <w:jc w:val="both"/>
              <w:rPr>
                <w:rFonts w:ascii="Calibri" w:hAnsi="Calibri"/>
                <w:lang w:val="es-ES_tradnl"/>
              </w:rPr>
            </w:pPr>
            <w:r>
              <w:rPr>
                <w:rFonts w:ascii="Calibri" w:hAnsi="Calibri"/>
                <w:lang w:val="es-ES_tradnl"/>
              </w:rPr>
              <w:tab/>
              <w:t>D</w:t>
            </w:r>
          </w:p>
        </w:tc>
        <w:tc>
          <w:tcPr>
            <w:tcW w:w="490" w:type="dxa"/>
            <w:tcBorders>
              <w:top w:val="single" w:sz="4" w:space="0" w:color="auto"/>
              <w:left w:val="single" w:sz="4" w:space="0" w:color="auto"/>
              <w:bottom w:val="single" w:sz="4" w:space="0" w:color="BFBFBF"/>
              <w:right w:val="single" w:sz="4" w:space="0" w:color="auto"/>
            </w:tcBorders>
            <w:vAlign w:val="center"/>
          </w:tcPr>
          <w:p w:rsidR="009571FA" w:rsidRDefault="009571FA" w:rsidP="00415105">
            <w:pPr>
              <w:tabs>
                <w:tab w:val="left" w:pos="253"/>
              </w:tabs>
              <w:spacing w:line="276" w:lineRule="auto"/>
              <w:jc w:val="both"/>
              <w:rPr>
                <w:rFonts w:ascii="Calibri" w:hAnsi="Calibri"/>
                <w:sz w:val="18"/>
                <w:lang w:val="es-ES_tradnl"/>
              </w:rPr>
            </w:pPr>
            <w:r>
              <w:rPr>
                <w:rFonts w:ascii="Calibri" w:hAnsi="Calibri"/>
                <w:sz w:val="18"/>
                <w:lang w:val="es-ES_tradnl"/>
              </w:rPr>
              <w:t>10</w:t>
            </w:r>
          </w:p>
        </w:tc>
        <w:tc>
          <w:tcPr>
            <w:tcW w:w="610" w:type="dxa"/>
            <w:tcBorders>
              <w:top w:val="single" w:sz="4" w:space="0" w:color="auto"/>
              <w:left w:val="single" w:sz="4" w:space="0" w:color="auto"/>
              <w:bottom w:val="single" w:sz="4" w:space="0" w:color="BFBFBF"/>
              <w:right w:val="nil"/>
            </w:tcBorders>
            <w:vAlign w:val="center"/>
          </w:tcPr>
          <w:p w:rsidR="009571FA" w:rsidRDefault="009571FA" w:rsidP="00415105">
            <w:pPr>
              <w:spacing w:line="276" w:lineRule="auto"/>
              <w:jc w:val="both"/>
              <w:rPr>
                <w:rFonts w:ascii="Calibri" w:hAnsi="Calibri"/>
                <w:sz w:val="18"/>
                <w:lang w:val="es-ES_tradnl"/>
              </w:rPr>
            </w:pPr>
            <w:r>
              <w:rPr>
                <w:rFonts w:ascii="Calibri" w:hAnsi="Calibri"/>
                <w:sz w:val="18"/>
                <w:lang w:val="es-ES_tradnl"/>
              </w:rPr>
              <w:t>0</w:t>
            </w:r>
          </w:p>
        </w:tc>
        <w:tc>
          <w:tcPr>
            <w:tcW w:w="636" w:type="dxa"/>
            <w:tcBorders>
              <w:top w:val="single" w:sz="4" w:space="0" w:color="auto"/>
              <w:left w:val="nil"/>
              <w:bottom w:val="single" w:sz="4" w:space="0" w:color="BFBFBF"/>
              <w:right w:val="nil"/>
            </w:tcBorders>
            <w:vAlign w:val="center"/>
          </w:tcPr>
          <w:p w:rsidR="009571FA" w:rsidRDefault="009571FA" w:rsidP="00415105">
            <w:pPr>
              <w:spacing w:line="276" w:lineRule="auto"/>
              <w:jc w:val="both"/>
              <w:rPr>
                <w:rFonts w:ascii="Calibri" w:hAnsi="Calibri"/>
                <w:sz w:val="18"/>
                <w:lang w:val="es-ES_tradnl"/>
              </w:rPr>
            </w:pPr>
            <w:r>
              <w:rPr>
                <w:rFonts w:ascii="Calibri" w:hAnsi="Calibri"/>
                <w:sz w:val="18"/>
                <w:lang w:val="es-ES_tradnl"/>
              </w:rPr>
              <w:t>0.0</w:t>
            </w:r>
          </w:p>
        </w:tc>
        <w:tc>
          <w:tcPr>
            <w:tcW w:w="611" w:type="dxa"/>
            <w:tcBorders>
              <w:top w:val="single" w:sz="4" w:space="0" w:color="auto"/>
              <w:left w:val="nil"/>
              <w:bottom w:val="single" w:sz="4" w:space="0" w:color="BFBFBF"/>
              <w:right w:val="nil"/>
            </w:tcBorders>
            <w:vAlign w:val="center"/>
          </w:tcPr>
          <w:p w:rsidR="009571FA" w:rsidRDefault="009571FA" w:rsidP="00415105">
            <w:pPr>
              <w:spacing w:line="276" w:lineRule="auto"/>
              <w:jc w:val="both"/>
              <w:rPr>
                <w:rFonts w:ascii="Calibri" w:hAnsi="Calibri"/>
                <w:sz w:val="18"/>
                <w:lang w:val="es-ES_tradnl"/>
              </w:rPr>
            </w:pPr>
            <w:r>
              <w:rPr>
                <w:rFonts w:ascii="Calibri" w:hAnsi="Calibri"/>
                <w:sz w:val="18"/>
                <w:lang w:val="es-ES_tradnl"/>
              </w:rPr>
              <w:t>10</w:t>
            </w:r>
          </w:p>
        </w:tc>
        <w:tc>
          <w:tcPr>
            <w:tcW w:w="638" w:type="dxa"/>
            <w:gridSpan w:val="2"/>
            <w:tcBorders>
              <w:top w:val="single" w:sz="4" w:space="0" w:color="auto"/>
              <w:left w:val="nil"/>
              <w:bottom w:val="single" w:sz="4" w:space="0" w:color="BFBFBF"/>
              <w:right w:val="single" w:sz="4" w:space="0" w:color="BFBFBF"/>
            </w:tcBorders>
            <w:vAlign w:val="center"/>
          </w:tcPr>
          <w:p w:rsidR="009571FA" w:rsidRDefault="009571FA" w:rsidP="00415105">
            <w:pPr>
              <w:spacing w:line="276" w:lineRule="auto"/>
              <w:jc w:val="both"/>
              <w:rPr>
                <w:rFonts w:ascii="Calibri" w:hAnsi="Calibri"/>
                <w:sz w:val="18"/>
                <w:lang w:val="es-ES_tradnl"/>
              </w:rPr>
            </w:pPr>
            <w:r>
              <w:rPr>
                <w:rFonts w:ascii="Calibri" w:hAnsi="Calibri"/>
                <w:sz w:val="18"/>
                <w:lang w:val="es-ES_tradnl"/>
              </w:rPr>
              <w:t>100.0</w:t>
            </w:r>
          </w:p>
        </w:tc>
        <w:tc>
          <w:tcPr>
            <w:tcW w:w="610" w:type="dxa"/>
            <w:tcBorders>
              <w:top w:val="single" w:sz="4" w:space="0" w:color="auto"/>
              <w:left w:val="nil"/>
              <w:bottom w:val="single" w:sz="4" w:space="0" w:color="BFBFBF"/>
              <w:right w:val="single" w:sz="4" w:space="0" w:color="BFBFBF"/>
            </w:tcBorders>
            <w:vAlign w:val="center"/>
          </w:tcPr>
          <w:p w:rsidR="009571FA" w:rsidRDefault="009571FA" w:rsidP="00415105">
            <w:pPr>
              <w:spacing w:line="276" w:lineRule="auto"/>
              <w:jc w:val="both"/>
              <w:rPr>
                <w:rFonts w:ascii="Calibri" w:hAnsi="Calibri"/>
                <w:sz w:val="18"/>
                <w:lang w:val="es-ES_tradnl"/>
              </w:rPr>
            </w:pPr>
            <w:r>
              <w:rPr>
                <w:rFonts w:ascii="Calibri" w:hAnsi="Calibri"/>
                <w:sz w:val="18"/>
                <w:lang w:val="es-ES_tradnl"/>
              </w:rPr>
              <w:t>0</w:t>
            </w:r>
          </w:p>
        </w:tc>
        <w:tc>
          <w:tcPr>
            <w:tcW w:w="650" w:type="dxa"/>
            <w:tcBorders>
              <w:top w:val="single" w:sz="4" w:space="0" w:color="auto"/>
              <w:left w:val="nil"/>
              <w:bottom w:val="single" w:sz="4" w:space="0" w:color="BFBFBF"/>
              <w:right w:val="single" w:sz="4" w:space="0" w:color="auto"/>
            </w:tcBorders>
            <w:vAlign w:val="center"/>
          </w:tcPr>
          <w:p w:rsidR="009571FA" w:rsidRDefault="009571FA" w:rsidP="00415105">
            <w:pPr>
              <w:spacing w:line="276" w:lineRule="auto"/>
              <w:jc w:val="both"/>
              <w:rPr>
                <w:rFonts w:ascii="Calibri" w:hAnsi="Calibri"/>
                <w:sz w:val="18"/>
                <w:lang w:val="es-ES_tradnl"/>
              </w:rPr>
            </w:pPr>
            <w:r>
              <w:rPr>
                <w:rFonts w:ascii="Calibri" w:hAnsi="Calibri"/>
                <w:sz w:val="18"/>
                <w:lang w:val="es-ES_tradnl"/>
              </w:rPr>
              <w:t>0.0</w:t>
            </w:r>
          </w:p>
        </w:tc>
        <w:tc>
          <w:tcPr>
            <w:tcW w:w="598" w:type="dxa"/>
            <w:tcBorders>
              <w:top w:val="single" w:sz="4" w:space="0" w:color="auto"/>
              <w:left w:val="single" w:sz="4" w:space="0" w:color="auto"/>
              <w:bottom w:val="single" w:sz="4" w:space="0" w:color="BFBFBF"/>
              <w:right w:val="single" w:sz="4" w:space="0" w:color="BFBFBF"/>
            </w:tcBorders>
            <w:vAlign w:val="center"/>
          </w:tcPr>
          <w:p w:rsidR="009571FA" w:rsidRDefault="009571FA" w:rsidP="00415105">
            <w:pPr>
              <w:spacing w:line="276" w:lineRule="auto"/>
              <w:jc w:val="both"/>
              <w:rPr>
                <w:rFonts w:ascii="Calibri" w:hAnsi="Calibri"/>
                <w:sz w:val="18"/>
                <w:lang w:val="es-ES_tradnl"/>
              </w:rPr>
            </w:pPr>
            <w:r>
              <w:rPr>
                <w:rFonts w:ascii="Calibri" w:hAnsi="Calibri"/>
                <w:sz w:val="18"/>
                <w:lang w:val="es-ES_tradnl"/>
              </w:rPr>
              <w:t>0</w:t>
            </w:r>
          </w:p>
        </w:tc>
        <w:tc>
          <w:tcPr>
            <w:tcW w:w="637" w:type="dxa"/>
            <w:gridSpan w:val="2"/>
            <w:tcBorders>
              <w:top w:val="single" w:sz="4" w:space="0" w:color="auto"/>
              <w:left w:val="single" w:sz="4" w:space="0" w:color="BFBFBF"/>
              <w:bottom w:val="single" w:sz="4" w:space="0" w:color="BFBFBF"/>
              <w:right w:val="single" w:sz="4" w:space="0" w:color="BFBFBF"/>
            </w:tcBorders>
            <w:vAlign w:val="center"/>
          </w:tcPr>
          <w:p w:rsidR="009571FA" w:rsidRDefault="009571FA" w:rsidP="00415105">
            <w:pPr>
              <w:spacing w:line="276" w:lineRule="auto"/>
              <w:jc w:val="both"/>
              <w:rPr>
                <w:rFonts w:ascii="Calibri" w:hAnsi="Calibri"/>
                <w:sz w:val="18"/>
                <w:lang w:val="es-ES_tradnl"/>
              </w:rPr>
            </w:pPr>
            <w:r>
              <w:rPr>
                <w:rFonts w:ascii="Calibri" w:hAnsi="Calibri"/>
                <w:sz w:val="18"/>
                <w:lang w:val="es-ES_tradnl"/>
              </w:rPr>
              <w:t>0.0</w:t>
            </w:r>
          </w:p>
        </w:tc>
        <w:tc>
          <w:tcPr>
            <w:tcW w:w="611" w:type="dxa"/>
            <w:tcBorders>
              <w:top w:val="single" w:sz="4" w:space="0" w:color="auto"/>
              <w:left w:val="single" w:sz="4" w:space="0" w:color="BFBFBF"/>
              <w:bottom w:val="single" w:sz="4" w:space="0" w:color="BFBFBF"/>
              <w:right w:val="single" w:sz="4" w:space="0" w:color="BFBFBF"/>
            </w:tcBorders>
            <w:vAlign w:val="center"/>
          </w:tcPr>
          <w:p w:rsidR="009571FA" w:rsidRDefault="009571FA" w:rsidP="00415105">
            <w:pPr>
              <w:spacing w:line="276" w:lineRule="auto"/>
              <w:jc w:val="both"/>
              <w:rPr>
                <w:rFonts w:ascii="Calibri" w:hAnsi="Calibri"/>
                <w:sz w:val="18"/>
                <w:lang w:val="es-ES_tradnl"/>
              </w:rPr>
            </w:pPr>
            <w:r>
              <w:rPr>
                <w:rFonts w:ascii="Calibri" w:hAnsi="Calibri"/>
                <w:sz w:val="18"/>
                <w:lang w:val="es-ES_tradnl"/>
              </w:rPr>
              <w:t>9</w:t>
            </w:r>
          </w:p>
        </w:tc>
        <w:tc>
          <w:tcPr>
            <w:tcW w:w="637" w:type="dxa"/>
            <w:tcBorders>
              <w:top w:val="single" w:sz="4" w:space="0" w:color="auto"/>
              <w:left w:val="single" w:sz="4" w:space="0" w:color="BFBFBF"/>
              <w:bottom w:val="single" w:sz="4" w:space="0" w:color="BFBFBF"/>
              <w:right w:val="single" w:sz="4" w:space="0" w:color="BFBFBF"/>
            </w:tcBorders>
            <w:vAlign w:val="center"/>
          </w:tcPr>
          <w:p w:rsidR="009571FA" w:rsidRDefault="009571FA" w:rsidP="00415105">
            <w:pPr>
              <w:spacing w:line="276" w:lineRule="auto"/>
              <w:jc w:val="both"/>
              <w:rPr>
                <w:rFonts w:ascii="Calibri" w:hAnsi="Calibri"/>
                <w:sz w:val="18"/>
                <w:lang w:val="es-ES_tradnl"/>
              </w:rPr>
            </w:pPr>
            <w:r>
              <w:rPr>
                <w:rFonts w:ascii="Calibri" w:hAnsi="Calibri"/>
                <w:sz w:val="18"/>
                <w:lang w:val="es-ES_tradnl"/>
              </w:rPr>
              <w:t>90.0</w:t>
            </w:r>
          </w:p>
        </w:tc>
        <w:tc>
          <w:tcPr>
            <w:tcW w:w="560" w:type="dxa"/>
            <w:tcBorders>
              <w:top w:val="single" w:sz="4" w:space="0" w:color="auto"/>
              <w:left w:val="single" w:sz="4" w:space="0" w:color="BFBFBF"/>
              <w:bottom w:val="single" w:sz="4" w:space="0" w:color="BFBFBF"/>
              <w:right w:val="nil"/>
            </w:tcBorders>
            <w:vAlign w:val="center"/>
          </w:tcPr>
          <w:p w:rsidR="009571FA" w:rsidRDefault="009571FA" w:rsidP="00415105">
            <w:pPr>
              <w:spacing w:line="276" w:lineRule="auto"/>
              <w:jc w:val="both"/>
              <w:rPr>
                <w:rFonts w:ascii="Calibri" w:hAnsi="Calibri"/>
                <w:sz w:val="18"/>
                <w:lang w:val="es-ES_tradnl"/>
              </w:rPr>
            </w:pPr>
            <w:r>
              <w:rPr>
                <w:rFonts w:ascii="Calibri" w:hAnsi="Calibri"/>
                <w:sz w:val="18"/>
                <w:lang w:val="es-ES_tradnl"/>
              </w:rPr>
              <w:t>1</w:t>
            </w:r>
          </w:p>
        </w:tc>
        <w:tc>
          <w:tcPr>
            <w:tcW w:w="647" w:type="dxa"/>
            <w:tcBorders>
              <w:top w:val="single" w:sz="4" w:space="0" w:color="auto"/>
              <w:left w:val="nil"/>
              <w:bottom w:val="single" w:sz="4" w:space="0" w:color="BFBFBF"/>
              <w:right w:val="single" w:sz="4" w:space="0" w:color="auto"/>
            </w:tcBorders>
            <w:vAlign w:val="center"/>
          </w:tcPr>
          <w:p w:rsidR="009571FA" w:rsidRDefault="009571FA" w:rsidP="00BC175D">
            <w:pPr>
              <w:spacing w:line="276" w:lineRule="auto"/>
              <w:jc w:val="center"/>
              <w:rPr>
                <w:rFonts w:ascii="Calibri" w:hAnsi="Calibri"/>
                <w:sz w:val="18"/>
                <w:lang w:val="es-ES_tradnl"/>
              </w:rPr>
            </w:pPr>
            <w:r>
              <w:rPr>
                <w:rFonts w:ascii="Calibri" w:hAnsi="Calibri"/>
                <w:sz w:val="18"/>
                <w:lang w:val="es-ES_tradnl"/>
              </w:rPr>
              <w:t>10.0</w:t>
            </w:r>
          </w:p>
        </w:tc>
      </w:tr>
      <w:tr w:rsidR="009571FA" w:rsidTr="00EF6EC8">
        <w:trPr>
          <w:trHeight w:val="284"/>
        </w:trPr>
        <w:tc>
          <w:tcPr>
            <w:tcW w:w="1363" w:type="dxa"/>
            <w:tcBorders>
              <w:top w:val="single" w:sz="4" w:space="0" w:color="BFBFBF"/>
              <w:left w:val="single" w:sz="4" w:space="0" w:color="auto"/>
              <w:bottom w:val="single" w:sz="4" w:space="0" w:color="BFBFBF"/>
              <w:right w:val="single" w:sz="4" w:space="0" w:color="auto"/>
            </w:tcBorders>
            <w:tcMar>
              <w:top w:w="0" w:type="dxa"/>
              <w:left w:w="28" w:type="dxa"/>
              <w:bottom w:w="0" w:type="dxa"/>
              <w:right w:w="28" w:type="dxa"/>
            </w:tcMar>
            <w:vAlign w:val="center"/>
          </w:tcPr>
          <w:p w:rsidR="009571FA" w:rsidRDefault="009571FA" w:rsidP="00415105">
            <w:pPr>
              <w:tabs>
                <w:tab w:val="left" w:pos="253"/>
              </w:tabs>
              <w:spacing w:line="276" w:lineRule="auto"/>
              <w:jc w:val="both"/>
              <w:rPr>
                <w:rFonts w:ascii="Calibri" w:hAnsi="Calibri"/>
                <w:lang w:val="es-ES_tradnl"/>
              </w:rPr>
            </w:pPr>
            <w:r>
              <w:rPr>
                <w:rFonts w:ascii="Calibri" w:hAnsi="Calibri"/>
                <w:lang w:val="es-ES_tradnl"/>
              </w:rPr>
              <w:tab/>
              <w:t>P</w:t>
            </w:r>
          </w:p>
        </w:tc>
        <w:tc>
          <w:tcPr>
            <w:tcW w:w="490" w:type="dxa"/>
            <w:tcBorders>
              <w:top w:val="single" w:sz="4" w:space="0" w:color="BFBFBF"/>
              <w:left w:val="single" w:sz="4" w:space="0" w:color="auto"/>
              <w:bottom w:val="single" w:sz="4" w:space="0" w:color="BFBFBF"/>
              <w:right w:val="single" w:sz="4" w:space="0" w:color="auto"/>
            </w:tcBorders>
            <w:vAlign w:val="center"/>
          </w:tcPr>
          <w:p w:rsidR="009571FA" w:rsidRDefault="009571FA" w:rsidP="00415105">
            <w:pPr>
              <w:tabs>
                <w:tab w:val="left" w:pos="253"/>
              </w:tabs>
              <w:spacing w:line="276" w:lineRule="auto"/>
              <w:jc w:val="both"/>
              <w:rPr>
                <w:rFonts w:ascii="Calibri" w:hAnsi="Calibri"/>
                <w:sz w:val="18"/>
                <w:lang w:val="es-ES_tradnl"/>
              </w:rPr>
            </w:pPr>
            <w:r>
              <w:rPr>
                <w:rFonts w:ascii="Calibri" w:hAnsi="Calibri"/>
                <w:sz w:val="18"/>
                <w:lang w:val="es-ES_tradnl"/>
              </w:rPr>
              <w:t>262</w:t>
            </w:r>
          </w:p>
        </w:tc>
        <w:tc>
          <w:tcPr>
            <w:tcW w:w="610" w:type="dxa"/>
            <w:tcBorders>
              <w:top w:val="single" w:sz="4" w:space="0" w:color="BFBFBF"/>
              <w:left w:val="single" w:sz="4" w:space="0" w:color="auto"/>
              <w:bottom w:val="single" w:sz="4" w:space="0" w:color="BFBFBF"/>
              <w:right w:val="nil"/>
            </w:tcBorders>
            <w:vAlign w:val="center"/>
          </w:tcPr>
          <w:p w:rsidR="009571FA" w:rsidRDefault="009571FA" w:rsidP="00415105">
            <w:pPr>
              <w:spacing w:line="276" w:lineRule="auto"/>
              <w:jc w:val="both"/>
              <w:rPr>
                <w:rFonts w:ascii="Calibri" w:hAnsi="Calibri"/>
                <w:sz w:val="18"/>
                <w:lang w:val="es-ES_tradnl"/>
              </w:rPr>
            </w:pPr>
            <w:r>
              <w:rPr>
                <w:rFonts w:ascii="Calibri" w:hAnsi="Calibri"/>
                <w:sz w:val="18"/>
                <w:lang w:val="es-ES_tradnl"/>
              </w:rPr>
              <w:t>50</w:t>
            </w:r>
          </w:p>
        </w:tc>
        <w:tc>
          <w:tcPr>
            <w:tcW w:w="636" w:type="dxa"/>
            <w:tcBorders>
              <w:top w:val="single" w:sz="4" w:space="0" w:color="BFBFBF"/>
              <w:left w:val="nil"/>
              <w:bottom w:val="single" w:sz="4" w:space="0" w:color="BFBFBF"/>
              <w:right w:val="nil"/>
            </w:tcBorders>
            <w:vAlign w:val="center"/>
          </w:tcPr>
          <w:p w:rsidR="009571FA" w:rsidRDefault="009571FA" w:rsidP="00415105">
            <w:pPr>
              <w:spacing w:line="276" w:lineRule="auto"/>
              <w:jc w:val="both"/>
              <w:rPr>
                <w:rFonts w:ascii="Calibri" w:hAnsi="Calibri"/>
                <w:sz w:val="18"/>
                <w:lang w:val="es-ES_tradnl"/>
              </w:rPr>
            </w:pPr>
            <w:r>
              <w:rPr>
                <w:rFonts w:ascii="Calibri" w:hAnsi="Calibri"/>
                <w:sz w:val="18"/>
                <w:lang w:val="es-ES_tradnl"/>
              </w:rPr>
              <w:t>19.1</w:t>
            </w:r>
          </w:p>
        </w:tc>
        <w:tc>
          <w:tcPr>
            <w:tcW w:w="611" w:type="dxa"/>
            <w:tcBorders>
              <w:top w:val="single" w:sz="4" w:space="0" w:color="BFBFBF"/>
              <w:left w:val="nil"/>
              <w:bottom w:val="single" w:sz="4" w:space="0" w:color="BFBFBF"/>
              <w:right w:val="nil"/>
            </w:tcBorders>
            <w:vAlign w:val="center"/>
          </w:tcPr>
          <w:p w:rsidR="009571FA" w:rsidRDefault="009571FA" w:rsidP="00415105">
            <w:pPr>
              <w:spacing w:line="276" w:lineRule="auto"/>
              <w:jc w:val="both"/>
              <w:rPr>
                <w:rFonts w:ascii="Calibri" w:hAnsi="Calibri"/>
                <w:sz w:val="18"/>
                <w:lang w:val="es-ES_tradnl"/>
              </w:rPr>
            </w:pPr>
            <w:r>
              <w:rPr>
                <w:rFonts w:ascii="Calibri" w:hAnsi="Calibri"/>
                <w:sz w:val="18"/>
                <w:lang w:val="es-ES_tradnl"/>
              </w:rPr>
              <w:t>205</w:t>
            </w:r>
          </w:p>
        </w:tc>
        <w:tc>
          <w:tcPr>
            <w:tcW w:w="638" w:type="dxa"/>
            <w:gridSpan w:val="2"/>
            <w:tcBorders>
              <w:top w:val="single" w:sz="4" w:space="0" w:color="BFBFBF"/>
              <w:left w:val="nil"/>
              <w:bottom w:val="single" w:sz="4" w:space="0" w:color="BFBFBF"/>
              <w:right w:val="single" w:sz="4" w:space="0" w:color="BFBFBF"/>
            </w:tcBorders>
            <w:vAlign w:val="center"/>
          </w:tcPr>
          <w:p w:rsidR="009571FA" w:rsidRDefault="009571FA" w:rsidP="00415105">
            <w:pPr>
              <w:spacing w:line="276" w:lineRule="auto"/>
              <w:jc w:val="both"/>
              <w:rPr>
                <w:rFonts w:ascii="Calibri" w:hAnsi="Calibri"/>
                <w:sz w:val="18"/>
                <w:lang w:val="es-ES_tradnl"/>
              </w:rPr>
            </w:pPr>
            <w:r>
              <w:rPr>
                <w:rFonts w:ascii="Calibri" w:hAnsi="Calibri"/>
                <w:sz w:val="18"/>
                <w:lang w:val="es-ES_tradnl"/>
              </w:rPr>
              <w:t>78.2</w:t>
            </w:r>
          </w:p>
        </w:tc>
        <w:tc>
          <w:tcPr>
            <w:tcW w:w="610" w:type="dxa"/>
            <w:tcBorders>
              <w:top w:val="single" w:sz="4" w:space="0" w:color="BFBFBF"/>
              <w:left w:val="nil"/>
              <w:bottom w:val="single" w:sz="4" w:space="0" w:color="BFBFBF"/>
              <w:right w:val="single" w:sz="4" w:space="0" w:color="BFBFBF"/>
            </w:tcBorders>
            <w:vAlign w:val="center"/>
          </w:tcPr>
          <w:p w:rsidR="009571FA" w:rsidRDefault="009571FA" w:rsidP="00415105">
            <w:pPr>
              <w:spacing w:line="276" w:lineRule="auto"/>
              <w:jc w:val="both"/>
              <w:rPr>
                <w:rFonts w:ascii="Calibri" w:hAnsi="Calibri"/>
                <w:sz w:val="18"/>
                <w:lang w:val="es-ES_tradnl"/>
              </w:rPr>
            </w:pPr>
            <w:r>
              <w:rPr>
                <w:rFonts w:ascii="Calibri" w:hAnsi="Calibri"/>
                <w:sz w:val="18"/>
                <w:lang w:val="es-ES_tradnl"/>
              </w:rPr>
              <w:t>7</w:t>
            </w:r>
          </w:p>
        </w:tc>
        <w:tc>
          <w:tcPr>
            <w:tcW w:w="650" w:type="dxa"/>
            <w:tcBorders>
              <w:top w:val="single" w:sz="4" w:space="0" w:color="BFBFBF"/>
              <w:left w:val="nil"/>
              <w:bottom w:val="single" w:sz="4" w:space="0" w:color="BFBFBF"/>
              <w:right w:val="single" w:sz="4" w:space="0" w:color="auto"/>
            </w:tcBorders>
            <w:vAlign w:val="center"/>
          </w:tcPr>
          <w:p w:rsidR="009571FA" w:rsidRDefault="009571FA" w:rsidP="00415105">
            <w:pPr>
              <w:spacing w:line="276" w:lineRule="auto"/>
              <w:jc w:val="both"/>
              <w:rPr>
                <w:rFonts w:ascii="Calibri" w:hAnsi="Calibri"/>
                <w:sz w:val="18"/>
                <w:lang w:val="es-ES_tradnl"/>
              </w:rPr>
            </w:pPr>
            <w:r>
              <w:rPr>
                <w:rFonts w:ascii="Calibri" w:hAnsi="Calibri"/>
                <w:sz w:val="18"/>
                <w:lang w:val="es-ES_tradnl"/>
              </w:rPr>
              <w:t>2.7</w:t>
            </w:r>
          </w:p>
        </w:tc>
        <w:tc>
          <w:tcPr>
            <w:tcW w:w="598" w:type="dxa"/>
            <w:tcBorders>
              <w:top w:val="single" w:sz="4" w:space="0" w:color="BFBFBF"/>
              <w:left w:val="single" w:sz="4" w:space="0" w:color="auto"/>
              <w:bottom w:val="single" w:sz="4" w:space="0" w:color="BFBFBF"/>
              <w:right w:val="single" w:sz="4" w:space="0" w:color="BFBFBF"/>
            </w:tcBorders>
            <w:vAlign w:val="center"/>
          </w:tcPr>
          <w:p w:rsidR="009571FA" w:rsidRDefault="009571FA" w:rsidP="00415105">
            <w:pPr>
              <w:spacing w:line="276" w:lineRule="auto"/>
              <w:jc w:val="both"/>
              <w:rPr>
                <w:rFonts w:ascii="Calibri" w:hAnsi="Calibri"/>
                <w:sz w:val="18"/>
                <w:lang w:val="es-ES_tradnl"/>
              </w:rPr>
            </w:pPr>
            <w:r>
              <w:rPr>
                <w:rFonts w:ascii="Calibri" w:hAnsi="Calibri"/>
                <w:sz w:val="18"/>
                <w:lang w:val="es-ES_tradnl"/>
              </w:rPr>
              <w:t>56</w:t>
            </w:r>
          </w:p>
        </w:tc>
        <w:tc>
          <w:tcPr>
            <w:tcW w:w="637" w:type="dxa"/>
            <w:gridSpan w:val="2"/>
            <w:tcBorders>
              <w:top w:val="single" w:sz="4" w:space="0" w:color="BFBFBF"/>
              <w:left w:val="single" w:sz="4" w:space="0" w:color="BFBFBF"/>
              <w:bottom w:val="single" w:sz="4" w:space="0" w:color="BFBFBF"/>
              <w:right w:val="single" w:sz="4" w:space="0" w:color="BFBFBF"/>
            </w:tcBorders>
            <w:vAlign w:val="center"/>
          </w:tcPr>
          <w:p w:rsidR="009571FA" w:rsidRDefault="009571FA" w:rsidP="00415105">
            <w:pPr>
              <w:spacing w:line="276" w:lineRule="auto"/>
              <w:jc w:val="both"/>
              <w:rPr>
                <w:rFonts w:ascii="Calibri" w:hAnsi="Calibri"/>
                <w:sz w:val="18"/>
                <w:lang w:val="es-ES_tradnl"/>
              </w:rPr>
            </w:pPr>
            <w:r>
              <w:rPr>
                <w:rFonts w:ascii="Calibri" w:hAnsi="Calibri"/>
                <w:sz w:val="18"/>
                <w:lang w:val="es-ES_tradnl"/>
              </w:rPr>
              <w:t>21.4</w:t>
            </w:r>
          </w:p>
        </w:tc>
        <w:tc>
          <w:tcPr>
            <w:tcW w:w="611" w:type="dxa"/>
            <w:tcBorders>
              <w:top w:val="single" w:sz="4" w:space="0" w:color="BFBFBF"/>
              <w:left w:val="single" w:sz="4" w:space="0" w:color="BFBFBF"/>
              <w:bottom w:val="single" w:sz="4" w:space="0" w:color="BFBFBF"/>
              <w:right w:val="single" w:sz="4" w:space="0" w:color="BFBFBF"/>
            </w:tcBorders>
            <w:vAlign w:val="center"/>
          </w:tcPr>
          <w:p w:rsidR="009571FA" w:rsidRDefault="009571FA" w:rsidP="00415105">
            <w:pPr>
              <w:spacing w:line="276" w:lineRule="auto"/>
              <w:jc w:val="both"/>
              <w:rPr>
                <w:rFonts w:ascii="Calibri" w:hAnsi="Calibri"/>
                <w:sz w:val="18"/>
                <w:lang w:val="es-ES_tradnl"/>
              </w:rPr>
            </w:pPr>
            <w:r>
              <w:rPr>
                <w:rFonts w:ascii="Calibri" w:hAnsi="Calibri"/>
                <w:sz w:val="18"/>
                <w:lang w:val="es-ES_tradnl"/>
              </w:rPr>
              <w:t>201</w:t>
            </w:r>
          </w:p>
        </w:tc>
        <w:tc>
          <w:tcPr>
            <w:tcW w:w="637" w:type="dxa"/>
            <w:tcBorders>
              <w:top w:val="single" w:sz="4" w:space="0" w:color="BFBFBF"/>
              <w:left w:val="single" w:sz="4" w:space="0" w:color="BFBFBF"/>
              <w:bottom w:val="single" w:sz="4" w:space="0" w:color="BFBFBF"/>
              <w:right w:val="single" w:sz="4" w:space="0" w:color="BFBFBF"/>
            </w:tcBorders>
            <w:vAlign w:val="center"/>
          </w:tcPr>
          <w:p w:rsidR="009571FA" w:rsidRDefault="009571FA" w:rsidP="00415105">
            <w:pPr>
              <w:spacing w:line="276" w:lineRule="auto"/>
              <w:jc w:val="both"/>
              <w:rPr>
                <w:rFonts w:ascii="Calibri" w:hAnsi="Calibri"/>
                <w:sz w:val="18"/>
                <w:lang w:val="es-ES_tradnl"/>
              </w:rPr>
            </w:pPr>
            <w:r>
              <w:rPr>
                <w:rFonts w:ascii="Calibri" w:hAnsi="Calibri"/>
                <w:sz w:val="18"/>
                <w:lang w:val="es-ES_tradnl"/>
              </w:rPr>
              <w:t>76.7</w:t>
            </w:r>
          </w:p>
        </w:tc>
        <w:tc>
          <w:tcPr>
            <w:tcW w:w="560" w:type="dxa"/>
            <w:tcBorders>
              <w:top w:val="single" w:sz="4" w:space="0" w:color="BFBFBF"/>
              <w:left w:val="single" w:sz="4" w:space="0" w:color="BFBFBF"/>
              <w:bottom w:val="single" w:sz="4" w:space="0" w:color="BFBFBF"/>
              <w:right w:val="nil"/>
            </w:tcBorders>
            <w:vAlign w:val="center"/>
          </w:tcPr>
          <w:p w:rsidR="009571FA" w:rsidRDefault="009571FA" w:rsidP="00415105">
            <w:pPr>
              <w:spacing w:line="276" w:lineRule="auto"/>
              <w:jc w:val="both"/>
              <w:rPr>
                <w:rFonts w:ascii="Calibri" w:hAnsi="Calibri"/>
                <w:sz w:val="18"/>
                <w:lang w:val="es-ES_tradnl"/>
              </w:rPr>
            </w:pPr>
            <w:r>
              <w:rPr>
                <w:rFonts w:ascii="Calibri" w:hAnsi="Calibri"/>
                <w:sz w:val="18"/>
                <w:lang w:val="es-ES_tradnl"/>
              </w:rPr>
              <w:t>5</w:t>
            </w:r>
          </w:p>
        </w:tc>
        <w:tc>
          <w:tcPr>
            <w:tcW w:w="647" w:type="dxa"/>
            <w:tcBorders>
              <w:top w:val="single" w:sz="4" w:space="0" w:color="BFBFBF"/>
              <w:left w:val="nil"/>
              <w:bottom w:val="single" w:sz="4" w:space="0" w:color="BFBFBF"/>
              <w:right w:val="single" w:sz="4" w:space="0" w:color="auto"/>
            </w:tcBorders>
            <w:vAlign w:val="center"/>
          </w:tcPr>
          <w:p w:rsidR="009571FA" w:rsidRDefault="009571FA" w:rsidP="00BC175D">
            <w:pPr>
              <w:spacing w:line="276" w:lineRule="auto"/>
              <w:jc w:val="center"/>
              <w:rPr>
                <w:rFonts w:ascii="Calibri" w:hAnsi="Calibri"/>
                <w:sz w:val="18"/>
                <w:lang w:val="es-ES_tradnl"/>
              </w:rPr>
            </w:pPr>
            <w:r>
              <w:rPr>
                <w:rFonts w:ascii="Calibri" w:hAnsi="Calibri"/>
                <w:sz w:val="18"/>
                <w:lang w:val="es-ES_tradnl"/>
              </w:rPr>
              <w:t>1.9</w:t>
            </w:r>
          </w:p>
        </w:tc>
      </w:tr>
      <w:tr w:rsidR="009571FA" w:rsidTr="00EF6EC8">
        <w:trPr>
          <w:trHeight w:val="284"/>
        </w:trPr>
        <w:tc>
          <w:tcPr>
            <w:tcW w:w="1363" w:type="dxa"/>
            <w:tcBorders>
              <w:top w:val="single" w:sz="4" w:space="0" w:color="BFBFBF"/>
              <w:left w:val="single" w:sz="4" w:space="0" w:color="auto"/>
              <w:bottom w:val="single" w:sz="4" w:space="0" w:color="BFBFBF"/>
              <w:right w:val="single" w:sz="4" w:space="0" w:color="auto"/>
            </w:tcBorders>
            <w:tcMar>
              <w:top w:w="0" w:type="dxa"/>
              <w:left w:w="28" w:type="dxa"/>
              <w:bottom w:w="0" w:type="dxa"/>
              <w:right w:w="28" w:type="dxa"/>
            </w:tcMar>
            <w:vAlign w:val="center"/>
          </w:tcPr>
          <w:p w:rsidR="009571FA" w:rsidRDefault="009571FA" w:rsidP="00415105">
            <w:pPr>
              <w:tabs>
                <w:tab w:val="left" w:pos="253"/>
              </w:tabs>
              <w:spacing w:line="276" w:lineRule="auto"/>
              <w:jc w:val="both"/>
              <w:rPr>
                <w:rFonts w:ascii="Calibri" w:hAnsi="Calibri"/>
                <w:lang w:val="es-ES_tradnl"/>
              </w:rPr>
            </w:pPr>
            <w:r>
              <w:rPr>
                <w:rFonts w:ascii="Calibri" w:hAnsi="Calibri"/>
                <w:lang w:val="es-ES_tradnl"/>
              </w:rPr>
              <w:tab/>
              <w:t>G</w:t>
            </w:r>
          </w:p>
        </w:tc>
        <w:tc>
          <w:tcPr>
            <w:tcW w:w="490" w:type="dxa"/>
            <w:tcBorders>
              <w:top w:val="single" w:sz="4" w:space="0" w:color="BFBFBF"/>
              <w:left w:val="single" w:sz="4" w:space="0" w:color="auto"/>
              <w:bottom w:val="single" w:sz="4" w:space="0" w:color="BFBFBF"/>
              <w:right w:val="single" w:sz="4" w:space="0" w:color="auto"/>
            </w:tcBorders>
            <w:vAlign w:val="center"/>
          </w:tcPr>
          <w:p w:rsidR="009571FA" w:rsidRDefault="009571FA" w:rsidP="00415105">
            <w:pPr>
              <w:tabs>
                <w:tab w:val="left" w:pos="253"/>
              </w:tabs>
              <w:spacing w:line="276" w:lineRule="auto"/>
              <w:jc w:val="both"/>
              <w:rPr>
                <w:rFonts w:ascii="Calibri" w:hAnsi="Calibri"/>
                <w:sz w:val="18"/>
                <w:lang w:val="es-ES_tradnl"/>
              </w:rPr>
            </w:pPr>
            <w:r>
              <w:rPr>
                <w:rFonts w:ascii="Calibri" w:hAnsi="Calibri"/>
                <w:sz w:val="18"/>
                <w:lang w:val="es-ES_tradnl"/>
              </w:rPr>
              <w:t>104</w:t>
            </w:r>
          </w:p>
        </w:tc>
        <w:tc>
          <w:tcPr>
            <w:tcW w:w="610" w:type="dxa"/>
            <w:tcBorders>
              <w:top w:val="single" w:sz="4" w:space="0" w:color="BFBFBF"/>
              <w:left w:val="single" w:sz="4" w:space="0" w:color="auto"/>
              <w:bottom w:val="single" w:sz="4" w:space="0" w:color="BFBFBF"/>
              <w:right w:val="nil"/>
            </w:tcBorders>
            <w:vAlign w:val="center"/>
          </w:tcPr>
          <w:p w:rsidR="009571FA" w:rsidRDefault="009571FA" w:rsidP="00415105">
            <w:pPr>
              <w:tabs>
                <w:tab w:val="left" w:pos="253"/>
              </w:tabs>
              <w:spacing w:line="276" w:lineRule="auto"/>
              <w:jc w:val="both"/>
              <w:rPr>
                <w:rFonts w:ascii="Calibri" w:hAnsi="Calibri"/>
                <w:sz w:val="18"/>
                <w:lang w:val="es-ES_tradnl"/>
              </w:rPr>
            </w:pPr>
            <w:r>
              <w:rPr>
                <w:rFonts w:ascii="Calibri" w:hAnsi="Calibri"/>
                <w:sz w:val="18"/>
                <w:lang w:val="es-ES_tradnl"/>
              </w:rPr>
              <w:t>52</w:t>
            </w:r>
          </w:p>
        </w:tc>
        <w:tc>
          <w:tcPr>
            <w:tcW w:w="636" w:type="dxa"/>
            <w:tcBorders>
              <w:top w:val="single" w:sz="4" w:space="0" w:color="BFBFBF"/>
              <w:left w:val="nil"/>
              <w:bottom w:val="single" w:sz="4" w:space="0" w:color="BFBFBF"/>
              <w:right w:val="nil"/>
            </w:tcBorders>
            <w:vAlign w:val="center"/>
          </w:tcPr>
          <w:p w:rsidR="009571FA" w:rsidRDefault="009571FA" w:rsidP="00415105">
            <w:pPr>
              <w:spacing w:line="276" w:lineRule="auto"/>
              <w:jc w:val="both"/>
              <w:rPr>
                <w:rFonts w:ascii="Calibri" w:hAnsi="Calibri"/>
                <w:sz w:val="18"/>
                <w:lang w:val="es-ES_tradnl"/>
              </w:rPr>
            </w:pPr>
            <w:r>
              <w:rPr>
                <w:rFonts w:ascii="Calibri" w:hAnsi="Calibri"/>
                <w:sz w:val="18"/>
                <w:lang w:val="es-ES_tradnl"/>
              </w:rPr>
              <w:t>50.0</w:t>
            </w:r>
          </w:p>
        </w:tc>
        <w:tc>
          <w:tcPr>
            <w:tcW w:w="611" w:type="dxa"/>
            <w:tcBorders>
              <w:top w:val="single" w:sz="4" w:space="0" w:color="BFBFBF"/>
              <w:left w:val="nil"/>
              <w:bottom w:val="single" w:sz="4" w:space="0" w:color="BFBFBF"/>
              <w:right w:val="nil"/>
            </w:tcBorders>
            <w:vAlign w:val="center"/>
          </w:tcPr>
          <w:p w:rsidR="009571FA" w:rsidRDefault="009571FA" w:rsidP="00415105">
            <w:pPr>
              <w:spacing w:line="276" w:lineRule="auto"/>
              <w:jc w:val="both"/>
              <w:rPr>
                <w:rFonts w:ascii="Calibri" w:hAnsi="Calibri"/>
                <w:sz w:val="18"/>
                <w:lang w:val="es-ES_tradnl"/>
              </w:rPr>
            </w:pPr>
            <w:r>
              <w:rPr>
                <w:rFonts w:ascii="Calibri" w:hAnsi="Calibri"/>
                <w:sz w:val="18"/>
                <w:lang w:val="es-ES_tradnl"/>
              </w:rPr>
              <w:t>40</w:t>
            </w:r>
          </w:p>
        </w:tc>
        <w:tc>
          <w:tcPr>
            <w:tcW w:w="638" w:type="dxa"/>
            <w:gridSpan w:val="2"/>
            <w:tcBorders>
              <w:top w:val="single" w:sz="4" w:space="0" w:color="BFBFBF"/>
              <w:left w:val="nil"/>
              <w:bottom w:val="single" w:sz="4" w:space="0" w:color="BFBFBF"/>
              <w:right w:val="single" w:sz="4" w:space="0" w:color="BFBFBF"/>
            </w:tcBorders>
            <w:vAlign w:val="center"/>
          </w:tcPr>
          <w:p w:rsidR="009571FA" w:rsidRDefault="009571FA" w:rsidP="00415105">
            <w:pPr>
              <w:spacing w:line="276" w:lineRule="auto"/>
              <w:jc w:val="both"/>
              <w:rPr>
                <w:rFonts w:ascii="Calibri" w:hAnsi="Calibri"/>
                <w:sz w:val="18"/>
                <w:lang w:val="es-ES_tradnl"/>
              </w:rPr>
            </w:pPr>
            <w:r>
              <w:rPr>
                <w:rFonts w:ascii="Calibri" w:hAnsi="Calibri"/>
                <w:sz w:val="18"/>
                <w:lang w:val="es-ES_tradnl"/>
              </w:rPr>
              <w:t>38.5</w:t>
            </w:r>
          </w:p>
        </w:tc>
        <w:tc>
          <w:tcPr>
            <w:tcW w:w="610" w:type="dxa"/>
            <w:tcBorders>
              <w:top w:val="single" w:sz="4" w:space="0" w:color="BFBFBF"/>
              <w:left w:val="nil"/>
              <w:bottom w:val="single" w:sz="4" w:space="0" w:color="BFBFBF"/>
              <w:right w:val="single" w:sz="4" w:space="0" w:color="BFBFBF"/>
            </w:tcBorders>
            <w:vAlign w:val="center"/>
          </w:tcPr>
          <w:p w:rsidR="009571FA" w:rsidRDefault="009571FA" w:rsidP="00415105">
            <w:pPr>
              <w:spacing w:line="276" w:lineRule="auto"/>
              <w:jc w:val="both"/>
              <w:rPr>
                <w:rFonts w:ascii="Calibri" w:hAnsi="Calibri"/>
                <w:sz w:val="18"/>
                <w:lang w:val="es-ES_tradnl"/>
              </w:rPr>
            </w:pPr>
            <w:r>
              <w:rPr>
                <w:rFonts w:ascii="Calibri" w:hAnsi="Calibri"/>
                <w:sz w:val="18"/>
                <w:lang w:val="es-ES_tradnl"/>
              </w:rPr>
              <w:t>12</w:t>
            </w:r>
          </w:p>
        </w:tc>
        <w:tc>
          <w:tcPr>
            <w:tcW w:w="650" w:type="dxa"/>
            <w:tcBorders>
              <w:top w:val="single" w:sz="4" w:space="0" w:color="BFBFBF"/>
              <w:left w:val="nil"/>
              <w:bottom w:val="single" w:sz="4" w:space="0" w:color="BFBFBF"/>
              <w:right w:val="single" w:sz="4" w:space="0" w:color="auto"/>
            </w:tcBorders>
            <w:vAlign w:val="center"/>
          </w:tcPr>
          <w:p w:rsidR="009571FA" w:rsidRDefault="009571FA" w:rsidP="00415105">
            <w:pPr>
              <w:spacing w:line="276" w:lineRule="auto"/>
              <w:jc w:val="both"/>
              <w:rPr>
                <w:rFonts w:ascii="Calibri" w:hAnsi="Calibri"/>
                <w:sz w:val="18"/>
                <w:lang w:val="es-ES_tradnl"/>
              </w:rPr>
            </w:pPr>
            <w:r>
              <w:rPr>
                <w:rFonts w:ascii="Calibri" w:hAnsi="Calibri"/>
                <w:sz w:val="18"/>
                <w:lang w:val="es-ES_tradnl"/>
              </w:rPr>
              <w:t>11.5</w:t>
            </w:r>
          </w:p>
        </w:tc>
        <w:tc>
          <w:tcPr>
            <w:tcW w:w="598" w:type="dxa"/>
            <w:tcBorders>
              <w:top w:val="single" w:sz="4" w:space="0" w:color="BFBFBF"/>
              <w:left w:val="single" w:sz="4" w:space="0" w:color="auto"/>
              <w:bottom w:val="single" w:sz="4" w:space="0" w:color="BFBFBF"/>
              <w:right w:val="single" w:sz="4" w:space="0" w:color="BFBFBF"/>
            </w:tcBorders>
            <w:vAlign w:val="center"/>
          </w:tcPr>
          <w:p w:rsidR="009571FA" w:rsidRDefault="009571FA" w:rsidP="00415105">
            <w:pPr>
              <w:spacing w:line="276" w:lineRule="auto"/>
              <w:jc w:val="both"/>
              <w:rPr>
                <w:rFonts w:ascii="Calibri" w:hAnsi="Calibri"/>
                <w:sz w:val="18"/>
                <w:lang w:val="es-ES_tradnl"/>
              </w:rPr>
            </w:pPr>
            <w:r>
              <w:rPr>
                <w:rFonts w:ascii="Calibri" w:hAnsi="Calibri"/>
                <w:sz w:val="18"/>
                <w:lang w:val="es-ES_tradnl"/>
              </w:rPr>
              <w:t>66</w:t>
            </w:r>
          </w:p>
        </w:tc>
        <w:tc>
          <w:tcPr>
            <w:tcW w:w="637" w:type="dxa"/>
            <w:gridSpan w:val="2"/>
            <w:tcBorders>
              <w:top w:val="single" w:sz="4" w:space="0" w:color="BFBFBF"/>
              <w:left w:val="single" w:sz="4" w:space="0" w:color="BFBFBF"/>
              <w:bottom w:val="single" w:sz="4" w:space="0" w:color="BFBFBF"/>
              <w:right w:val="single" w:sz="4" w:space="0" w:color="BFBFBF"/>
            </w:tcBorders>
            <w:vAlign w:val="center"/>
          </w:tcPr>
          <w:p w:rsidR="009571FA" w:rsidRDefault="009571FA" w:rsidP="00415105">
            <w:pPr>
              <w:spacing w:line="276" w:lineRule="auto"/>
              <w:jc w:val="both"/>
              <w:rPr>
                <w:rFonts w:ascii="Calibri" w:hAnsi="Calibri"/>
                <w:sz w:val="18"/>
                <w:lang w:val="es-ES_tradnl"/>
              </w:rPr>
            </w:pPr>
            <w:r>
              <w:rPr>
                <w:rFonts w:ascii="Calibri" w:hAnsi="Calibri"/>
                <w:sz w:val="18"/>
                <w:lang w:val="es-ES_tradnl"/>
              </w:rPr>
              <w:t>63.5</w:t>
            </w:r>
          </w:p>
        </w:tc>
        <w:tc>
          <w:tcPr>
            <w:tcW w:w="611" w:type="dxa"/>
            <w:tcBorders>
              <w:top w:val="single" w:sz="4" w:space="0" w:color="BFBFBF"/>
              <w:left w:val="single" w:sz="4" w:space="0" w:color="BFBFBF"/>
              <w:bottom w:val="single" w:sz="4" w:space="0" w:color="BFBFBF"/>
              <w:right w:val="single" w:sz="4" w:space="0" w:color="BFBFBF"/>
            </w:tcBorders>
            <w:vAlign w:val="center"/>
          </w:tcPr>
          <w:p w:rsidR="009571FA" w:rsidRDefault="009571FA" w:rsidP="00415105">
            <w:pPr>
              <w:spacing w:line="276" w:lineRule="auto"/>
              <w:jc w:val="both"/>
              <w:rPr>
                <w:rFonts w:ascii="Calibri" w:hAnsi="Calibri"/>
                <w:sz w:val="18"/>
                <w:lang w:val="es-ES_tradnl"/>
              </w:rPr>
            </w:pPr>
            <w:r>
              <w:rPr>
                <w:rFonts w:ascii="Calibri" w:hAnsi="Calibri"/>
                <w:sz w:val="18"/>
                <w:lang w:val="es-ES_tradnl"/>
              </w:rPr>
              <w:t>33</w:t>
            </w:r>
          </w:p>
        </w:tc>
        <w:tc>
          <w:tcPr>
            <w:tcW w:w="637" w:type="dxa"/>
            <w:tcBorders>
              <w:top w:val="single" w:sz="4" w:space="0" w:color="BFBFBF"/>
              <w:left w:val="single" w:sz="4" w:space="0" w:color="BFBFBF"/>
              <w:bottom w:val="single" w:sz="4" w:space="0" w:color="BFBFBF"/>
              <w:right w:val="single" w:sz="4" w:space="0" w:color="BFBFBF"/>
            </w:tcBorders>
            <w:vAlign w:val="center"/>
          </w:tcPr>
          <w:p w:rsidR="009571FA" w:rsidRDefault="009571FA" w:rsidP="00415105">
            <w:pPr>
              <w:spacing w:line="276" w:lineRule="auto"/>
              <w:jc w:val="both"/>
              <w:rPr>
                <w:rFonts w:ascii="Calibri" w:hAnsi="Calibri"/>
                <w:sz w:val="18"/>
                <w:lang w:val="es-ES_tradnl"/>
              </w:rPr>
            </w:pPr>
            <w:r>
              <w:rPr>
                <w:rFonts w:ascii="Calibri" w:hAnsi="Calibri"/>
                <w:sz w:val="18"/>
                <w:lang w:val="es-ES_tradnl"/>
              </w:rPr>
              <w:t>31.7</w:t>
            </w:r>
          </w:p>
        </w:tc>
        <w:tc>
          <w:tcPr>
            <w:tcW w:w="560" w:type="dxa"/>
            <w:tcBorders>
              <w:top w:val="single" w:sz="4" w:space="0" w:color="BFBFBF"/>
              <w:left w:val="single" w:sz="4" w:space="0" w:color="BFBFBF"/>
              <w:bottom w:val="single" w:sz="4" w:space="0" w:color="BFBFBF"/>
              <w:right w:val="nil"/>
            </w:tcBorders>
            <w:vAlign w:val="center"/>
          </w:tcPr>
          <w:p w:rsidR="009571FA" w:rsidRDefault="009571FA" w:rsidP="00415105">
            <w:pPr>
              <w:spacing w:line="276" w:lineRule="auto"/>
              <w:jc w:val="both"/>
              <w:rPr>
                <w:rFonts w:ascii="Calibri" w:hAnsi="Calibri"/>
                <w:sz w:val="18"/>
                <w:lang w:val="es-ES_tradnl"/>
              </w:rPr>
            </w:pPr>
            <w:r>
              <w:rPr>
                <w:rFonts w:ascii="Calibri" w:hAnsi="Calibri"/>
                <w:sz w:val="18"/>
                <w:lang w:val="es-ES_tradnl"/>
              </w:rPr>
              <w:t>5</w:t>
            </w:r>
          </w:p>
        </w:tc>
        <w:tc>
          <w:tcPr>
            <w:tcW w:w="647" w:type="dxa"/>
            <w:tcBorders>
              <w:top w:val="single" w:sz="4" w:space="0" w:color="BFBFBF"/>
              <w:left w:val="nil"/>
              <w:bottom w:val="single" w:sz="4" w:space="0" w:color="BFBFBF"/>
              <w:right w:val="single" w:sz="4" w:space="0" w:color="auto"/>
            </w:tcBorders>
            <w:vAlign w:val="center"/>
          </w:tcPr>
          <w:p w:rsidR="009571FA" w:rsidRDefault="009571FA" w:rsidP="00BC175D">
            <w:pPr>
              <w:spacing w:line="276" w:lineRule="auto"/>
              <w:jc w:val="center"/>
              <w:rPr>
                <w:rFonts w:ascii="Calibri" w:hAnsi="Calibri"/>
                <w:sz w:val="18"/>
                <w:lang w:val="es-ES_tradnl"/>
              </w:rPr>
            </w:pPr>
            <w:r>
              <w:rPr>
                <w:rFonts w:ascii="Calibri" w:hAnsi="Calibri"/>
                <w:sz w:val="18"/>
                <w:lang w:val="es-ES_tradnl"/>
              </w:rPr>
              <w:t>4.8</w:t>
            </w:r>
          </w:p>
        </w:tc>
      </w:tr>
      <w:tr w:rsidR="009571FA" w:rsidTr="00EF6EC8">
        <w:trPr>
          <w:trHeight w:val="284"/>
        </w:trPr>
        <w:tc>
          <w:tcPr>
            <w:tcW w:w="1363" w:type="dxa"/>
            <w:tcBorders>
              <w:top w:val="single" w:sz="4" w:space="0" w:color="BFBFBF"/>
              <w:left w:val="single" w:sz="4" w:space="0" w:color="auto"/>
              <w:bottom w:val="single" w:sz="4" w:space="0" w:color="auto"/>
              <w:right w:val="single" w:sz="4" w:space="0" w:color="auto"/>
            </w:tcBorders>
            <w:tcMar>
              <w:top w:w="0" w:type="dxa"/>
              <w:left w:w="28" w:type="dxa"/>
              <w:bottom w:w="0" w:type="dxa"/>
              <w:right w:w="28" w:type="dxa"/>
            </w:tcMar>
            <w:vAlign w:val="center"/>
          </w:tcPr>
          <w:p w:rsidR="009571FA" w:rsidRDefault="009571FA" w:rsidP="00415105">
            <w:pPr>
              <w:tabs>
                <w:tab w:val="left" w:pos="253"/>
              </w:tabs>
              <w:spacing w:line="276" w:lineRule="auto"/>
              <w:jc w:val="both"/>
              <w:rPr>
                <w:rFonts w:ascii="Calibri" w:hAnsi="Calibri"/>
                <w:lang w:val="es-ES_tradnl"/>
              </w:rPr>
            </w:pPr>
            <w:r>
              <w:rPr>
                <w:rFonts w:ascii="Calibri" w:hAnsi="Calibri"/>
                <w:lang w:val="es-ES_tradnl"/>
              </w:rPr>
              <w:tab/>
              <w:t>Other</w:t>
            </w:r>
          </w:p>
        </w:tc>
        <w:tc>
          <w:tcPr>
            <w:tcW w:w="490" w:type="dxa"/>
            <w:tcBorders>
              <w:top w:val="single" w:sz="4" w:space="0" w:color="BFBFBF"/>
              <w:left w:val="single" w:sz="4" w:space="0" w:color="auto"/>
              <w:bottom w:val="single" w:sz="4" w:space="0" w:color="auto"/>
              <w:right w:val="single" w:sz="4" w:space="0" w:color="auto"/>
            </w:tcBorders>
            <w:vAlign w:val="center"/>
          </w:tcPr>
          <w:p w:rsidR="009571FA" w:rsidRDefault="009571FA" w:rsidP="00415105">
            <w:pPr>
              <w:tabs>
                <w:tab w:val="left" w:pos="253"/>
              </w:tabs>
              <w:spacing w:line="276" w:lineRule="auto"/>
              <w:jc w:val="both"/>
              <w:rPr>
                <w:rFonts w:ascii="Calibri" w:hAnsi="Calibri"/>
                <w:sz w:val="18"/>
                <w:lang w:val="es-ES_tradnl"/>
              </w:rPr>
            </w:pPr>
            <w:r>
              <w:rPr>
                <w:rFonts w:ascii="Calibri" w:hAnsi="Calibri"/>
                <w:sz w:val="18"/>
                <w:lang w:val="es-ES_tradnl"/>
              </w:rPr>
              <w:t>14</w:t>
            </w:r>
          </w:p>
        </w:tc>
        <w:tc>
          <w:tcPr>
            <w:tcW w:w="610" w:type="dxa"/>
            <w:tcBorders>
              <w:top w:val="single" w:sz="4" w:space="0" w:color="BFBFBF"/>
              <w:left w:val="single" w:sz="4" w:space="0" w:color="auto"/>
              <w:bottom w:val="single" w:sz="4" w:space="0" w:color="auto"/>
              <w:right w:val="nil"/>
            </w:tcBorders>
            <w:vAlign w:val="center"/>
          </w:tcPr>
          <w:p w:rsidR="009571FA" w:rsidRDefault="009571FA" w:rsidP="00415105">
            <w:pPr>
              <w:spacing w:line="276" w:lineRule="auto"/>
              <w:jc w:val="both"/>
              <w:rPr>
                <w:rFonts w:ascii="Calibri" w:hAnsi="Calibri"/>
                <w:sz w:val="18"/>
                <w:lang w:val="es-ES_tradnl"/>
              </w:rPr>
            </w:pPr>
            <w:r>
              <w:rPr>
                <w:rFonts w:ascii="Calibri" w:hAnsi="Calibri"/>
                <w:sz w:val="18"/>
                <w:lang w:val="es-ES_tradnl"/>
              </w:rPr>
              <w:t>7</w:t>
            </w:r>
          </w:p>
        </w:tc>
        <w:tc>
          <w:tcPr>
            <w:tcW w:w="636" w:type="dxa"/>
            <w:tcBorders>
              <w:top w:val="single" w:sz="4" w:space="0" w:color="BFBFBF"/>
              <w:left w:val="nil"/>
              <w:bottom w:val="single" w:sz="4" w:space="0" w:color="auto"/>
              <w:right w:val="nil"/>
            </w:tcBorders>
            <w:vAlign w:val="center"/>
          </w:tcPr>
          <w:p w:rsidR="009571FA" w:rsidRDefault="009571FA" w:rsidP="00415105">
            <w:pPr>
              <w:spacing w:line="276" w:lineRule="auto"/>
              <w:jc w:val="both"/>
              <w:rPr>
                <w:rFonts w:ascii="Calibri" w:hAnsi="Calibri"/>
                <w:sz w:val="18"/>
                <w:lang w:val="es-ES_tradnl"/>
              </w:rPr>
            </w:pPr>
            <w:r>
              <w:rPr>
                <w:rFonts w:ascii="Calibri" w:hAnsi="Calibri"/>
                <w:sz w:val="18"/>
                <w:lang w:val="es-ES_tradnl"/>
              </w:rPr>
              <w:t>50.0</w:t>
            </w:r>
          </w:p>
        </w:tc>
        <w:tc>
          <w:tcPr>
            <w:tcW w:w="611" w:type="dxa"/>
            <w:tcBorders>
              <w:top w:val="single" w:sz="4" w:space="0" w:color="BFBFBF"/>
              <w:left w:val="nil"/>
              <w:bottom w:val="single" w:sz="4" w:space="0" w:color="auto"/>
              <w:right w:val="nil"/>
            </w:tcBorders>
            <w:vAlign w:val="center"/>
          </w:tcPr>
          <w:p w:rsidR="009571FA" w:rsidRDefault="009571FA" w:rsidP="00415105">
            <w:pPr>
              <w:spacing w:line="276" w:lineRule="auto"/>
              <w:jc w:val="both"/>
              <w:rPr>
                <w:rFonts w:ascii="Calibri" w:hAnsi="Calibri"/>
                <w:sz w:val="18"/>
                <w:lang w:val="es-ES_tradnl"/>
              </w:rPr>
            </w:pPr>
            <w:r>
              <w:rPr>
                <w:rFonts w:ascii="Calibri" w:hAnsi="Calibri"/>
                <w:sz w:val="18"/>
                <w:lang w:val="es-ES_tradnl"/>
              </w:rPr>
              <w:t>7</w:t>
            </w:r>
          </w:p>
        </w:tc>
        <w:tc>
          <w:tcPr>
            <w:tcW w:w="638" w:type="dxa"/>
            <w:gridSpan w:val="2"/>
            <w:tcBorders>
              <w:top w:val="single" w:sz="4" w:space="0" w:color="BFBFBF"/>
              <w:left w:val="nil"/>
              <w:bottom w:val="single" w:sz="4" w:space="0" w:color="auto"/>
              <w:right w:val="single" w:sz="4" w:space="0" w:color="BFBFBF"/>
            </w:tcBorders>
            <w:vAlign w:val="center"/>
          </w:tcPr>
          <w:p w:rsidR="009571FA" w:rsidRDefault="009571FA" w:rsidP="00415105">
            <w:pPr>
              <w:spacing w:line="276" w:lineRule="auto"/>
              <w:jc w:val="both"/>
              <w:rPr>
                <w:rFonts w:ascii="Calibri" w:hAnsi="Calibri"/>
                <w:sz w:val="18"/>
                <w:lang w:val="es-ES_tradnl"/>
              </w:rPr>
            </w:pPr>
            <w:r>
              <w:rPr>
                <w:rFonts w:ascii="Calibri" w:hAnsi="Calibri"/>
                <w:sz w:val="18"/>
                <w:lang w:val="es-ES_tradnl"/>
              </w:rPr>
              <w:t>50.0</w:t>
            </w:r>
          </w:p>
        </w:tc>
        <w:tc>
          <w:tcPr>
            <w:tcW w:w="610" w:type="dxa"/>
            <w:tcBorders>
              <w:top w:val="single" w:sz="4" w:space="0" w:color="BFBFBF"/>
              <w:left w:val="nil"/>
              <w:bottom w:val="single" w:sz="4" w:space="0" w:color="auto"/>
              <w:right w:val="single" w:sz="4" w:space="0" w:color="BFBFBF"/>
            </w:tcBorders>
            <w:vAlign w:val="center"/>
          </w:tcPr>
          <w:p w:rsidR="009571FA" w:rsidRDefault="009571FA" w:rsidP="00415105">
            <w:pPr>
              <w:spacing w:line="276" w:lineRule="auto"/>
              <w:jc w:val="both"/>
              <w:rPr>
                <w:rFonts w:ascii="Calibri" w:hAnsi="Calibri"/>
                <w:sz w:val="18"/>
                <w:lang w:val="es-ES_tradnl"/>
              </w:rPr>
            </w:pPr>
            <w:r>
              <w:rPr>
                <w:rFonts w:ascii="Calibri" w:hAnsi="Calibri"/>
                <w:sz w:val="18"/>
                <w:lang w:val="es-ES_tradnl"/>
              </w:rPr>
              <w:t>0</w:t>
            </w:r>
          </w:p>
        </w:tc>
        <w:tc>
          <w:tcPr>
            <w:tcW w:w="650" w:type="dxa"/>
            <w:tcBorders>
              <w:top w:val="single" w:sz="4" w:space="0" w:color="BFBFBF"/>
              <w:left w:val="nil"/>
              <w:bottom w:val="single" w:sz="4" w:space="0" w:color="auto"/>
              <w:right w:val="single" w:sz="4" w:space="0" w:color="auto"/>
            </w:tcBorders>
            <w:vAlign w:val="center"/>
          </w:tcPr>
          <w:p w:rsidR="009571FA" w:rsidRDefault="009571FA" w:rsidP="00415105">
            <w:pPr>
              <w:spacing w:line="276" w:lineRule="auto"/>
              <w:jc w:val="both"/>
              <w:rPr>
                <w:rFonts w:ascii="Calibri" w:hAnsi="Calibri"/>
                <w:sz w:val="18"/>
                <w:lang w:val="es-ES_tradnl"/>
              </w:rPr>
            </w:pPr>
            <w:r>
              <w:rPr>
                <w:rFonts w:ascii="Calibri" w:hAnsi="Calibri"/>
                <w:sz w:val="18"/>
                <w:lang w:val="es-ES_tradnl"/>
              </w:rPr>
              <w:t>0.0</w:t>
            </w:r>
          </w:p>
        </w:tc>
        <w:tc>
          <w:tcPr>
            <w:tcW w:w="598" w:type="dxa"/>
            <w:tcBorders>
              <w:top w:val="single" w:sz="4" w:space="0" w:color="BFBFBF"/>
              <w:left w:val="single" w:sz="4" w:space="0" w:color="auto"/>
              <w:bottom w:val="single" w:sz="4" w:space="0" w:color="auto"/>
              <w:right w:val="single" w:sz="4" w:space="0" w:color="BFBFBF"/>
            </w:tcBorders>
            <w:vAlign w:val="center"/>
          </w:tcPr>
          <w:p w:rsidR="009571FA" w:rsidRDefault="009571FA" w:rsidP="00415105">
            <w:pPr>
              <w:spacing w:line="276" w:lineRule="auto"/>
              <w:jc w:val="both"/>
              <w:rPr>
                <w:rFonts w:ascii="Calibri" w:hAnsi="Calibri"/>
                <w:sz w:val="18"/>
                <w:lang w:val="es-ES_tradnl"/>
              </w:rPr>
            </w:pPr>
            <w:r>
              <w:rPr>
                <w:rFonts w:ascii="Calibri" w:hAnsi="Calibri"/>
                <w:sz w:val="18"/>
                <w:lang w:val="es-ES_tradnl"/>
              </w:rPr>
              <w:t>5</w:t>
            </w:r>
          </w:p>
        </w:tc>
        <w:tc>
          <w:tcPr>
            <w:tcW w:w="637" w:type="dxa"/>
            <w:gridSpan w:val="2"/>
            <w:tcBorders>
              <w:top w:val="single" w:sz="4" w:space="0" w:color="BFBFBF"/>
              <w:left w:val="single" w:sz="4" w:space="0" w:color="BFBFBF"/>
              <w:bottom w:val="single" w:sz="4" w:space="0" w:color="auto"/>
              <w:right w:val="single" w:sz="4" w:space="0" w:color="BFBFBF"/>
            </w:tcBorders>
            <w:vAlign w:val="center"/>
          </w:tcPr>
          <w:p w:rsidR="009571FA" w:rsidRDefault="009571FA" w:rsidP="00415105">
            <w:pPr>
              <w:spacing w:line="276" w:lineRule="auto"/>
              <w:jc w:val="both"/>
              <w:rPr>
                <w:rFonts w:ascii="Calibri" w:hAnsi="Calibri"/>
                <w:sz w:val="18"/>
                <w:lang w:val="es-ES_tradnl"/>
              </w:rPr>
            </w:pPr>
            <w:r>
              <w:rPr>
                <w:rFonts w:ascii="Calibri" w:hAnsi="Calibri"/>
                <w:sz w:val="18"/>
                <w:lang w:val="es-ES_tradnl"/>
              </w:rPr>
              <w:t>35.7</w:t>
            </w:r>
          </w:p>
        </w:tc>
        <w:tc>
          <w:tcPr>
            <w:tcW w:w="611" w:type="dxa"/>
            <w:tcBorders>
              <w:top w:val="single" w:sz="4" w:space="0" w:color="BFBFBF"/>
              <w:left w:val="single" w:sz="4" w:space="0" w:color="BFBFBF"/>
              <w:bottom w:val="single" w:sz="4" w:space="0" w:color="auto"/>
              <w:right w:val="single" w:sz="4" w:space="0" w:color="BFBFBF"/>
            </w:tcBorders>
            <w:vAlign w:val="center"/>
          </w:tcPr>
          <w:p w:rsidR="009571FA" w:rsidRDefault="009571FA" w:rsidP="00415105">
            <w:pPr>
              <w:spacing w:line="276" w:lineRule="auto"/>
              <w:jc w:val="both"/>
              <w:rPr>
                <w:rFonts w:ascii="Calibri" w:hAnsi="Calibri"/>
                <w:sz w:val="18"/>
                <w:lang w:val="es-ES_tradnl"/>
              </w:rPr>
            </w:pPr>
            <w:r>
              <w:rPr>
                <w:rFonts w:ascii="Calibri" w:hAnsi="Calibri"/>
                <w:sz w:val="18"/>
                <w:lang w:val="es-ES_tradnl"/>
              </w:rPr>
              <w:t>9</w:t>
            </w:r>
          </w:p>
        </w:tc>
        <w:tc>
          <w:tcPr>
            <w:tcW w:w="637" w:type="dxa"/>
            <w:tcBorders>
              <w:top w:val="single" w:sz="4" w:space="0" w:color="BFBFBF"/>
              <w:left w:val="single" w:sz="4" w:space="0" w:color="BFBFBF"/>
              <w:bottom w:val="single" w:sz="4" w:space="0" w:color="auto"/>
              <w:right w:val="single" w:sz="4" w:space="0" w:color="BFBFBF"/>
            </w:tcBorders>
            <w:vAlign w:val="center"/>
          </w:tcPr>
          <w:p w:rsidR="009571FA" w:rsidRDefault="009571FA" w:rsidP="00415105">
            <w:pPr>
              <w:spacing w:line="276" w:lineRule="auto"/>
              <w:jc w:val="both"/>
              <w:rPr>
                <w:rFonts w:ascii="Calibri" w:hAnsi="Calibri"/>
                <w:sz w:val="18"/>
                <w:lang w:val="es-ES_tradnl"/>
              </w:rPr>
            </w:pPr>
            <w:r>
              <w:rPr>
                <w:rFonts w:ascii="Calibri" w:hAnsi="Calibri"/>
                <w:sz w:val="18"/>
                <w:lang w:val="es-ES_tradnl"/>
              </w:rPr>
              <w:t>64.3</w:t>
            </w:r>
          </w:p>
        </w:tc>
        <w:tc>
          <w:tcPr>
            <w:tcW w:w="560" w:type="dxa"/>
            <w:tcBorders>
              <w:top w:val="single" w:sz="4" w:space="0" w:color="BFBFBF"/>
              <w:left w:val="single" w:sz="4" w:space="0" w:color="BFBFBF"/>
              <w:bottom w:val="single" w:sz="4" w:space="0" w:color="auto"/>
              <w:right w:val="nil"/>
            </w:tcBorders>
            <w:vAlign w:val="center"/>
          </w:tcPr>
          <w:p w:rsidR="009571FA" w:rsidRDefault="009571FA" w:rsidP="00415105">
            <w:pPr>
              <w:spacing w:line="276" w:lineRule="auto"/>
              <w:jc w:val="both"/>
              <w:rPr>
                <w:rFonts w:ascii="Calibri" w:hAnsi="Calibri"/>
                <w:sz w:val="18"/>
                <w:lang w:val="es-ES_tradnl"/>
              </w:rPr>
            </w:pPr>
            <w:r>
              <w:rPr>
                <w:rFonts w:ascii="Calibri" w:hAnsi="Calibri"/>
                <w:sz w:val="18"/>
                <w:lang w:val="es-ES_tradnl"/>
              </w:rPr>
              <w:t>0</w:t>
            </w:r>
          </w:p>
        </w:tc>
        <w:tc>
          <w:tcPr>
            <w:tcW w:w="647" w:type="dxa"/>
            <w:tcBorders>
              <w:top w:val="single" w:sz="4" w:space="0" w:color="BFBFBF"/>
              <w:left w:val="nil"/>
              <w:bottom w:val="single" w:sz="4" w:space="0" w:color="auto"/>
              <w:right w:val="single" w:sz="4" w:space="0" w:color="auto"/>
            </w:tcBorders>
            <w:vAlign w:val="center"/>
          </w:tcPr>
          <w:p w:rsidR="009571FA" w:rsidRDefault="009571FA" w:rsidP="00BC175D">
            <w:pPr>
              <w:spacing w:line="276" w:lineRule="auto"/>
              <w:jc w:val="center"/>
              <w:rPr>
                <w:rFonts w:ascii="Calibri" w:hAnsi="Calibri"/>
                <w:sz w:val="18"/>
                <w:lang w:val="es-ES_tradnl"/>
              </w:rPr>
            </w:pPr>
            <w:r>
              <w:rPr>
                <w:rFonts w:ascii="Calibri" w:hAnsi="Calibri"/>
                <w:sz w:val="18"/>
                <w:lang w:val="es-ES_tradnl"/>
              </w:rPr>
              <w:t>0.0</w:t>
            </w:r>
          </w:p>
        </w:tc>
      </w:tr>
      <w:tr w:rsidR="009571FA" w:rsidTr="00BC175D">
        <w:trPr>
          <w:trHeight w:val="284"/>
        </w:trPr>
        <w:tc>
          <w:tcPr>
            <w:tcW w:w="1363"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9571FA" w:rsidRDefault="009571FA" w:rsidP="00415105">
            <w:pPr>
              <w:tabs>
                <w:tab w:val="left" w:pos="253"/>
              </w:tabs>
              <w:spacing w:line="276" w:lineRule="auto"/>
              <w:jc w:val="both"/>
              <w:rPr>
                <w:rFonts w:ascii="Calibri" w:hAnsi="Calibri"/>
                <w:lang w:val="es-ES_tradnl"/>
              </w:rPr>
            </w:pPr>
            <w:r>
              <w:rPr>
                <w:rFonts w:ascii="Calibri" w:hAnsi="Calibri"/>
                <w:lang w:val="es-ES_tradnl"/>
              </w:rPr>
              <w:t>p-value</w:t>
            </w:r>
          </w:p>
        </w:tc>
        <w:tc>
          <w:tcPr>
            <w:tcW w:w="490" w:type="dxa"/>
            <w:tcBorders>
              <w:top w:val="nil"/>
              <w:left w:val="single" w:sz="4" w:space="0" w:color="auto"/>
              <w:bottom w:val="single" w:sz="4" w:space="0" w:color="auto"/>
              <w:right w:val="single" w:sz="4" w:space="0" w:color="auto"/>
            </w:tcBorders>
            <w:vAlign w:val="center"/>
          </w:tcPr>
          <w:p w:rsidR="009571FA" w:rsidRDefault="009571FA" w:rsidP="00415105">
            <w:pPr>
              <w:tabs>
                <w:tab w:val="left" w:pos="253"/>
              </w:tabs>
              <w:spacing w:line="276" w:lineRule="auto"/>
              <w:jc w:val="both"/>
              <w:rPr>
                <w:rFonts w:ascii="Calibri" w:hAnsi="Calibri"/>
                <w:sz w:val="18"/>
                <w:lang w:val="es-ES_tradnl"/>
              </w:rPr>
            </w:pPr>
          </w:p>
        </w:tc>
        <w:tc>
          <w:tcPr>
            <w:tcW w:w="3755" w:type="dxa"/>
            <w:gridSpan w:val="7"/>
            <w:tcBorders>
              <w:top w:val="nil"/>
              <w:left w:val="single" w:sz="4" w:space="0" w:color="auto"/>
              <w:bottom w:val="single" w:sz="4" w:space="0" w:color="auto"/>
              <w:right w:val="single" w:sz="4" w:space="0" w:color="auto"/>
            </w:tcBorders>
            <w:vAlign w:val="center"/>
          </w:tcPr>
          <w:p w:rsidR="009571FA" w:rsidRDefault="009571FA" w:rsidP="00415105">
            <w:pPr>
              <w:spacing w:line="276" w:lineRule="auto"/>
              <w:jc w:val="both"/>
              <w:rPr>
                <w:rFonts w:ascii="Calibri" w:hAnsi="Calibri"/>
                <w:sz w:val="18"/>
                <w:lang w:val="es-ES_tradnl"/>
              </w:rPr>
            </w:pPr>
            <w:r>
              <w:rPr>
                <w:rFonts w:ascii="Calibri" w:hAnsi="Calibri"/>
                <w:sz w:val="18"/>
                <w:lang w:val="es-ES_tradnl"/>
              </w:rPr>
              <w:t xml:space="preserve"> 0.0001</w:t>
            </w:r>
          </w:p>
        </w:tc>
        <w:tc>
          <w:tcPr>
            <w:tcW w:w="3690" w:type="dxa"/>
            <w:gridSpan w:val="7"/>
            <w:tcBorders>
              <w:top w:val="nil"/>
              <w:left w:val="single" w:sz="4" w:space="0" w:color="auto"/>
              <w:bottom w:val="single" w:sz="4" w:space="0" w:color="auto"/>
              <w:right w:val="single" w:sz="4" w:space="0" w:color="auto"/>
            </w:tcBorders>
            <w:vAlign w:val="center"/>
          </w:tcPr>
          <w:p w:rsidR="009571FA" w:rsidRDefault="009571FA" w:rsidP="00415105">
            <w:pPr>
              <w:spacing w:line="276" w:lineRule="auto"/>
              <w:jc w:val="both"/>
              <w:rPr>
                <w:rFonts w:ascii="Calibri" w:hAnsi="Calibri"/>
                <w:sz w:val="18"/>
                <w:lang w:val="es-ES_tradnl"/>
              </w:rPr>
            </w:pPr>
            <w:r>
              <w:rPr>
                <w:rFonts w:ascii="Calibri" w:hAnsi="Calibri"/>
                <w:sz w:val="18"/>
                <w:lang w:val="es-ES_tradnl"/>
              </w:rPr>
              <w:t>0.0001</w:t>
            </w:r>
          </w:p>
        </w:tc>
      </w:tr>
    </w:tbl>
    <w:p w:rsidR="009571FA" w:rsidRDefault="009571FA" w:rsidP="00415105">
      <w:pPr>
        <w:pStyle w:val="ListParagraph"/>
        <w:ind w:left="180" w:hanging="180"/>
        <w:rPr>
          <w:sz w:val="22"/>
        </w:rPr>
      </w:pPr>
      <w:r>
        <w:rPr>
          <w:b/>
          <w:sz w:val="22"/>
        </w:rPr>
        <w:t xml:space="preserve">     </w:t>
      </w:r>
      <w:r w:rsidRPr="00E9113B">
        <w:rPr>
          <w:b/>
          <w:sz w:val="22"/>
        </w:rPr>
        <w:t>Table 4</w:t>
      </w:r>
      <w:r>
        <w:rPr>
          <w:sz w:val="22"/>
        </w:rPr>
        <w:t xml:space="preserve">.  Percentage of WHO/PAHO staff members who reported that gender was relevant   </w:t>
      </w:r>
    </w:p>
    <w:p w:rsidR="009571FA" w:rsidRDefault="009571FA" w:rsidP="00415105">
      <w:pPr>
        <w:pStyle w:val="ListParagraph"/>
        <w:ind w:left="180" w:hanging="180"/>
        <w:rPr>
          <w:sz w:val="22"/>
        </w:rPr>
      </w:pPr>
      <w:r>
        <w:rPr>
          <w:b/>
          <w:sz w:val="22"/>
        </w:rPr>
        <w:t xml:space="preserve">     </w:t>
      </w:r>
      <w:r>
        <w:rPr>
          <w:sz w:val="22"/>
        </w:rPr>
        <w:t>to</w:t>
      </w:r>
      <w:r>
        <w:rPr>
          <w:b/>
          <w:sz w:val="22"/>
        </w:rPr>
        <w:t xml:space="preserve"> </w:t>
      </w:r>
      <w:r>
        <w:rPr>
          <w:sz w:val="22"/>
        </w:rPr>
        <w:t>the work of their offices and to their own individual work, by sex and grade. 2008.</w:t>
      </w:r>
    </w:p>
    <w:p w:rsidR="009571FA" w:rsidRPr="00D26585" w:rsidRDefault="009571FA" w:rsidP="00E9113B">
      <w:pPr>
        <w:pStyle w:val="ListParagraph"/>
        <w:ind w:left="180" w:hanging="180"/>
        <w:rPr>
          <w:sz w:val="8"/>
        </w:rPr>
      </w:pPr>
    </w:p>
    <w:p w:rsidR="009571FA" w:rsidRDefault="009571FA" w:rsidP="00951E57">
      <w:pPr>
        <w:pStyle w:val="ListParagraph"/>
        <w:ind w:left="0"/>
        <w:jc w:val="both"/>
        <w:rPr>
          <w:sz w:val="12"/>
        </w:rPr>
      </w:pPr>
    </w:p>
    <w:p w:rsidR="00905D38" w:rsidRPr="00B722EC" w:rsidRDefault="00905D38" w:rsidP="00951E57">
      <w:pPr>
        <w:pStyle w:val="ListParagraph"/>
        <w:ind w:left="0"/>
        <w:jc w:val="both"/>
        <w:rPr>
          <w:sz w:val="12"/>
        </w:rPr>
      </w:pPr>
    </w:p>
    <w:p w:rsidR="009571FA" w:rsidRPr="00951E57" w:rsidRDefault="009571FA" w:rsidP="00581596">
      <w:pPr>
        <w:pStyle w:val="ListParagraph"/>
        <w:numPr>
          <w:ilvl w:val="0"/>
          <w:numId w:val="1"/>
        </w:numPr>
        <w:rPr>
          <w:b/>
          <w:sz w:val="22"/>
        </w:rPr>
      </w:pPr>
      <w:r>
        <w:rPr>
          <w:i/>
          <w:sz w:val="22"/>
        </w:rPr>
        <w:t>D</w:t>
      </w:r>
      <w:r w:rsidRPr="003C29E8">
        <w:rPr>
          <w:i/>
          <w:sz w:val="22"/>
        </w:rPr>
        <w:t>ifferentials</w:t>
      </w:r>
      <w:r>
        <w:rPr>
          <w:i/>
          <w:sz w:val="22"/>
        </w:rPr>
        <w:t xml:space="preserve"> by WHO Region</w:t>
      </w:r>
    </w:p>
    <w:p w:rsidR="009571FA" w:rsidRPr="00635770" w:rsidRDefault="009571FA" w:rsidP="00951E57">
      <w:pPr>
        <w:pStyle w:val="ListParagraph"/>
        <w:ind w:left="0"/>
        <w:rPr>
          <w:sz w:val="8"/>
        </w:rPr>
      </w:pPr>
    </w:p>
    <w:p w:rsidR="009571FA" w:rsidRDefault="009571FA" w:rsidP="00951E57">
      <w:pPr>
        <w:pStyle w:val="ListParagraph"/>
        <w:ind w:left="0"/>
        <w:jc w:val="both"/>
        <w:rPr>
          <w:b/>
          <w:sz w:val="22"/>
        </w:rPr>
      </w:pPr>
      <w:r w:rsidRPr="00D8519A">
        <w:rPr>
          <w:sz w:val="22"/>
        </w:rPr>
        <w:t>The proportion</w:t>
      </w:r>
      <w:r>
        <w:rPr>
          <w:sz w:val="22"/>
        </w:rPr>
        <w:t>s</w:t>
      </w:r>
      <w:r w:rsidRPr="00D8519A">
        <w:rPr>
          <w:sz w:val="22"/>
        </w:rPr>
        <w:t xml:space="preserve"> of PAHO staff reporting that gender was relevant to </w:t>
      </w:r>
      <w:r>
        <w:rPr>
          <w:sz w:val="22"/>
        </w:rPr>
        <w:t xml:space="preserve">both </w:t>
      </w:r>
      <w:r w:rsidRPr="00D8519A">
        <w:rPr>
          <w:sz w:val="22"/>
        </w:rPr>
        <w:t xml:space="preserve">the </w:t>
      </w:r>
      <w:r>
        <w:rPr>
          <w:sz w:val="22"/>
        </w:rPr>
        <w:t xml:space="preserve">collective </w:t>
      </w:r>
      <w:r w:rsidRPr="00D8519A">
        <w:rPr>
          <w:sz w:val="22"/>
        </w:rPr>
        <w:t xml:space="preserve">work </w:t>
      </w:r>
      <w:r>
        <w:rPr>
          <w:sz w:val="22"/>
        </w:rPr>
        <w:t xml:space="preserve">of their offices (67%) and to their own individual work (65%) </w:t>
      </w:r>
      <w:r w:rsidRPr="00D8519A">
        <w:rPr>
          <w:sz w:val="22"/>
        </w:rPr>
        <w:t>w</w:t>
      </w:r>
      <w:r>
        <w:rPr>
          <w:sz w:val="22"/>
        </w:rPr>
        <w:t>ere</w:t>
      </w:r>
      <w:r w:rsidRPr="00D8519A">
        <w:rPr>
          <w:sz w:val="22"/>
        </w:rPr>
        <w:t xml:space="preserve"> higher than the </w:t>
      </w:r>
      <w:r>
        <w:rPr>
          <w:sz w:val="22"/>
        </w:rPr>
        <w:t xml:space="preserve">respective  </w:t>
      </w:r>
      <w:r w:rsidRPr="00D8519A">
        <w:rPr>
          <w:sz w:val="22"/>
        </w:rPr>
        <w:t>average</w:t>
      </w:r>
      <w:r>
        <w:rPr>
          <w:sz w:val="22"/>
        </w:rPr>
        <w:t>s for all of WHO (64 and 60%)</w:t>
      </w:r>
      <w:r w:rsidRPr="00D8519A">
        <w:rPr>
          <w:sz w:val="22"/>
        </w:rPr>
        <w:t>. Compared to individual regions</w:t>
      </w:r>
      <w:r w:rsidR="00E06B4C">
        <w:rPr>
          <w:sz w:val="22"/>
        </w:rPr>
        <w:t xml:space="preserve"> and WHO/HQ</w:t>
      </w:r>
      <w:r w:rsidRPr="00D8519A">
        <w:rPr>
          <w:sz w:val="22"/>
        </w:rPr>
        <w:t xml:space="preserve">, PAHO ranked second on both dimensions of work relevance, but the </w:t>
      </w:r>
      <w:r>
        <w:rPr>
          <w:sz w:val="22"/>
        </w:rPr>
        <w:t xml:space="preserve">regional </w:t>
      </w:r>
      <w:r w:rsidRPr="00D8519A">
        <w:rPr>
          <w:sz w:val="22"/>
        </w:rPr>
        <w:t>difference</w:t>
      </w:r>
      <w:r>
        <w:rPr>
          <w:sz w:val="22"/>
        </w:rPr>
        <w:t xml:space="preserve">s were </w:t>
      </w:r>
      <w:r w:rsidRPr="00D8519A">
        <w:rPr>
          <w:sz w:val="22"/>
        </w:rPr>
        <w:t xml:space="preserve">statistically significant </w:t>
      </w:r>
      <w:r>
        <w:rPr>
          <w:sz w:val="22"/>
        </w:rPr>
        <w:t xml:space="preserve">(at the 0.0005) </w:t>
      </w:r>
      <w:r w:rsidRPr="00D8519A">
        <w:rPr>
          <w:sz w:val="22"/>
        </w:rPr>
        <w:t xml:space="preserve">only for the category </w:t>
      </w:r>
      <w:r>
        <w:rPr>
          <w:sz w:val="22"/>
        </w:rPr>
        <w:t>of individual</w:t>
      </w:r>
      <w:r w:rsidRPr="00D8519A">
        <w:rPr>
          <w:sz w:val="22"/>
        </w:rPr>
        <w:t xml:space="preserve"> own work (</w:t>
      </w:r>
      <w:r>
        <w:rPr>
          <w:sz w:val="22"/>
        </w:rPr>
        <w:t xml:space="preserve">See </w:t>
      </w:r>
      <w:r w:rsidRPr="00D8519A">
        <w:rPr>
          <w:sz w:val="22"/>
        </w:rPr>
        <w:t xml:space="preserve">Appendix 1).  </w:t>
      </w:r>
    </w:p>
    <w:p w:rsidR="009571FA" w:rsidRPr="00B722EC" w:rsidRDefault="009571FA" w:rsidP="00014713">
      <w:pPr>
        <w:shd w:val="clear" w:color="auto" w:fill="FFFFFF"/>
        <w:jc w:val="both"/>
        <w:rPr>
          <w:b/>
          <w:sz w:val="4"/>
        </w:rPr>
      </w:pPr>
    </w:p>
    <w:p w:rsidR="007C65A5" w:rsidRDefault="007C65A5" w:rsidP="00014713">
      <w:pPr>
        <w:shd w:val="clear" w:color="auto" w:fill="FFFFFF"/>
        <w:jc w:val="both"/>
        <w:rPr>
          <w:b/>
          <w:sz w:val="24"/>
        </w:rPr>
      </w:pPr>
      <w:r>
        <w:rPr>
          <w:b/>
          <w:sz w:val="24"/>
        </w:rPr>
        <w:t xml:space="preserve"> </w:t>
      </w:r>
    </w:p>
    <w:p w:rsidR="009571FA" w:rsidRPr="000A3172" w:rsidRDefault="009571FA" w:rsidP="00014713">
      <w:pPr>
        <w:shd w:val="clear" w:color="auto" w:fill="FFFFFF"/>
        <w:jc w:val="both"/>
        <w:rPr>
          <w:sz w:val="22"/>
        </w:rPr>
      </w:pPr>
      <w:r>
        <w:rPr>
          <w:b/>
          <w:sz w:val="24"/>
        </w:rPr>
        <w:t xml:space="preserve">2.   </w:t>
      </w:r>
      <w:r w:rsidRPr="0073360A">
        <w:rPr>
          <w:b/>
          <w:sz w:val="24"/>
        </w:rPr>
        <w:t xml:space="preserve">Application of gender skills to </w:t>
      </w:r>
      <w:r>
        <w:rPr>
          <w:b/>
          <w:sz w:val="24"/>
        </w:rPr>
        <w:t xml:space="preserve">PAHO’s </w:t>
      </w:r>
      <w:r w:rsidRPr="0073360A">
        <w:rPr>
          <w:b/>
          <w:sz w:val="24"/>
        </w:rPr>
        <w:t>work</w:t>
      </w:r>
    </w:p>
    <w:p w:rsidR="009571FA" w:rsidRPr="00635770" w:rsidRDefault="009571FA" w:rsidP="00415105">
      <w:pPr>
        <w:shd w:val="clear" w:color="auto" w:fill="FFFFFF"/>
        <w:jc w:val="both"/>
        <w:rPr>
          <w:sz w:val="12"/>
        </w:rPr>
      </w:pPr>
    </w:p>
    <w:p w:rsidR="009571FA" w:rsidRDefault="009571FA" w:rsidP="00415105">
      <w:pPr>
        <w:jc w:val="both"/>
        <w:rPr>
          <w:sz w:val="22"/>
        </w:rPr>
      </w:pPr>
      <w:r w:rsidRPr="00D8519A">
        <w:rPr>
          <w:sz w:val="22"/>
        </w:rPr>
        <w:t>Th</w:t>
      </w:r>
      <w:r>
        <w:rPr>
          <w:sz w:val="22"/>
        </w:rPr>
        <w:t xml:space="preserve">e level of application of gender skills was </w:t>
      </w:r>
      <w:r w:rsidRPr="00D8519A">
        <w:rPr>
          <w:sz w:val="22"/>
        </w:rPr>
        <w:t xml:space="preserve">measured on a scale </w:t>
      </w:r>
      <w:r>
        <w:rPr>
          <w:sz w:val="22"/>
        </w:rPr>
        <w:t xml:space="preserve">from </w:t>
      </w:r>
      <w:r w:rsidRPr="00231487">
        <w:rPr>
          <w:i/>
          <w:sz w:val="22"/>
        </w:rPr>
        <w:t>none, some, moderate</w:t>
      </w:r>
      <w:r>
        <w:rPr>
          <w:sz w:val="22"/>
        </w:rPr>
        <w:t>,</w:t>
      </w:r>
      <w:r w:rsidRPr="00D8519A">
        <w:rPr>
          <w:sz w:val="22"/>
        </w:rPr>
        <w:t xml:space="preserve"> </w:t>
      </w:r>
      <w:r>
        <w:rPr>
          <w:sz w:val="22"/>
        </w:rPr>
        <w:t xml:space="preserve">to </w:t>
      </w:r>
      <w:r w:rsidRPr="00231487">
        <w:rPr>
          <w:i/>
          <w:sz w:val="22"/>
        </w:rPr>
        <w:t>strong</w:t>
      </w:r>
      <w:r>
        <w:rPr>
          <w:sz w:val="22"/>
        </w:rPr>
        <w:t xml:space="preserve"> application.  </w:t>
      </w:r>
      <w:r w:rsidRPr="00D8519A">
        <w:rPr>
          <w:sz w:val="22"/>
        </w:rPr>
        <w:t xml:space="preserve">The </w:t>
      </w:r>
      <w:r>
        <w:rPr>
          <w:sz w:val="22"/>
        </w:rPr>
        <w:t xml:space="preserve">proportion of </w:t>
      </w:r>
      <w:r w:rsidRPr="001B7539">
        <w:rPr>
          <w:sz w:val="22"/>
        </w:rPr>
        <w:t xml:space="preserve">PAHO staff </w:t>
      </w:r>
      <w:r w:rsidRPr="003947AA">
        <w:rPr>
          <w:b/>
          <w:bCs/>
          <w:i/>
          <w:sz w:val="22"/>
        </w:rPr>
        <w:t>at least</w:t>
      </w:r>
      <w:r w:rsidRPr="00902FCB">
        <w:rPr>
          <w:b/>
          <w:bCs/>
          <w:sz w:val="22"/>
        </w:rPr>
        <w:t xml:space="preserve"> </w:t>
      </w:r>
      <w:r w:rsidRPr="00F15F76">
        <w:rPr>
          <w:b/>
          <w:bCs/>
          <w:i/>
          <w:sz w:val="22"/>
        </w:rPr>
        <w:t>moderately</w:t>
      </w:r>
      <w:r w:rsidRPr="00F15F76">
        <w:rPr>
          <w:b/>
          <w:i/>
          <w:sz w:val="22"/>
        </w:rPr>
        <w:t xml:space="preserve"> applying</w:t>
      </w:r>
      <w:r>
        <w:rPr>
          <w:b/>
          <w:sz w:val="22"/>
        </w:rPr>
        <w:t xml:space="preserve"> </w:t>
      </w:r>
      <w:r w:rsidRPr="001B7539">
        <w:rPr>
          <w:sz w:val="22"/>
        </w:rPr>
        <w:t>gender skills in their work</w:t>
      </w:r>
      <w:r>
        <w:rPr>
          <w:sz w:val="22"/>
        </w:rPr>
        <w:t xml:space="preserve"> </w:t>
      </w:r>
      <w:r w:rsidRPr="003947AA">
        <w:rPr>
          <w:sz w:val="22"/>
        </w:rPr>
        <w:t>(the sum of moderate + strong)</w:t>
      </w:r>
      <w:r w:rsidRPr="00D8519A">
        <w:rPr>
          <w:b/>
          <w:bCs/>
          <w:sz w:val="22"/>
        </w:rPr>
        <w:t xml:space="preserve"> </w:t>
      </w:r>
      <w:r>
        <w:rPr>
          <w:sz w:val="22"/>
        </w:rPr>
        <w:t xml:space="preserve">was </w:t>
      </w:r>
      <w:r w:rsidRPr="00E20A0B">
        <w:rPr>
          <w:b/>
          <w:sz w:val="22"/>
        </w:rPr>
        <w:t>4</w:t>
      </w:r>
      <w:r>
        <w:rPr>
          <w:b/>
          <w:sz w:val="22"/>
        </w:rPr>
        <w:t>2</w:t>
      </w:r>
      <w:r w:rsidRPr="00E20A0B">
        <w:rPr>
          <w:b/>
          <w:sz w:val="22"/>
        </w:rPr>
        <w:t>%</w:t>
      </w:r>
      <w:r>
        <w:rPr>
          <w:b/>
          <w:sz w:val="22"/>
        </w:rPr>
        <w:t xml:space="preserve"> </w:t>
      </w:r>
      <w:r w:rsidRPr="003947AA">
        <w:rPr>
          <w:sz w:val="22"/>
        </w:rPr>
        <w:t>(See Table 5).</w:t>
      </w:r>
    </w:p>
    <w:p w:rsidR="009571FA" w:rsidRPr="00951E57" w:rsidRDefault="009571FA" w:rsidP="00415105">
      <w:pPr>
        <w:jc w:val="both"/>
        <w:rPr>
          <w:sz w:val="10"/>
        </w:rPr>
      </w:pPr>
    </w:p>
    <w:p w:rsidR="009571FA" w:rsidRPr="00635770" w:rsidRDefault="009571FA" w:rsidP="00415105">
      <w:pPr>
        <w:jc w:val="both"/>
        <w:rPr>
          <w:sz w:val="4"/>
        </w:rPr>
      </w:pPr>
    </w:p>
    <w:p w:rsidR="009571FA" w:rsidRPr="00D26585" w:rsidRDefault="009571FA" w:rsidP="00415105">
      <w:pPr>
        <w:jc w:val="both"/>
        <w:rPr>
          <w:sz w:val="4"/>
        </w:rPr>
      </w:pPr>
    </w:p>
    <w:p w:rsidR="006A4919" w:rsidRDefault="009571FA" w:rsidP="00581596">
      <w:pPr>
        <w:numPr>
          <w:ilvl w:val="0"/>
          <w:numId w:val="7"/>
        </w:numPr>
        <w:jc w:val="both"/>
        <w:rPr>
          <w:bCs/>
          <w:i/>
          <w:sz w:val="22"/>
        </w:rPr>
      </w:pPr>
      <w:r>
        <w:rPr>
          <w:bCs/>
          <w:i/>
          <w:sz w:val="22"/>
        </w:rPr>
        <w:t xml:space="preserve"> Sex and grade differentials</w:t>
      </w:r>
    </w:p>
    <w:p w:rsidR="009571FA" w:rsidRPr="008A6D21" w:rsidRDefault="009571FA" w:rsidP="006A4919">
      <w:pPr>
        <w:ind w:left="360"/>
        <w:jc w:val="both"/>
        <w:rPr>
          <w:bCs/>
          <w:i/>
          <w:sz w:val="6"/>
        </w:rPr>
      </w:pPr>
      <w:r w:rsidRPr="006A4919">
        <w:rPr>
          <w:bCs/>
          <w:i/>
          <w:sz w:val="10"/>
        </w:rPr>
        <w:t xml:space="preserve"> </w:t>
      </w:r>
    </w:p>
    <w:p w:rsidR="009571FA" w:rsidRDefault="006A4919" w:rsidP="00951E57">
      <w:pPr>
        <w:jc w:val="both"/>
        <w:rPr>
          <w:bCs/>
          <w:sz w:val="22"/>
        </w:rPr>
      </w:pPr>
      <w:r>
        <w:rPr>
          <w:bCs/>
          <w:sz w:val="22"/>
        </w:rPr>
        <w:t xml:space="preserve">More </w:t>
      </w:r>
      <w:r w:rsidR="009571FA">
        <w:rPr>
          <w:bCs/>
          <w:sz w:val="22"/>
        </w:rPr>
        <w:t>males than females were applying their gender knowledge to their work in “moderately strong” to “strong” fashion</w:t>
      </w:r>
      <w:r w:rsidR="009571FA" w:rsidRPr="002A1467">
        <w:rPr>
          <w:bCs/>
          <w:sz w:val="22"/>
        </w:rPr>
        <w:t>: 53%</w:t>
      </w:r>
      <w:r>
        <w:rPr>
          <w:bCs/>
          <w:sz w:val="22"/>
        </w:rPr>
        <w:t xml:space="preserve"> of </w:t>
      </w:r>
      <w:r w:rsidR="00A56963">
        <w:rPr>
          <w:bCs/>
          <w:sz w:val="22"/>
        </w:rPr>
        <w:t>men and 34% of women (See foot</w:t>
      </w:r>
      <w:r w:rsidR="009571FA" w:rsidRPr="002A1467">
        <w:rPr>
          <w:bCs/>
          <w:sz w:val="22"/>
        </w:rPr>
        <w:t xml:space="preserve">note </w:t>
      </w:r>
      <w:r w:rsidR="00E06B4C">
        <w:rPr>
          <w:bCs/>
          <w:sz w:val="22"/>
        </w:rPr>
        <w:t>6</w:t>
      </w:r>
      <w:r w:rsidR="009571FA" w:rsidRPr="002A1467">
        <w:rPr>
          <w:bCs/>
          <w:sz w:val="22"/>
        </w:rPr>
        <w:t xml:space="preserve">). </w:t>
      </w:r>
      <w:r w:rsidR="009571FA">
        <w:rPr>
          <w:bCs/>
          <w:sz w:val="22"/>
        </w:rPr>
        <w:t xml:space="preserve"> </w:t>
      </w:r>
    </w:p>
    <w:p w:rsidR="00EF6EC8" w:rsidRDefault="00EF6EC8" w:rsidP="00951E57">
      <w:pPr>
        <w:jc w:val="both"/>
        <w:rPr>
          <w:bCs/>
          <w:sz w:val="22"/>
        </w:rPr>
      </w:pPr>
    </w:p>
    <w:p w:rsidR="00EF6EC8" w:rsidRDefault="00EF6EC8" w:rsidP="00EF6EC8">
      <w:pPr>
        <w:jc w:val="both"/>
        <w:rPr>
          <w:bCs/>
          <w:sz w:val="22"/>
        </w:rPr>
      </w:pPr>
      <w:r>
        <w:rPr>
          <w:bCs/>
          <w:sz w:val="22"/>
        </w:rPr>
        <w:t xml:space="preserve">Table 5 shows that gender skills application was more frequently reported at higher occupational grades: approximately </w:t>
      </w:r>
      <w:r w:rsidRPr="008A6D21">
        <w:rPr>
          <w:b/>
          <w:bCs/>
          <w:sz w:val="22"/>
        </w:rPr>
        <w:t>8</w:t>
      </w:r>
      <w:r>
        <w:rPr>
          <w:b/>
          <w:bCs/>
          <w:sz w:val="22"/>
        </w:rPr>
        <w:t xml:space="preserve"> of</w:t>
      </w:r>
      <w:r w:rsidRPr="008A6D21">
        <w:rPr>
          <w:b/>
          <w:bCs/>
          <w:sz w:val="22"/>
        </w:rPr>
        <w:t xml:space="preserve"> 10 Ds</w:t>
      </w:r>
      <w:r>
        <w:rPr>
          <w:bCs/>
          <w:sz w:val="22"/>
        </w:rPr>
        <w:t xml:space="preserve">; </w:t>
      </w:r>
      <w:r w:rsidRPr="008A6D21">
        <w:rPr>
          <w:b/>
          <w:bCs/>
          <w:sz w:val="22"/>
        </w:rPr>
        <w:t>5 of 10 Ps</w:t>
      </w:r>
      <w:r>
        <w:rPr>
          <w:bCs/>
          <w:sz w:val="22"/>
        </w:rPr>
        <w:t xml:space="preserve">; and </w:t>
      </w:r>
      <w:r w:rsidRPr="008A6D21">
        <w:rPr>
          <w:b/>
          <w:bCs/>
          <w:sz w:val="22"/>
        </w:rPr>
        <w:t>1</w:t>
      </w:r>
      <w:r>
        <w:rPr>
          <w:b/>
          <w:bCs/>
          <w:sz w:val="22"/>
        </w:rPr>
        <w:t xml:space="preserve">.5 of </w:t>
      </w:r>
      <w:r w:rsidRPr="008A6D21">
        <w:rPr>
          <w:b/>
          <w:bCs/>
          <w:sz w:val="22"/>
        </w:rPr>
        <w:t>10 Gs</w:t>
      </w:r>
      <w:r>
        <w:rPr>
          <w:bCs/>
          <w:sz w:val="22"/>
        </w:rPr>
        <w:t xml:space="preserve"> said they were applying gender skills to their work in a ‘moderately strong’ to ‘strong’ fashion. The differences between these categories proved to be statistically significant at the confidence level of 0.0001 (see Table 5). Figure 3 further illustrates the </w:t>
      </w:r>
      <w:r w:rsidR="00E06B4C">
        <w:rPr>
          <w:bCs/>
          <w:sz w:val="22"/>
        </w:rPr>
        <w:t>vast</w:t>
      </w:r>
      <w:r>
        <w:rPr>
          <w:bCs/>
          <w:sz w:val="22"/>
        </w:rPr>
        <w:t xml:space="preserve"> difference between grades by which the reported </w:t>
      </w:r>
      <w:r w:rsidRPr="009E0A8E">
        <w:rPr>
          <w:b/>
          <w:bCs/>
          <w:sz w:val="22"/>
        </w:rPr>
        <w:t>no application</w:t>
      </w:r>
      <w:r>
        <w:rPr>
          <w:bCs/>
          <w:sz w:val="22"/>
        </w:rPr>
        <w:t xml:space="preserve"> of gender concepts to work was eight times higher for Gs than </w:t>
      </w:r>
      <w:r w:rsidR="00E06B4C">
        <w:rPr>
          <w:bCs/>
          <w:sz w:val="22"/>
        </w:rPr>
        <w:t>P</w:t>
      </w:r>
      <w:r>
        <w:rPr>
          <w:bCs/>
          <w:sz w:val="22"/>
        </w:rPr>
        <w:t xml:space="preserve">s (56% for Gs,  7% for Ps, and 0% for Ds).  </w:t>
      </w:r>
    </w:p>
    <w:p w:rsidR="00EF6EC8" w:rsidRDefault="00EF6EC8" w:rsidP="00951E57">
      <w:pPr>
        <w:jc w:val="both"/>
        <w:rPr>
          <w:bCs/>
          <w:sz w:val="22"/>
        </w:rPr>
      </w:pPr>
    </w:p>
    <w:p w:rsidR="009571FA" w:rsidRDefault="00E06B4C" w:rsidP="00A56963">
      <w:pPr>
        <w:pStyle w:val="Heading2"/>
        <w:spacing w:after="200"/>
        <w:ind w:left="810"/>
        <w:rPr>
          <w:rFonts w:ascii="Arial" w:hAnsi="Arial" w:cs="Arial"/>
          <w:b w:val="0"/>
          <w:color w:val="auto"/>
          <w:sz w:val="22"/>
          <w:szCs w:val="22"/>
        </w:rPr>
      </w:pPr>
      <w:r>
        <w:rPr>
          <w:rFonts w:ascii="Arial" w:hAnsi="Arial" w:cs="Arial"/>
          <w:color w:val="auto"/>
          <w:sz w:val="22"/>
          <w:szCs w:val="22"/>
        </w:rPr>
        <w:t>T</w:t>
      </w:r>
      <w:r w:rsidR="009571FA">
        <w:rPr>
          <w:rFonts w:ascii="Arial" w:hAnsi="Arial" w:cs="Arial"/>
          <w:color w:val="auto"/>
          <w:sz w:val="22"/>
          <w:szCs w:val="22"/>
        </w:rPr>
        <w:t xml:space="preserve">able 5.  </w:t>
      </w:r>
      <w:r w:rsidR="009571FA">
        <w:rPr>
          <w:rFonts w:ascii="Arial" w:hAnsi="Arial" w:cs="Arial"/>
          <w:b w:val="0"/>
          <w:color w:val="auto"/>
          <w:sz w:val="22"/>
          <w:szCs w:val="22"/>
        </w:rPr>
        <w:t xml:space="preserve">Percent distribution of PAHO staff members according to level of </w:t>
      </w:r>
      <w:r w:rsidR="00A56963">
        <w:rPr>
          <w:rFonts w:ascii="Arial" w:hAnsi="Arial" w:cs="Arial"/>
          <w:b w:val="0"/>
          <w:color w:val="auto"/>
          <w:sz w:val="22"/>
          <w:szCs w:val="22"/>
        </w:rPr>
        <w:t xml:space="preserve">  </w:t>
      </w:r>
      <w:r w:rsidR="009571FA">
        <w:rPr>
          <w:rFonts w:ascii="Arial" w:hAnsi="Arial" w:cs="Arial"/>
          <w:b w:val="0"/>
          <w:color w:val="auto"/>
          <w:sz w:val="22"/>
          <w:szCs w:val="22"/>
        </w:rPr>
        <w:t xml:space="preserve">   application of gender skills to current work, by sex and occupational grade. 2008</w:t>
      </w:r>
    </w:p>
    <w:p w:rsidR="009571FA" w:rsidRDefault="009571FA" w:rsidP="003947AA">
      <w:pPr>
        <w:rPr>
          <w:sz w:val="4"/>
          <w:lang w:val="en-US"/>
        </w:rPr>
      </w:pPr>
    </w:p>
    <w:tbl>
      <w:tblPr>
        <w:tblpPr w:leftFromText="180" w:rightFromText="180" w:vertAnchor="text" w:horzAnchor="margin" w:tblpXSpec="center" w:tblpY="44"/>
        <w:tblW w:w="0" w:type="auto"/>
        <w:tblLook w:val="00BF"/>
      </w:tblPr>
      <w:tblGrid>
        <w:gridCol w:w="1605"/>
        <w:gridCol w:w="521"/>
        <w:gridCol w:w="419"/>
        <w:gridCol w:w="800"/>
        <w:gridCol w:w="714"/>
        <w:gridCol w:w="800"/>
        <w:gridCol w:w="684"/>
        <w:gridCol w:w="800"/>
        <w:gridCol w:w="699"/>
        <w:gridCol w:w="800"/>
      </w:tblGrid>
      <w:tr w:rsidR="009571FA" w:rsidTr="003947AA">
        <w:trPr>
          <w:trHeight w:val="284"/>
        </w:trPr>
        <w:tc>
          <w:tcPr>
            <w:tcW w:w="1605" w:type="dxa"/>
            <w:vMerge w:val="restart"/>
            <w:tcBorders>
              <w:top w:val="single" w:sz="4" w:space="0" w:color="auto"/>
              <w:left w:val="single" w:sz="4" w:space="0" w:color="auto"/>
              <w:bottom w:val="single" w:sz="4" w:space="0" w:color="auto"/>
              <w:right w:val="single" w:sz="4" w:space="0" w:color="auto"/>
            </w:tcBorders>
            <w:shd w:val="clear" w:color="auto" w:fill="C6D9F1"/>
            <w:tcMar>
              <w:top w:w="0" w:type="dxa"/>
              <w:left w:w="28" w:type="dxa"/>
              <w:bottom w:w="0" w:type="dxa"/>
              <w:right w:w="28" w:type="dxa"/>
            </w:tcMar>
            <w:vAlign w:val="center"/>
          </w:tcPr>
          <w:p w:rsidR="009571FA" w:rsidRDefault="009571FA">
            <w:pPr>
              <w:tabs>
                <w:tab w:val="left" w:pos="253"/>
              </w:tabs>
              <w:spacing w:line="276" w:lineRule="auto"/>
              <w:rPr>
                <w:rFonts w:ascii="Calibri" w:hAnsi="Calibri"/>
                <w:b/>
                <w:sz w:val="22"/>
              </w:rPr>
            </w:pPr>
            <w:r>
              <w:rPr>
                <w:rFonts w:ascii="Calibri" w:hAnsi="Calibri"/>
                <w:b/>
                <w:sz w:val="22"/>
                <w:szCs w:val="22"/>
              </w:rPr>
              <w:t>Staff categories</w:t>
            </w:r>
          </w:p>
        </w:tc>
        <w:tc>
          <w:tcPr>
            <w:tcW w:w="521"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9571FA" w:rsidRDefault="009571FA">
            <w:pPr>
              <w:tabs>
                <w:tab w:val="left" w:pos="253"/>
              </w:tabs>
              <w:spacing w:line="276" w:lineRule="auto"/>
              <w:jc w:val="center"/>
              <w:rPr>
                <w:rFonts w:ascii="Calibri" w:hAnsi="Calibri"/>
                <w:b/>
                <w:sz w:val="22"/>
              </w:rPr>
            </w:pPr>
            <w:r>
              <w:rPr>
                <w:rFonts w:ascii="Calibri" w:hAnsi="Calibri"/>
                <w:b/>
                <w:sz w:val="22"/>
                <w:szCs w:val="22"/>
              </w:rPr>
              <w:t>N</w:t>
            </w:r>
          </w:p>
        </w:tc>
        <w:tc>
          <w:tcPr>
            <w:tcW w:w="1219" w:type="dxa"/>
            <w:gridSpan w:val="2"/>
            <w:tcBorders>
              <w:top w:val="single" w:sz="4" w:space="0" w:color="auto"/>
              <w:left w:val="single" w:sz="4" w:space="0" w:color="auto"/>
              <w:bottom w:val="single" w:sz="4" w:space="0" w:color="auto"/>
              <w:right w:val="single" w:sz="4" w:space="0" w:color="auto"/>
            </w:tcBorders>
            <w:shd w:val="clear" w:color="auto" w:fill="C6D9F1"/>
            <w:vAlign w:val="center"/>
          </w:tcPr>
          <w:p w:rsidR="009571FA" w:rsidRDefault="009571FA">
            <w:pPr>
              <w:spacing w:line="276" w:lineRule="auto"/>
              <w:jc w:val="center"/>
              <w:rPr>
                <w:rFonts w:ascii="Calibri" w:hAnsi="Calibri"/>
                <w:b/>
                <w:sz w:val="22"/>
              </w:rPr>
            </w:pPr>
            <w:r>
              <w:rPr>
                <w:rFonts w:ascii="Calibri" w:hAnsi="Calibri"/>
                <w:b/>
                <w:sz w:val="22"/>
                <w:szCs w:val="22"/>
              </w:rPr>
              <w:t xml:space="preserve">Not Applying </w:t>
            </w:r>
          </w:p>
        </w:tc>
        <w:tc>
          <w:tcPr>
            <w:tcW w:w="1514" w:type="dxa"/>
            <w:gridSpan w:val="2"/>
            <w:tcBorders>
              <w:top w:val="single" w:sz="4" w:space="0" w:color="auto"/>
              <w:left w:val="single" w:sz="4" w:space="0" w:color="auto"/>
              <w:bottom w:val="single" w:sz="4" w:space="0" w:color="auto"/>
              <w:right w:val="single" w:sz="4" w:space="0" w:color="auto"/>
            </w:tcBorders>
            <w:shd w:val="clear" w:color="auto" w:fill="C6D9F1"/>
            <w:vAlign w:val="center"/>
          </w:tcPr>
          <w:p w:rsidR="009571FA" w:rsidRDefault="009571FA">
            <w:pPr>
              <w:spacing w:line="276" w:lineRule="auto"/>
              <w:jc w:val="center"/>
              <w:rPr>
                <w:rFonts w:ascii="Calibri" w:hAnsi="Calibri"/>
                <w:b/>
                <w:sz w:val="22"/>
              </w:rPr>
            </w:pPr>
            <w:r>
              <w:rPr>
                <w:rFonts w:ascii="Calibri" w:hAnsi="Calibri"/>
                <w:b/>
                <w:sz w:val="22"/>
                <w:szCs w:val="22"/>
              </w:rPr>
              <w:t>Some Application</w:t>
            </w:r>
          </w:p>
        </w:tc>
        <w:tc>
          <w:tcPr>
            <w:tcW w:w="1484" w:type="dxa"/>
            <w:gridSpan w:val="2"/>
            <w:tcBorders>
              <w:top w:val="single" w:sz="4" w:space="0" w:color="auto"/>
              <w:left w:val="single" w:sz="4" w:space="0" w:color="auto"/>
              <w:bottom w:val="single" w:sz="4" w:space="0" w:color="auto"/>
              <w:right w:val="single" w:sz="4" w:space="0" w:color="auto"/>
            </w:tcBorders>
            <w:shd w:val="clear" w:color="auto" w:fill="C6D9F1"/>
            <w:vAlign w:val="center"/>
          </w:tcPr>
          <w:p w:rsidR="009571FA" w:rsidRDefault="009571FA">
            <w:pPr>
              <w:spacing w:line="276" w:lineRule="auto"/>
              <w:jc w:val="center"/>
              <w:rPr>
                <w:rFonts w:ascii="Calibri" w:hAnsi="Calibri"/>
                <w:b/>
                <w:sz w:val="22"/>
              </w:rPr>
            </w:pPr>
            <w:r>
              <w:rPr>
                <w:rFonts w:ascii="Calibri" w:hAnsi="Calibri"/>
                <w:b/>
                <w:sz w:val="22"/>
                <w:szCs w:val="22"/>
              </w:rPr>
              <w:t>Moderately Strong Application</w:t>
            </w:r>
          </w:p>
        </w:tc>
        <w:tc>
          <w:tcPr>
            <w:tcW w:w="1499" w:type="dxa"/>
            <w:gridSpan w:val="2"/>
            <w:tcBorders>
              <w:top w:val="single" w:sz="4" w:space="0" w:color="auto"/>
              <w:left w:val="single" w:sz="4" w:space="0" w:color="auto"/>
              <w:bottom w:val="single" w:sz="4" w:space="0" w:color="auto"/>
              <w:right w:val="single" w:sz="4" w:space="0" w:color="auto"/>
            </w:tcBorders>
            <w:shd w:val="clear" w:color="auto" w:fill="C6D9F1"/>
            <w:vAlign w:val="center"/>
          </w:tcPr>
          <w:p w:rsidR="009571FA" w:rsidRDefault="009571FA">
            <w:pPr>
              <w:spacing w:line="276" w:lineRule="auto"/>
              <w:jc w:val="center"/>
              <w:rPr>
                <w:rFonts w:ascii="Calibri" w:hAnsi="Calibri"/>
                <w:b/>
                <w:sz w:val="22"/>
              </w:rPr>
            </w:pPr>
            <w:r>
              <w:rPr>
                <w:rFonts w:ascii="Calibri" w:hAnsi="Calibri"/>
                <w:b/>
                <w:sz w:val="22"/>
                <w:szCs w:val="22"/>
              </w:rPr>
              <w:t>Strong Application</w:t>
            </w:r>
          </w:p>
        </w:tc>
      </w:tr>
      <w:tr w:rsidR="009571FA" w:rsidTr="003947AA">
        <w:trPr>
          <w:trHeight w:val="284"/>
        </w:trPr>
        <w:tc>
          <w:tcPr>
            <w:tcW w:w="0" w:type="auto"/>
            <w:vMerge/>
            <w:tcBorders>
              <w:top w:val="single" w:sz="4" w:space="0" w:color="auto"/>
              <w:left w:val="single" w:sz="4" w:space="0" w:color="auto"/>
              <w:bottom w:val="single" w:sz="4" w:space="0" w:color="auto"/>
              <w:right w:val="single" w:sz="4" w:space="0" w:color="auto"/>
            </w:tcBorders>
            <w:vAlign w:val="center"/>
          </w:tcPr>
          <w:p w:rsidR="009571FA" w:rsidRDefault="009571FA">
            <w:pPr>
              <w:rPr>
                <w:rFonts w:ascii="Calibri" w:hAnsi="Calibri"/>
                <w:b/>
                <w:sz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571FA" w:rsidRDefault="009571FA">
            <w:pPr>
              <w:rPr>
                <w:rFonts w:ascii="Calibri" w:hAnsi="Calibri"/>
                <w:b/>
                <w:sz w:val="22"/>
              </w:rPr>
            </w:pPr>
          </w:p>
        </w:tc>
        <w:tc>
          <w:tcPr>
            <w:tcW w:w="419" w:type="dxa"/>
            <w:tcBorders>
              <w:top w:val="single" w:sz="4" w:space="0" w:color="auto"/>
              <w:left w:val="single" w:sz="4" w:space="0" w:color="auto"/>
              <w:bottom w:val="single" w:sz="4" w:space="0" w:color="auto"/>
              <w:right w:val="nil"/>
            </w:tcBorders>
            <w:shd w:val="clear" w:color="auto" w:fill="C6D9F1"/>
            <w:vAlign w:val="center"/>
          </w:tcPr>
          <w:p w:rsidR="009571FA" w:rsidRDefault="009571FA">
            <w:pPr>
              <w:spacing w:line="276" w:lineRule="auto"/>
              <w:jc w:val="center"/>
              <w:rPr>
                <w:rFonts w:ascii="Calibri" w:hAnsi="Calibri"/>
                <w:sz w:val="22"/>
                <w:lang w:val="es-ES_tradnl"/>
              </w:rPr>
            </w:pPr>
            <w:r>
              <w:rPr>
                <w:rFonts w:ascii="Calibri" w:hAnsi="Calibri"/>
                <w:sz w:val="22"/>
                <w:szCs w:val="22"/>
                <w:lang w:val="es-ES_tradnl"/>
              </w:rPr>
              <w:t>n</w:t>
            </w:r>
          </w:p>
        </w:tc>
        <w:tc>
          <w:tcPr>
            <w:tcW w:w="800" w:type="dxa"/>
            <w:tcBorders>
              <w:top w:val="single" w:sz="4" w:space="0" w:color="auto"/>
              <w:left w:val="nil"/>
              <w:bottom w:val="single" w:sz="4" w:space="0" w:color="auto"/>
              <w:right w:val="single" w:sz="4" w:space="0" w:color="auto"/>
            </w:tcBorders>
            <w:shd w:val="clear" w:color="auto" w:fill="C6D9F1"/>
            <w:vAlign w:val="center"/>
          </w:tcPr>
          <w:p w:rsidR="009571FA" w:rsidRDefault="009571FA">
            <w:pPr>
              <w:spacing w:line="276" w:lineRule="auto"/>
              <w:jc w:val="center"/>
              <w:rPr>
                <w:rFonts w:ascii="Calibri" w:hAnsi="Calibri"/>
                <w:sz w:val="22"/>
                <w:lang w:val="es-ES_tradnl"/>
              </w:rPr>
            </w:pPr>
            <w:r>
              <w:rPr>
                <w:rFonts w:ascii="Calibri" w:hAnsi="Calibri"/>
                <w:sz w:val="22"/>
                <w:szCs w:val="22"/>
                <w:lang w:val="es-ES_tradnl"/>
              </w:rPr>
              <w:t>%</w:t>
            </w:r>
          </w:p>
        </w:tc>
        <w:tc>
          <w:tcPr>
            <w:tcW w:w="714" w:type="dxa"/>
            <w:tcBorders>
              <w:top w:val="single" w:sz="4" w:space="0" w:color="auto"/>
              <w:left w:val="single" w:sz="4" w:space="0" w:color="auto"/>
              <w:bottom w:val="single" w:sz="4" w:space="0" w:color="auto"/>
              <w:right w:val="nil"/>
            </w:tcBorders>
            <w:shd w:val="clear" w:color="auto" w:fill="C6D9F1"/>
            <w:vAlign w:val="center"/>
          </w:tcPr>
          <w:p w:rsidR="009571FA" w:rsidRDefault="009571FA">
            <w:pPr>
              <w:spacing w:line="276" w:lineRule="auto"/>
              <w:jc w:val="center"/>
              <w:rPr>
                <w:rFonts w:ascii="Calibri" w:hAnsi="Calibri"/>
                <w:sz w:val="22"/>
                <w:lang w:val="es-ES_tradnl"/>
              </w:rPr>
            </w:pPr>
            <w:r>
              <w:rPr>
                <w:rFonts w:ascii="Calibri" w:hAnsi="Calibri"/>
                <w:sz w:val="22"/>
                <w:szCs w:val="22"/>
                <w:lang w:val="es-ES_tradnl"/>
              </w:rPr>
              <w:t>n</w:t>
            </w:r>
          </w:p>
        </w:tc>
        <w:tc>
          <w:tcPr>
            <w:tcW w:w="800" w:type="dxa"/>
            <w:tcBorders>
              <w:top w:val="single" w:sz="4" w:space="0" w:color="auto"/>
              <w:left w:val="nil"/>
              <w:bottom w:val="single" w:sz="4" w:space="0" w:color="auto"/>
              <w:right w:val="single" w:sz="4" w:space="0" w:color="auto"/>
            </w:tcBorders>
            <w:shd w:val="clear" w:color="auto" w:fill="C6D9F1"/>
            <w:vAlign w:val="center"/>
          </w:tcPr>
          <w:p w:rsidR="009571FA" w:rsidRDefault="009571FA">
            <w:pPr>
              <w:spacing w:line="276" w:lineRule="auto"/>
              <w:jc w:val="center"/>
              <w:rPr>
                <w:rFonts w:ascii="Calibri" w:hAnsi="Calibri"/>
                <w:sz w:val="22"/>
                <w:lang w:val="es-ES_tradnl"/>
              </w:rPr>
            </w:pPr>
            <w:r>
              <w:rPr>
                <w:rFonts w:ascii="Calibri" w:hAnsi="Calibri"/>
                <w:sz w:val="22"/>
                <w:szCs w:val="22"/>
                <w:lang w:val="es-ES_tradnl"/>
              </w:rPr>
              <w:t>%</w:t>
            </w:r>
          </w:p>
        </w:tc>
        <w:tc>
          <w:tcPr>
            <w:tcW w:w="684" w:type="dxa"/>
            <w:tcBorders>
              <w:top w:val="single" w:sz="4" w:space="0" w:color="auto"/>
              <w:left w:val="single" w:sz="4" w:space="0" w:color="auto"/>
              <w:bottom w:val="single" w:sz="4" w:space="0" w:color="auto"/>
              <w:right w:val="nil"/>
            </w:tcBorders>
            <w:shd w:val="clear" w:color="auto" w:fill="C6D9F1"/>
            <w:vAlign w:val="center"/>
          </w:tcPr>
          <w:p w:rsidR="009571FA" w:rsidRDefault="009571FA">
            <w:pPr>
              <w:spacing w:line="276" w:lineRule="auto"/>
              <w:jc w:val="center"/>
              <w:rPr>
                <w:rFonts w:ascii="Calibri" w:hAnsi="Calibri"/>
                <w:sz w:val="22"/>
                <w:lang w:val="es-ES_tradnl"/>
              </w:rPr>
            </w:pPr>
            <w:r>
              <w:rPr>
                <w:rFonts w:ascii="Calibri" w:hAnsi="Calibri"/>
                <w:sz w:val="22"/>
                <w:szCs w:val="22"/>
                <w:lang w:val="es-ES_tradnl"/>
              </w:rPr>
              <w:t>n</w:t>
            </w:r>
          </w:p>
        </w:tc>
        <w:tc>
          <w:tcPr>
            <w:tcW w:w="800" w:type="dxa"/>
            <w:tcBorders>
              <w:top w:val="single" w:sz="4" w:space="0" w:color="auto"/>
              <w:left w:val="nil"/>
              <w:bottom w:val="single" w:sz="4" w:space="0" w:color="auto"/>
              <w:right w:val="single" w:sz="4" w:space="0" w:color="auto"/>
            </w:tcBorders>
            <w:shd w:val="clear" w:color="auto" w:fill="C6D9F1"/>
            <w:vAlign w:val="center"/>
          </w:tcPr>
          <w:p w:rsidR="009571FA" w:rsidRDefault="009571FA">
            <w:pPr>
              <w:spacing w:line="276" w:lineRule="auto"/>
              <w:jc w:val="center"/>
              <w:rPr>
                <w:rFonts w:ascii="Calibri" w:hAnsi="Calibri"/>
                <w:sz w:val="22"/>
                <w:lang w:val="es-ES_tradnl"/>
              </w:rPr>
            </w:pPr>
            <w:r>
              <w:rPr>
                <w:rFonts w:ascii="Calibri" w:hAnsi="Calibri"/>
                <w:sz w:val="22"/>
                <w:szCs w:val="22"/>
                <w:lang w:val="es-ES_tradnl"/>
              </w:rPr>
              <w:t>%</w:t>
            </w:r>
          </w:p>
        </w:tc>
        <w:tc>
          <w:tcPr>
            <w:tcW w:w="699" w:type="dxa"/>
            <w:tcBorders>
              <w:top w:val="single" w:sz="4" w:space="0" w:color="auto"/>
              <w:left w:val="single" w:sz="4" w:space="0" w:color="auto"/>
              <w:bottom w:val="single" w:sz="4" w:space="0" w:color="auto"/>
              <w:right w:val="nil"/>
            </w:tcBorders>
            <w:shd w:val="clear" w:color="auto" w:fill="C6D9F1"/>
            <w:vAlign w:val="center"/>
          </w:tcPr>
          <w:p w:rsidR="009571FA" w:rsidRDefault="009571FA">
            <w:pPr>
              <w:spacing w:line="276" w:lineRule="auto"/>
              <w:jc w:val="center"/>
              <w:rPr>
                <w:rFonts w:ascii="Calibri" w:hAnsi="Calibri"/>
                <w:sz w:val="22"/>
                <w:lang w:val="es-ES_tradnl"/>
              </w:rPr>
            </w:pPr>
            <w:r>
              <w:rPr>
                <w:rFonts w:ascii="Calibri" w:hAnsi="Calibri"/>
                <w:sz w:val="22"/>
                <w:szCs w:val="22"/>
                <w:lang w:val="es-ES_tradnl"/>
              </w:rPr>
              <w:t>n</w:t>
            </w:r>
          </w:p>
        </w:tc>
        <w:tc>
          <w:tcPr>
            <w:tcW w:w="800" w:type="dxa"/>
            <w:tcBorders>
              <w:top w:val="single" w:sz="4" w:space="0" w:color="auto"/>
              <w:left w:val="nil"/>
              <w:bottom w:val="single" w:sz="4" w:space="0" w:color="auto"/>
              <w:right w:val="single" w:sz="4" w:space="0" w:color="auto"/>
            </w:tcBorders>
            <w:shd w:val="clear" w:color="auto" w:fill="C6D9F1"/>
            <w:vAlign w:val="center"/>
          </w:tcPr>
          <w:p w:rsidR="009571FA" w:rsidRDefault="009571FA">
            <w:pPr>
              <w:spacing w:line="276" w:lineRule="auto"/>
              <w:jc w:val="center"/>
              <w:rPr>
                <w:rFonts w:ascii="Calibri" w:hAnsi="Calibri"/>
                <w:sz w:val="22"/>
                <w:lang w:val="es-ES_tradnl"/>
              </w:rPr>
            </w:pPr>
            <w:r>
              <w:rPr>
                <w:rFonts w:ascii="Calibri" w:hAnsi="Calibri"/>
                <w:sz w:val="22"/>
                <w:szCs w:val="22"/>
                <w:lang w:val="es-ES_tradnl"/>
              </w:rPr>
              <w:t>%</w:t>
            </w:r>
          </w:p>
        </w:tc>
      </w:tr>
      <w:tr w:rsidR="009571FA" w:rsidTr="003947AA">
        <w:trPr>
          <w:trHeight w:val="284"/>
        </w:trPr>
        <w:tc>
          <w:tcPr>
            <w:tcW w:w="1605"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9571FA" w:rsidRDefault="009571FA">
            <w:pPr>
              <w:tabs>
                <w:tab w:val="left" w:pos="253"/>
              </w:tabs>
              <w:spacing w:line="276" w:lineRule="auto"/>
              <w:rPr>
                <w:rFonts w:ascii="Calibri" w:hAnsi="Calibri"/>
                <w:b/>
                <w:lang w:val="es-ES_tradnl"/>
              </w:rPr>
            </w:pPr>
            <w:r>
              <w:rPr>
                <w:rFonts w:ascii="Calibri" w:hAnsi="Calibri"/>
                <w:b/>
                <w:szCs w:val="22"/>
                <w:lang w:val="es-ES_tradnl"/>
              </w:rPr>
              <w:t>All AMRO/PAHO Staff</w:t>
            </w:r>
          </w:p>
        </w:tc>
        <w:tc>
          <w:tcPr>
            <w:tcW w:w="521" w:type="dxa"/>
            <w:tcBorders>
              <w:top w:val="single" w:sz="4" w:space="0" w:color="auto"/>
              <w:left w:val="single" w:sz="4" w:space="0" w:color="auto"/>
              <w:bottom w:val="single" w:sz="4" w:space="0" w:color="auto"/>
              <w:right w:val="single" w:sz="4" w:space="0" w:color="auto"/>
            </w:tcBorders>
            <w:shd w:val="clear" w:color="auto" w:fill="FFFFFF"/>
            <w:vAlign w:val="center"/>
          </w:tcPr>
          <w:p w:rsidR="009571FA" w:rsidRDefault="009571FA">
            <w:pPr>
              <w:tabs>
                <w:tab w:val="left" w:pos="253"/>
              </w:tabs>
              <w:spacing w:line="276" w:lineRule="auto"/>
              <w:jc w:val="center"/>
              <w:rPr>
                <w:rFonts w:ascii="Calibri" w:hAnsi="Calibri"/>
                <w:lang w:val="es-ES_tradnl"/>
              </w:rPr>
            </w:pPr>
            <w:r>
              <w:rPr>
                <w:rFonts w:ascii="Calibri" w:hAnsi="Calibri"/>
                <w:szCs w:val="22"/>
                <w:lang w:val="es-ES_tradnl"/>
              </w:rPr>
              <w:t>390</w:t>
            </w:r>
          </w:p>
        </w:tc>
        <w:tc>
          <w:tcPr>
            <w:tcW w:w="419" w:type="dxa"/>
            <w:tcBorders>
              <w:top w:val="single" w:sz="4" w:space="0" w:color="auto"/>
              <w:left w:val="single" w:sz="4" w:space="0" w:color="auto"/>
              <w:bottom w:val="single" w:sz="4" w:space="0" w:color="auto"/>
              <w:right w:val="nil"/>
            </w:tcBorders>
            <w:shd w:val="clear" w:color="auto" w:fill="FFFFFF"/>
            <w:vAlign w:val="center"/>
          </w:tcPr>
          <w:p w:rsidR="009571FA" w:rsidRDefault="009571FA">
            <w:pPr>
              <w:spacing w:line="276" w:lineRule="auto"/>
              <w:jc w:val="center"/>
              <w:rPr>
                <w:rFonts w:ascii="Calibri" w:hAnsi="Calibri"/>
                <w:lang w:val="es-ES_tradnl"/>
              </w:rPr>
            </w:pPr>
            <w:r>
              <w:rPr>
                <w:rFonts w:ascii="Calibri" w:hAnsi="Calibri"/>
                <w:szCs w:val="22"/>
                <w:lang w:val="es-ES_tradnl"/>
              </w:rPr>
              <w:t>79</w:t>
            </w:r>
          </w:p>
        </w:tc>
        <w:tc>
          <w:tcPr>
            <w:tcW w:w="800" w:type="dxa"/>
            <w:tcBorders>
              <w:top w:val="single" w:sz="4" w:space="0" w:color="auto"/>
              <w:left w:val="nil"/>
              <w:bottom w:val="single" w:sz="4" w:space="0" w:color="auto"/>
              <w:right w:val="single" w:sz="4" w:space="0" w:color="auto"/>
            </w:tcBorders>
            <w:shd w:val="clear" w:color="auto" w:fill="FFFFFF"/>
            <w:vAlign w:val="center"/>
          </w:tcPr>
          <w:p w:rsidR="009571FA" w:rsidRDefault="009571FA">
            <w:pPr>
              <w:spacing w:line="276" w:lineRule="auto"/>
              <w:jc w:val="center"/>
              <w:rPr>
                <w:rFonts w:ascii="Calibri" w:hAnsi="Calibri"/>
                <w:lang w:val="es-ES_tradnl"/>
              </w:rPr>
            </w:pPr>
            <w:r>
              <w:rPr>
                <w:rFonts w:ascii="Calibri" w:hAnsi="Calibri"/>
                <w:szCs w:val="22"/>
                <w:lang w:val="es-ES_tradnl"/>
              </w:rPr>
              <w:t>20.3</w:t>
            </w:r>
          </w:p>
        </w:tc>
        <w:tc>
          <w:tcPr>
            <w:tcW w:w="714" w:type="dxa"/>
            <w:tcBorders>
              <w:top w:val="single" w:sz="4" w:space="0" w:color="auto"/>
              <w:left w:val="single" w:sz="4" w:space="0" w:color="auto"/>
              <w:bottom w:val="single" w:sz="4" w:space="0" w:color="auto"/>
              <w:right w:val="nil"/>
            </w:tcBorders>
            <w:shd w:val="clear" w:color="auto" w:fill="FFFFFF"/>
            <w:vAlign w:val="center"/>
          </w:tcPr>
          <w:p w:rsidR="009571FA" w:rsidRDefault="009571FA">
            <w:pPr>
              <w:spacing w:line="276" w:lineRule="auto"/>
              <w:jc w:val="center"/>
              <w:rPr>
                <w:rFonts w:ascii="Calibri" w:hAnsi="Calibri"/>
                <w:lang w:val="es-ES_tradnl"/>
              </w:rPr>
            </w:pPr>
            <w:r>
              <w:rPr>
                <w:rFonts w:ascii="Calibri" w:hAnsi="Calibri"/>
                <w:szCs w:val="22"/>
                <w:lang w:val="es-ES_tradnl"/>
              </w:rPr>
              <w:t>147</w:t>
            </w:r>
          </w:p>
        </w:tc>
        <w:tc>
          <w:tcPr>
            <w:tcW w:w="800" w:type="dxa"/>
            <w:tcBorders>
              <w:top w:val="single" w:sz="4" w:space="0" w:color="auto"/>
              <w:left w:val="nil"/>
              <w:bottom w:val="single" w:sz="4" w:space="0" w:color="auto"/>
              <w:right w:val="single" w:sz="4" w:space="0" w:color="auto"/>
            </w:tcBorders>
            <w:shd w:val="clear" w:color="auto" w:fill="FFFFFF"/>
            <w:vAlign w:val="center"/>
          </w:tcPr>
          <w:p w:rsidR="009571FA" w:rsidRDefault="009571FA">
            <w:pPr>
              <w:spacing w:line="276" w:lineRule="auto"/>
              <w:jc w:val="center"/>
              <w:rPr>
                <w:rFonts w:ascii="Calibri" w:hAnsi="Calibri"/>
                <w:lang w:val="es-ES_tradnl"/>
              </w:rPr>
            </w:pPr>
            <w:r>
              <w:rPr>
                <w:rFonts w:ascii="Calibri" w:hAnsi="Calibri"/>
                <w:szCs w:val="22"/>
                <w:lang w:val="es-ES_tradnl"/>
              </w:rPr>
              <w:t>37.7</w:t>
            </w:r>
          </w:p>
        </w:tc>
        <w:tc>
          <w:tcPr>
            <w:tcW w:w="684" w:type="dxa"/>
            <w:tcBorders>
              <w:top w:val="single" w:sz="4" w:space="0" w:color="auto"/>
              <w:left w:val="single" w:sz="4" w:space="0" w:color="auto"/>
              <w:bottom w:val="single" w:sz="4" w:space="0" w:color="auto"/>
              <w:right w:val="nil"/>
            </w:tcBorders>
            <w:shd w:val="clear" w:color="auto" w:fill="FFFFFF"/>
            <w:vAlign w:val="center"/>
          </w:tcPr>
          <w:p w:rsidR="009571FA" w:rsidRDefault="009571FA">
            <w:pPr>
              <w:spacing w:line="276" w:lineRule="auto"/>
              <w:jc w:val="center"/>
              <w:rPr>
                <w:rFonts w:ascii="Calibri" w:hAnsi="Calibri"/>
                <w:lang w:val="es-ES_tradnl"/>
              </w:rPr>
            </w:pPr>
            <w:r>
              <w:rPr>
                <w:rFonts w:ascii="Calibri" w:hAnsi="Calibri"/>
                <w:szCs w:val="22"/>
                <w:lang w:val="es-ES_tradnl"/>
              </w:rPr>
              <w:t>85</w:t>
            </w:r>
          </w:p>
        </w:tc>
        <w:tc>
          <w:tcPr>
            <w:tcW w:w="800" w:type="dxa"/>
            <w:tcBorders>
              <w:top w:val="nil"/>
              <w:left w:val="nil"/>
              <w:bottom w:val="single" w:sz="4" w:space="0" w:color="auto"/>
              <w:right w:val="single" w:sz="4" w:space="0" w:color="auto"/>
            </w:tcBorders>
            <w:shd w:val="clear" w:color="auto" w:fill="FFFFFF"/>
            <w:vAlign w:val="center"/>
          </w:tcPr>
          <w:p w:rsidR="009571FA" w:rsidRDefault="009571FA">
            <w:pPr>
              <w:spacing w:line="276" w:lineRule="auto"/>
              <w:jc w:val="center"/>
              <w:rPr>
                <w:rFonts w:ascii="Calibri" w:hAnsi="Calibri"/>
                <w:lang w:val="es-ES_tradnl"/>
              </w:rPr>
            </w:pPr>
            <w:r>
              <w:rPr>
                <w:rFonts w:ascii="Calibri" w:hAnsi="Calibri"/>
                <w:szCs w:val="22"/>
                <w:lang w:val="es-ES_tradnl"/>
              </w:rPr>
              <w:t>21.8</w:t>
            </w:r>
          </w:p>
        </w:tc>
        <w:tc>
          <w:tcPr>
            <w:tcW w:w="699" w:type="dxa"/>
            <w:tcBorders>
              <w:top w:val="single" w:sz="4" w:space="0" w:color="auto"/>
              <w:left w:val="single" w:sz="4" w:space="0" w:color="auto"/>
              <w:bottom w:val="single" w:sz="4" w:space="0" w:color="auto"/>
              <w:right w:val="nil"/>
            </w:tcBorders>
            <w:shd w:val="clear" w:color="auto" w:fill="FFFFFF"/>
            <w:vAlign w:val="center"/>
          </w:tcPr>
          <w:p w:rsidR="009571FA" w:rsidRDefault="009571FA">
            <w:pPr>
              <w:spacing w:line="276" w:lineRule="auto"/>
              <w:jc w:val="center"/>
              <w:rPr>
                <w:rFonts w:ascii="Calibri" w:hAnsi="Calibri"/>
                <w:lang w:val="es-ES_tradnl"/>
              </w:rPr>
            </w:pPr>
            <w:r>
              <w:rPr>
                <w:rFonts w:ascii="Calibri" w:hAnsi="Calibri"/>
                <w:szCs w:val="22"/>
                <w:lang w:val="es-ES_tradnl"/>
              </w:rPr>
              <w:t>79</w:t>
            </w:r>
          </w:p>
        </w:tc>
        <w:tc>
          <w:tcPr>
            <w:tcW w:w="800" w:type="dxa"/>
            <w:tcBorders>
              <w:top w:val="single" w:sz="4" w:space="0" w:color="auto"/>
              <w:left w:val="nil"/>
              <w:bottom w:val="single" w:sz="4" w:space="0" w:color="auto"/>
              <w:right w:val="single" w:sz="4" w:space="0" w:color="auto"/>
            </w:tcBorders>
            <w:shd w:val="clear" w:color="auto" w:fill="FFFFFF"/>
            <w:vAlign w:val="center"/>
          </w:tcPr>
          <w:p w:rsidR="009571FA" w:rsidRDefault="009571FA">
            <w:pPr>
              <w:spacing w:line="276" w:lineRule="auto"/>
              <w:jc w:val="center"/>
              <w:rPr>
                <w:rFonts w:ascii="Calibri" w:hAnsi="Calibri"/>
                <w:lang w:val="es-ES_tradnl"/>
              </w:rPr>
            </w:pPr>
            <w:r>
              <w:rPr>
                <w:rFonts w:ascii="Calibri" w:hAnsi="Calibri"/>
                <w:szCs w:val="22"/>
                <w:lang w:val="es-ES_tradnl"/>
              </w:rPr>
              <w:t>20.3</w:t>
            </w:r>
          </w:p>
        </w:tc>
      </w:tr>
      <w:tr w:rsidR="009571FA" w:rsidTr="003947AA">
        <w:trPr>
          <w:trHeight w:val="284"/>
        </w:trPr>
        <w:tc>
          <w:tcPr>
            <w:tcW w:w="1605" w:type="dxa"/>
            <w:tcBorders>
              <w:top w:val="single" w:sz="4" w:space="0" w:color="auto"/>
              <w:left w:val="single" w:sz="4" w:space="0" w:color="auto"/>
              <w:bottom w:val="single" w:sz="4" w:space="0" w:color="auto"/>
              <w:right w:val="single" w:sz="4" w:space="0" w:color="auto"/>
            </w:tcBorders>
            <w:shd w:val="clear" w:color="auto" w:fill="C6D6F4"/>
            <w:tcMar>
              <w:top w:w="0" w:type="dxa"/>
              <w:left w:w="28" w:type="dxa"/>
              <w:bottom w:w="0" w:type="dxa"/>
              <w:right w:w="28" w:type="dxa"/>
            </w:tcMar>
            <w:vAlign w:val="center"/>
          </w:tcPr>
          <w:p w:rsidR="009571FA" w:rsidRDefault="009571FA">
            <w:pPr>
              <w:tabs>
                <w:tab w:val="left" w:pos="253"/>
              </w:tabs>
              <w:spacing w:line="276" w:lineRule="auto"/>
              <w:rPr>
                <w:rFonts w:ascii="Calibri" w:hAnsi="Calibri"/>
                <w:b/>
                <w:lang w:val="es-ES_tradnl"/>
              </w:rPr>
            </w:pPr>
            <w:r>
              <w:rPr>
                <w:rFonts w:ascii="Calibri" w:hAnsi="Calibri"/>
                <w:b/>
                <w:szCs w:val="22"/>
                <w:lang w:val="es-ES_tradnl"/>
              </w:rPr>
              <w:t>By Sex</w:t>
            </w:r>
          </w:p>
        </w:tc>
        <w:tc>
          <w:tcPr>
            <w:tcW w:w="521" w:type="dxa"/>
            <w:tcBorders>
              <w:top w:val="single" w:sz="4" w:space="0" w:color="auto"/>
              <w:left w:val="single" w:sz="4" w:space="0" w:color="auto"/>
              <w:bottom w:val="single" w:sz="4" w:space="0" w:color="auto"/>
              <w:right w:val="single" w:sz="4" w:space="0" w:color="auto"/>
            </w:tcBorders>
            <w:shd w:val="clear" w:color="auto" w:fill="C6D6F4"/>
            <w:vAlign w:val="center"/>
          </w:tcPr>
          <w:p w:rsidR="009571FA" w:rsidRDefault="009571FA">
            <w:pPr>
              <w:tabs>
                <w:tab w:val="left" w:pos="253"/>
              </w:tabs>
              <w:spacing w:line="276" w:lineRule="auto"/>
              <w:jc w:val="center"/>
              <w:rPr>
                <w:rFonts w:ascii="Calibri" w:hAnsi="Calibri"/>
                <w:lang w:val="es-ES_tradnl"/>
              </w:rPr>
            </w:pPr>
          </w:p>
        </w:tc>
        <w:tc>
          <w:tcPr>
            <w:tcW w:w="419" w:type="dxa"/>
            <w:tcBorders>
              <w:top w:val="single" w:sz="4" w:space="0" w:color="auto"/>
              <w:left w:val="single" w:sz="4" w:space="0" w:color="auto"/>
              <w:bottom w:val="single" w:sz="4" w:space="0" w:color="auto"/>
              <w:right w:val="nil"/>
            </w:tcBorders>
            <w:shd w:val="clear" w:color="auto" w:fill="C6D6F4"/>
            <w:vAlign w:val="center"/>
          </w:tcPr>
          <w:p w:rsidR="009571FA" w:rsidRDefault="009571FA">
            <w:pPr>
              <w:spacing w:line="276" w:lineRule="auto"/>
              <w:jc w:val="center"/>
              <w:rPr>
                <w:rFonts w:ascii="Calibri" w:hAnsi="Calibri"/>
                <w:lang w:val="es-ES_tradnl"/>
              </w:rPr>
            </w:pPr>
          </w:p>
        </w:tc>
        <w:tc>
          <w:tcPr>
            <w:tcW w:w="800" w:type="dxa"/>
            <w:tcBorders>
              <w:top w:val="single" w:sz="4" w:space="0" w:color="auto"/>
              <w:left w:val="nil"/>
              <w:bottom w:val="single" w:sz="4" w:space="0" w:color="auto"/>
              <w:right w:val="single" w:sz="4" w:space="0" w:color="auto"/>
            </w:tcBorders>
            <w:shd w:val="clear" w:color="auto" w:fill="C6D6F4"/>
            <w:vAlign w:val="center"/>
          </w:tcPr>
          <w:p w:rsidR="009571FA" w:rsidRDefault="009571FA">
            <w:pPr>
              <w:spacing w:line="276" w:lineRule="auto"/>
              <w:jc w:val="center"/>
              <w:rPr>
                <w:rFonts w:ascii="Calibri" w:hAnsi="Calibri"/>
                <w:lang w:val="es-ES_tradnl"/>
              </w:rPr>
            </w:pPr>
          </w:p>
        </w:tc>
        <w:tc>
          <w:tcPr>
            <w:tcW w:w="714" w:type="dxa"/>
            <w:tcBorders>
              <w:top w:val="single" w:sz="4" w:space="0" w:color="auto"/>
              <w:left w:val="single" w:sz="4" w:space="0" w:color="auto"/>
              <w:bottom w:val="single" w:sz="4" w:space="0" w:color="auto"/>
              <w:right w:val="nil"/>
            </w:tcBorders>
            <w:shd w:val="clear" w:color="auto" w:fill="C6D6F4"/>
            <w:vAlign w:val="center"/>
          </w:tcPr>
          <w:p w:rsidR="009571FA" w:rsidRDefault="009571FA">
            <w:pPr>
              <w:spacing w:line="276" w:lineRule="auto"/>
              <w:jc w:val="center"/>
              <w:rPr>
                <w:rFonts w:ascii="Calibri" w:hAnsi="Calibri"/>
                <w:lang w:val="es-ES_tradnl"/>
              </w:rPr>
            </w:pPr>
          </w:p>
        </w:tc>
        <w:tc>
          <w:tcPr>
            <w:tcW w:w="800" w:type="dxa"/>
            <w:tcBorders>
              <w:top w:val="single" w:sz="4" w:space="0" w:color="auto"/>
              <w:left w:val="nil"/>
              <w:bottom w:val="single" w:sz="4" w:space="0" w:color="auto"/>
              <w:right w:val="single" w:sz="4" w:space="0" w:color="auto"/>
            </w:tcBorders>
            <w:shd w:val="clear" w:color="auto" w:fill="C6D6F4"/>
            <w:vAlign w:val="center"/>
          </w:tcPr>
          <w:p w:rsidR="009571FA" w:rsidRDefault="009571FA">
            <w:pPr>
              <w:spacing w:line="276" w:lineRule="auto"/>
              <w:jc w:val="center"/>
              <w:rPr>
                <w:rFonts w:ascii="Calibri" w:hAnsi="Calibri"/>
                <w:lang w:val="es-ES_tradnl"/>
              </w:rPr>
            </w:pPr>
          </w:p>
        </w:tc>
        <w:tc>
          <w:tcPr>
            <w:tcW w:w="684" w:type="dxa"/>
            <w:tcBorders>
              <w:top w:val="single" w:sz="4" w:space="0" w:color="auto"/>
              <w:left w:val="single" w:sz="4" w:space="0" w:color="auto"/>
              <w:bottom w:val="single" w:sz="4" w:space="0" w:color="auto"/>
              <w:right w:val="nil"/>
            </w:tcBorders>
            <w:shd w:val="clear" w:color="auto" w:fill="C6D6F4"/>
            <w:vAlign w:val="center"/>
          </w:tcPr>
          <w:p w:rsidR="009571FA" w:rsidRDefault="009571FA">
            <w:pPr>
              <w:spacing w:line="276" w:lineRule="auto"/>
              <w:jc w:val="center"/>
              <w:rPr>
                <w:rFonts w:ascii="Calibri" w:hAnsi="Calibri"/>
                <w:lang w:val="es-ES_tradnl"/>
              </w:rPr>
            </w:pPr>
          </w:p>
        </w:tc>
        <w:tc>
          <w:tcPr>
            <w:tcW w:w="800" w:type="dxa"/>
            <w:tcBorders>
              <w:top w:val="single" w:sz="4" w:space="0" w:color="auto"/>
              <w:left w:val="nil"/>
              <w:bottom w:val="single" w:sz="4" w:space="0" w:color="auto"/>
              <w:right w:val="single" w:sz="4" w:space="0" w:color="auto"/>
            </w:tcBorders>
            <w:shd w:val="clear" w:color="auto" w:fill="C6D6F4"/>
            <w:vAlign w:val="center"/>
          </w:tcPr>
          <w:p w:rsidR="009571FA" w:rsidRDefault="009571FA">
            <w:pPr>
              <w:spacing w:line="276" w:lineRule="auto"/>
              <w:jc w:val="center"/>
              <w:rPr>
                <w:rFonts w:ascii="Calibri" w:hAnsi="Calibri"/>
                <w:lang w:val="es-ES_tradnl"/>
              </w:rPr>
            </w:pPr>
          </w:p>
        </w:tc>
        <w:tc>
          <w:tcPr>
            <w:tcW w:w="699" w:type="dxa"/>
            <w:tcBorders>
              <w:top w:val="single" w:sz="4" w:space="0" w:color="auto"/>
              <w:left w:val="single" w:sz="4" w:space="0" w:color="auto"/>
              <w:bottom w:val="single" w:sz="4" w:space="0" w:color="auto"/>
              <w:right w:val="nil"/>
            </w:tcBorders>
            <w:shd w:val="clear" w:color="auto" w:fill="C6D6F4"/>
            <w:vAlign w:val="center"/>
          </w:tcPr>
          <w:p w:rsidR="009571FA" w:rsidRDefault="009571FA">
            <w:pPr>
              <w:spacing w:line="276" w:lineRule="auto"/>
              <w:jc w:val="center"/>
              <w:rPr>
                <w:rFonts w:ascii="Calibri" w:hAnsi="Calibri"/>
                <w:lang w:val="es-ES_tradnl"/>
              </w:rPr>
            </w:pPr>
          </w:p>
        </w:tc>
        <w:tc>
          <w:tcPr>
            <w:tcW w:w="800" w:type="dxa"/>
            <w:tcBorders>
              <w:top w:val="single" w:sz="4" w:space="0" w:color="auto"/>
              <w:left w:val="nil"/>
              <w:bottom w:val="single" w:sz="4" w:space="0" w:color="auto"/>
              <w:right w:val="single" w:sz="4" w:space="0" w:color="auto"/>
            </w:tcBorders>
            <w:shd w:val="clear" w:color="auto" w:fill="C6D6F4"/>
            <w:vAlign w:val="center"/>
          </w:tcPr>
          <w:p w:rsidR="009571FA" w:rsidRDefault="009571FA">
            <w:pPr>
              <w:spacing w:line="276" w:lineRule="auto"/>
              <w:jc w:val="center"/>
              <w:rPr>
                <w:rFonts w:ascii="Calibri" w:hAnsi="Calibri"/>
                <w:lang w:val="es-ES_tradnl"/>
              </w:rPr>
            </w:pPr>
          </w:p>
        </w:tc>
      </w:tr>
      <w:tr w:rsidR="009571FA" w:rsidTr="003947AA">
        <w:trPr>
          <w:trHeight w:val="284"/>
        </w:trPr>
        <w:tc>
          <w:tcPr>
            <w:tcW w:w="1605" w:type="dxa"/>
            <w:tcBorders>
              <w:top w:val="single" w:sz="4" w:space="0" w:color="auto"/>
              <w:left w:val="single" w:sz="4" w:space="0" w:color="auto"/>
              <w:bottom w:val="single" w:sz="4" w:space="0" w:color="BFBFBF"/>
              <w:right w:val="single" w:sz="4" w:space="0" w:color="auto"/>
            </w:tcBorders>
            <w:tcMar>
              <w:top w:w="0" w:type="dxa"/>
              <w:left w:w="28" w:type="dxa"/>
              <w:bottom w:w="0" w:type="dxa"/>
              <w:right w:w="28" w:type="dxa"/>
            </w:tcMar>
            <w:vAlign w:val="center"/>
          </w:tcPr>
          <w:p w:rsidR="009571FA" w:rsidRDefault="009571FA">
            <w:pPr>
              <w:tabs>
                <w:tab w:val="left" w:pos="253"/>
              </w:tabs>
              <w:spacing w:line="276" w:lineRule="auto"/>
              <w:rPr>
                <w:rFonts w:ascii="Calibri" w:hAnsi="Calibri"/>
                <w:lang w:val="es-ES_tradnl"/>
              </w:rPr>
            </w:pPr>
            <w:r>
              <w:rPr>
                <w:rFonts w:ascii="Calibri" w:hAnsi="Calibri"/>
                <w:szCs w:val="22"/>
                <w:lang w:val="es-ES_tradnl"/>
              </w:rPr>
              <w:tab/>
              <w:t>Male Staff</w:t>
            </w:r>
          </w:p>
        </w:tc>
        <w:tc>
          <w:tcPr>
            <w:tcW w:w="521" w:type="dxa"/>
            <w:tcBorders>
              <w:top w:val="single" w:sz="4" w:space="0" w:color="auto"/>
              <w:left w:val="single" w:sz="4" w:space="0" w:color="auto"/>
              <w:bottom w:val="single" w:sz="4" w:space="0" w:color="BFBFBF"/>
              <w:right w:val="single" w:sz="4" w:space="0" w:color="auto"/>
            </w:tcBorders>
            <w:vAlign w:val="center"/>
          </w:tcPr>
          <w:p w:rsidR="009571FA" w:rsidRDefault="009571FA">
            <w:pPr>
              <w:tabs>
                <w:tab w:val="left" w:pos="253"/>
              </w:tabs>
              <w:spacing w:line="276" w:lineRule="auto"/>
              <w:jc w:val="center"/>
              <w:rPr>
                <w:rFonts w:ascii="Calibri" w:hAnsi="Calibri"/>
                <w:lang w:val="es-ES_tradnl"/>
              </w:rPr>
            </w:pPr>
            <w:r>
              <w:rPr>
                <w:rFonts w:ascii="Calibri" w:hAnsi="Calibri"/>
                <w:szCs w:val="22"/>
                <w:lang w:val="es-ES_tradnl"/>
              </w:rPr>
              <w:t>161</w:t>
            </w:r>
          </w:p>
        </w:tc>
        <w:tc>
          <w:tcPr>
            <w:tcW w:w="419" w:type="dxa"/>
            <w:tcBorders>
              <w:top w:val="single" w:sz="4" w:space="0" w:color="auto"/>
              <w:left w:val="single" w:sz="4" w:space="0" w:color="auto"/>
              <w:bottom w:val="single" w:sz="4" w:space="0" w:color="BFBFBF"/>
              <w:right w:val="nil"/>
            </w:tcBorders>
            <w:vAlign w:val="center"/>
          </w:tcPr>
          <w:p w:rsidR="009571FA" w:rsidRDefault="009571FA">
            <w:pPr>
              <w:spacing w:line="276" w:lineRule="auto"/>
              <w:jc w:val="center"/>
              <w:rPr>
                <w:rFonts w:ascii="Calibri" w:hAnsi="Calibri"/>
                <w:lang w:val="es-ES_tradnl"/>
              </w:rPr>
            </w:pPr>
            <w:r>
              <w:rPr>
                <w:rFonts w:ascii="Calibri" w:hAnsi="Calibri"/>
                <w:szCs w:val="22"/>
                <w:lang w:val="es-ES_tradnl"/>
              </w:rPr>
              <w:t>22</w:t>
            </w:r>
          </w:p>
        </w:tc>
        <w:tc>
          <w:tcPr>
            <w:tcW w:w="800" w:type="dxa"/>
            <w:tcBorders>
              <w:top w:val="single" w:sz="4" w:space="0" w:color="auto"/>
              <w:left w:val="nil"/>
              <w:bottom w:val="single" w:sz="4" w:space="0" w:color="BFBFBF"/>
              <w:right w:val="single" w:sz="4" w:space="0" w:color="auto"/>
            </w:tcBorders>
            <w:vAlign w:val="center"/>
          </w:tcPr>
          <w:p w:rsidR="009571FA" w:rsidRDefault="009571FA">
            <w:pPr>
              <w:spacing w:line="276" w:lineRule="auto"/>
              <w:jc w:val="center"/>
              <w:rPr>
                <w:rFonts w:ascii="Calibri" w:hAnsi="Calibri"/>
                <w:lang w:val="es-ES_tradnl"/>
              </w:rPr>
            </w:pPr>
            <w:r>
              <w:rPr>
                <w:rFonts w:ascii="Calibri" w:hAnsi="Calibri"/>
                <w:szCs w:val="22"/>
                <w:lang w:val="es-ES_tradnl"/>
              </w:rPr>
              <w:t>13.7</w:t>
            </w:r>
          </w:p>
        </w:tc>
        <w:tc>
          <w:tcPr>
            <w:tcW w:w="714" w:type="dxa"/>
            <w:tcBorders>
              <w:top w:val="single" w:sz="4" w:space="0" w:color="auto"/>
              <w:left w:val="single" w:sz="4" w:space="0" w:color="auto"/>
              <w:bottom w:val="single" w:sz="4" w:space="0" w:color="BFBFBF"/>
              <w:right w:val="nil"/>
            </w:tcBorders>
            <w:vAlign w:val="center"/>
          </w:tcPr>
          <w:p w:rsidR="009571FA" w:rsidRDefault="009571FA">
            <w:pPr>
              <w:spacing w:line="276" w:lineRule="auto"/>
              <w:jc w:val="center"/>
              <w:rPr>
                <w:rFonts w:ascii="Calibri" w:hAnsi="Calibri"/>
                <w:lang w:val="es-ES_tradnl"/>
              </w:rPr>
            </w:pPr>
            <w:r>
              <w:rPr>
                <w:rFonts w:ascii="Calibri" w:hAnsi="Calibri"/>
                <w:szCs w:val="22"/>
                <w:lang w:val="es-ES_tradnl"/>
              </w:rPr>
              <w:t>53</w:t>
            </w:r>
          </w:p>
        </w:tc>
        <w:tc>
          <w:tcPr>
            <w:tcW w:w="800" w:type="dxa"/>
            <w:tcBorders>
              <w:top w:val="single" w:sz="4" w:space="0" w:color="auto"/>
              <w:left w:val="nil"/>
              <w:bottom w:val="single" w:sz="4" w:space="0" w:color="BFBFBF"/>
              <w:right w:val="single" w:sz="4" w:space="0" w:color="auto"/>
            </w:tcBorders>
            <w:vAlign w:val="center"/>
          </w:tcPr>
          <w:p w:rsidR="009571FA" w:rsidRDefault="009571FA">
            <w:pPr>
              <w:spacing w:line="276" w:lineRule="auto"/>
              <w:jc w:val="center"/>
              <w:rPr>
                <w:rFonts w:ascii="Calibri" w:hAnsi="Calibri"/>
                <w:lang w:val="es-ES_tradnl"/>
              </w:rPr>
            </w:pPr>
            <w:r>
              <w:rPr>
                <w:rFonts w:ascii="Calibri" w:hAnsi="Calibri"/>
                <w:szCs w:val="22"/>
                <w:lang w:val="es-ES_tradnl"/>
              </w:rPr>
              <w:t>32.9</w:t>
            </w:r>
          </w:p>
        </w:tc>
        <w:tc>
          <w:tcPr>
            <w:tcW w:w="684" w:type="dxa"/>
            <w:tcBorders>
              <w:top w:val="single" w:sz="4" w:space="0" w:color="auto"/>
              <w:left w:val="single" w:sz="4" w:space="0" w:color="auto"/>
              <w:bottom w:val="single" w:sz="4" w:space="0" w:color="BFBFBF"/>
              <w:right w:val="nil"/>
            </w:tcBorders>
            <w:vAlign w:val="center"/>
          </w:tcPr>
          <w:p w:rsidR="009571FA" w:rsidRDefault="009571FA">
            <w:pPr>
              <w:spacing w:line="276" w:lineRule="auto"/>
              <w:jc w:val="center"/>
              <w:rPr>
                <w:rFonts w:ascii="Calibri" w:hAnsi="Calibri"/>
                <w:lang w:val="es-ES_tradnl"/>
              </w:rPr>
            </w:pPr>
            <w:r>
              <w:rPr>
                <w:rFonts w:ascii="Calibri" w:hAnsi="Calibri"/>
                <w:szCs w:val="22"/>
                <w:lang w:val="es-ES_tradnl"/>
              </w:rPr>
              <w:t>47</w:t>
            </w:r>
          </w:p>
        </w:tc>
        <w:tc>
          <w:tcPr>
            <w:tcW w:w="800" w:type="dxa"/>
            <w:tcBorders>
              <w:top w:val="single" w:sz="4" w:space="0" w:color="auto"/>
              <w:left w:val="nil"/>
              <w:bottom w:val="single" w:sz="4" w:space="0" w:color="BFBFBF"/>
              <w:right w:val="single" w:sz="4" w:space="0" w:color="auto"/>
            </w:tcBorders>
            <w:vAlign w:val="center"/>
          </w:tcPr>
          <w:p w:rsidR="009571FA" w:rsidRDefault="009571FA">
            <w:pPr>
              <w:spacing w:line="276" w:lineRule="auto"/>
              <w:jc w:val="center"/>
              <w:rPr>
                <w:rFonts w:ascii="Calibri" w:hAnsi="Calibri"/>
                <w:lang w:val="es-ES_tradnl"/>
              </w:rPr>
            </w:pPr>
            <w:r>
              <w:rPr>
                <w:rFonts w:ascii="Calibri" w:hAnsi="Calibri"/>
                <w:szCs w:val="22"/>
                <w:lang w:val="es-ES_tradnl"/>
              </w:rPr>
              <w:t>29.2</w:t>
            </w:r>
          </w:p>
        </w:tc>
        <w:tc>
          <w:tcPr>
            <w:tcW w:w="699" w:type="dxa"/>
            <w:tcBorders>
              <w:top w:val="single" w:sz="4" w:space="0" w:color="auto"/>
              <w:left w:val="single" w:sz="4" w:space="0" w:color="auto"/>
              <w:bottom w:val="single" w:sz="4" w:space="0" w:color="BFBFBF"/>
              <w:right w:val="nil"/>
            </w:tcBorders>
            <w:vAlign w:val="center"/>
          </w:tcPr>
          <w:p w:rsidR="009571FA" w:rsidRDefault="009571FA">
            <w:pPr>
              <w:spacing w:line="276" w:lineRule="auto"/>
              <w:jc w:val="center"/>
              <w:rPr>
                <w:rFonts w:ascii="Calibri" w:hAnsi="Calibri"/>
                <w:lang w:val="es-ES_tradnl"/>
              </w:rPr>
            </w:pPr>
            <w:r>
              <w:rPr>
                <w:rFonts w:ascii="Calibri" w:hAnsi="Calibri"/>
                <w:szCs w:val="22"/>
                <w:lang w:val="es-ES_tradnl"/>
              </w:rPr>
              <w:t>39</w:t>
            </w:r>
          </w:p>
        </w:tc>
        <w:tc>
          <w:tcPr>
            <w:tcW w:w="800" w:type="dxa"/>
            <w:tcBorders>
              <w:top w:val="single" w:sz="4" w:space="0" w:color="auto"/>
              <w:left w:val="nil"/>
              <w:bottom w:val="single" w:sz="4" w:space="0" w:color="BFBFBF"/>
              <w:right w:val="single" w:sz="4" w:space="0" w:color="auto"/>
            </w:tcBorders>
            <w:vAlign w:val="center"/>
          </w:tcPr>
          <w:p w:rsidR="009571FA" w:rsidRDefault="009571FA">
            <w:pPr>
              <w:spacing w:line="276" w:lineRule="auto"/>
              <w:jc w:val="center"/>
              <w:rPr>
                <w:rFonts w:ascii="Calibri" w:hAnsi="Calibri"/>
                <w:lang w:val="es-ES_tradnl"/>
              </w:rPr>
            </w:pPr>
            <w:r>
              <w:rPr>
                <w:rFonts w:ascii="Calibri" w:hAnsi="Calibri"/>
                <w:szCs w:val="22"/>
                <w:lang w:val="es-ES_tradnl"/>
              </w:rPr>
              <w:t>24.2</w:t>
            </w:r>
          </w:p>
        </w:tc>
      </w:tr>
      <w:tr w:rsidR="009571FA" w:rsidTr="003947AA">
        <w:trPr>
          <w:trHeight w:val="284"/>
        </w:trPr>
        <w:tc>
          <w:tcPr>
            <w:tcW w:w="1605" w:type="dxa"/>
            <w:tcBorders>
              <w:top w:val="single" w:sz="4" w:space="0" w:color="BFBFBF"/>
              <w:left w:val="single" w:sz="4" w:space="0" w:color="auto"/>
              <w:bottom w:val="single" w:sz="4" w:space="0" w:color="auto"/>
              <w:right w:val="single" w:sz="4" w:space="0" w:color="auto"/>
            </w:tcBorders>
            <w:tcMar>
              <w:top w:w="0" w:type="dxa"/>
              <w:left w:w="28" w:type="dxa"/>
              <w:bottom w:w="0" w:type="dxa"/>
              <w:right w:w="28" w:type="dxa"/>
            </w:tcMar>
            <w:vAlign w:val="center"/>
          </w:tcPr>
          <w:p w:rsidR="009571FA" w:rsidRDefault="009571FA">
            <w:pPr>
              <w:tabs>
                <w:tab w:val="left" w:pos="253"/>
              </w:tabs>
              <w:spacing w:line="276" w:lineRule="auto"/>
              <w:rPr>
                <w:rFonts w:ascii="Calibri" w:hAnsi="Calibri"/>
                <w:lang w:val="es-ES_tradnl"/>
              </w:rPr>
            </w:pPr>
            <w:r>
              <w:rPr>
                <w:rFonts w:ascii="Calibri" w:hAnsi="Calibri"/>
                <w:szCs w:val="22"/>
                <w:lang w:val="es-ES_tradnl"/>
              </w:rPr>
              <w:tab/>
              <w:t>Female Staff</w:t>
            </w:r>
          </w:p>
        </w:tc>
        <w:tc>
          <w:tcPr>
            <w:tcW w:w="521" w:type="dxa"/>
            <w:tcBorders>
              <w:top w:val="single" w:sz="4" w:space="0" w:color="BFBFBF"/>
              <w:left w:val="single" w:sz="4" w:space="0" w:color="auto"/>
              <w:bottom w:val="single" w:sz="4" w:space="0" w:color="auto"/>
              <w:right w:val="single" w:sz="4" w:space="0" w:color="auto"/>
            </w:tcBorders>
            <w:vAlign w:val="center"/>
          </w:tcPr>
          <w:p w:rsidR="009571FA" w:rsidRDefault="009571FA">
            <w:pPr>
              <w:tabs>
                <w:tab w:val="left" w:pos="253"/>
              </w:tabs>
              <w:spacing w:line="276" w:lineRule="auto"/>
              <w:jc w:val="center"/>
              <w:rPr>
                <w:rFonts w:ascii="Calibri" w:hAnsi="Calibri"/>
                <w:lang w:val="es-ES_tradnl"/>
              </w:rPr>
            </w:pPr>
            <w:r>
              <w:rPr>
                <w:rFonts w:ascii="Calibri" w:hAnsi="Calibri"/>
                <w:szCs w:val="22"/>
                <w:lang w:val="es-ES_tradnl"/>
              </w:rPr>
              <w:t>229</w:t>
            </w:r>
          </w:p>
        </w:tc>
        <w:tc>
          <w:tcPr>
            <w:tcW w:w="419" w:type="dxa"/>
            <w:tcBorders>
              <w:top w:val="single" w:sz="4" w:space="0" w:color="BFBFBF"/>
              <w:left w:val="single" w:sz="4" w:space="0" w:color="auto"/>
              <w:bottom w:val="single" w:sz="4" w:space="0" w:color="auto"/>
              <w:right w:val="nil"/>
            </w:tcBorders>
            <w:vAlign w:val="center"/>
          </w:tcPr>
          <w:p w:rsidR="009571FA" w:rsidRDefault="009571FA">
            <w:pPr>
              <w:spacing w:line="276" w:lineRule="auto"/>
              <w:jc w:val="center"/>
              <w:rPr>
                <w:rFonts w:ascii="Calibri" w:hAnsi="Calibri"/>
                <w:lang w:val="es-ES_tradnl"/>
              </w:rPr>
            </w:pPr>
            <w:r>
              <w:rPr>
                <w:rFonts w:ascii="Calibri" w:hAnsi="Calibri"/>
                <w:szCs w:val="22"/>
                <w:lang w:val="es-ES_tradnl"/>
              </w:rPr>
              <w:t>57</w:t>
            </w:r>
          </w:p>
        </w:tc>
        <w:tc>
          <w:tcPr>
            <w:tcW w:w="800" w:type="dxa"/>
            <w:tcBorders>
              <w:top w:val="single" w:sz="4" w:space="0" w:color="BFBFBF"/>
              <w:left w:val="nil"/>
              <w:bottom w:val="single" w:sz="4" w:space="0" w:color="auto"/>
              <w:right w:val="single" w:sz="4" w:space="0" w:color="auto"/>
            </w:tcBorders>
            <w:vAlign w:val="center"/>
          </w:tcPr>
          <w:p w:rsidR="009571FA" w:rsidRDefault="009571FA">
            <w:pPr>
              <w:spacing w:line="276" w:lineRule="auto"/>
              <w:jc w:val="center"/>
              <w:rPr>
                <w:rFonts w:ascii="Calibri" w:hAnsi="Calibri"/>
                <w:lang w:val="es-ES_tradnl"/>
              </w:rPr>
            </w:pPr>
            <w:r>
              <w:rPr>
                <w:rFonts w:ascii="Calibri" w:hAnsi="Calibri"/>
                <w:szCs w:val="22"/>
                <w:lang w:val="es-ES_tradnl"/>
              </w:rPr>
              <w:t>24.9</w:t>
            </w:r>
          </w:p>
        </w:tc>
        <w:tc>
          <w:tcPr>
            <w:tcW w:w="714" w:type="dxa"/>
            <w:tcBorders>
              <w:top w:val="single" w:sz="4" w:space="0" w:color="BFBFBF"/>
              <w:left w:val="single" w:sz="4" w:space="0" w:color="auto"/>
              <w:bottom w:val="single" w:sz="4" w:space="0" w:color="auto"/>
              <w:right w:val="nil"/>
            </w:tcBorders>
            <w:vAlign w:val="center"/>
          </w:tcPr>
          <w:p w:rsidR="009571FA" w:rsidRDefault="009571FA">
            <w:pPr>
              <w:spacing w:line="276" w:lineRule="auto"/>
              <w:jc w:val="center"/>
              <w:rPr>
                <w:rFonts w:ascii="Calibri" w:hAnsi="Calibri"/>
                <w:lang w:val="es-ES_tradnl"/>
              </w:rPr>
            </w:pPr>
            <w:r>
              <w:rPr>
                <w:rFonts w:ascii="Calibri" w:hAnsi="Calibri"/>
                <w:szCs w:val="22"/>
                <w:lang w:val="es-ES_tradnl"/>
              </w:rPr>
              <w:t>94</w:t>
            </w:r>
          </w:p>
        </w:tc>
        <w:tc>
          <w:tcPr>
            <w:tcW w:w="800" w:type="dxa"/>
            <w:tcBorders>
              <w:top w:val="single" w:sz="4" w:space="0" w:color="BFBFBF"/>
              <w:left w:val="nil"/>
              <w:bottom w:val="single" w:sz="4" w:space="0" w:color="auto"/>
              <w:right w:val="single" w:sz="4" w:space="0" w:color="auto"/>
            </w:tcBorders>
            <w:vAlign w:val="center"/>
          </w:tcPr>
          <w:p w:rsidR="009571FA" w:rsidRDefault="009571FA">
            <w:pPr>
              <w:spacing w:line="276" w:lineRule="auto"/>
              <w:jc w:val="center"/>
              <w:rPr>
                <w:rFonts w:ascii="Calibri" w:hAnsi="Calibri"/>
                <w:lang w:val="es-ES_tradnl"/>
              </w:rPr>
            </w:pPr>
            <w:r>
              <w:rPr>
                <w:rFonts w:ascii="Calibri" w:hAnsi="Calibri"/>
                <w:szCs w:val="22"/>
                <w:lang w:val="es-ES_tradnl"/>
              </w:rPr>
              <w:t>41.1</w:t>
            </w:r>
          </w:p>
        </w:tc>
        <w:tc>
          <w:tcPr>
            <w:tcW w:w="684" w:type="dxa"/>
            <w:tcBorders>
              <w:top w:val="single" w:sz="4" w:space="0" w:color="BFBFBF"/>
              <w:left w:val="single" w:sz="4" w:space="0" w:color="auto"/>
              <w:bottom w:val="single" w:sz="4" w:space="0" w:color="auto"/>
              <w:right w:val="nil"/>
            </w:tcBorders>
            <w:vAlign w:val="center"/>
          </w:tcPr>
          <w:p w:rsidR="009571FA" w:rsidRDefault="009571FA">
            <w:pPr>
              <w:spacing w:line="276" w:lineRule="auto"/>
              <w:jc w:val="center"/>
              <w:rPr>
                <w:rFonts w:ascii="Calibri" w:hAnsi="Calibri"/>
                <w:lang w:val="es-ES_tradnl"/>
              </w:rPr>
            </w:pPr>
            <w:r>
              <w:rPr>
                <w:rFonts w:ascii="Calibri" w:hAnsi="Calibri"/>
                <w:szCs w:val="22"/>
                <w:lang w:val="es-ES_tradnl"/>
              </w:rPr>
              <w:t>38</w:t>
            </w:r>
          </w:p>
        </w:tc>
        <w:tc>
          <w:tcPr>
            <w:tcW w:w="800" w:type="dxa"/>
            <w:tcBorders>
              <w:top w:val="single" w:sz="4" w:space="0" w:color="BFBFBF"/>
              <w:left w:val="nil"/>
              <w:bottom w:val="single" w:sz="4" w:space="0" w:color="auto"/>
              <w:right w:val="single" w:sz="4" w:space="0" w:color="auto"/>
            </w:tcBorders>
            <w:vAlign w:val="center"/>
          </w:tcPr>
          <w:p w:rsidR="009571FA" w:rsidRDefault="009571FA">
            <w:pPr>
              <w:spacing w:line="276" w:lineRule="auto"/>
              <w:jc w:val="center"/>
              <w:rPr>
                <w:rFonts w:ascii="Calibri" w:hAnsi="Calibri"/>
                <w:lang w:val="es-ES_tradnl"/>
              </w:rPr>
            </w:pPr>
            <w:r>
              <w:rPr>
                <w:rFonts w:ascii="Calibri" w:hAnsi="Calibri"/>
                <w:szCs w:val="22"/>
                <w:lang w:val="es-ES_tradnl"/>
              </w:rPr>
              <w:t>16.6</w:t>
            </w:r>
          </w:p>
        </w:tc>
        <w:tc>
          <w:tcPr>
            <w:tcW w:w="699" w:type="dxa"/>
            <w:tcBorders>
              <w:top w:val="single" w:sz="4" w:space="0" w:color="BFBFBF"/>
              <w:left w:val="single" w:sz="4" w:space="0" w:color="auto"/>
              <w:bottom w:val="single" w:sz="4" w:space="0" w:color="auto"/>
              <w:right w:val="nil"/>
            </w:tcBorders>
            <w:vAlign w:val="center"/>
          </w:tcPr>
          <w:p w:rsidR="009571FA" w:rsidRDefault="009571FA">
            <w:pPr>
              <w:spacing w:line="276" w:lineRule="auto"/>
              <w:jc w:val="center"/>
              <w:rPr>
                <w:rFonts w:ascii="Calibri" w:hAnsi="Calibri"/>
                <w:lang w:val="es-ES_tradnl"/>
              </w:rPr>
            </w:pPr>
            <w:r>
              <w:rPr>
                <w:rFonts w:ascii="Calibri" w:hAnsi="Calibri"/>
                <w:szCs w:val="22"/>
                <w:lang w:val="es-ES_tradnl"/>
              </w:rPr>
              <w:t>40</w:t>
            </w:r>
          </w:p>
        </w:tc>
        <w:tc>
          <w:tcPr>
            <w:tcW w:w="800" w:type="dxa"/>
            <w:tcBorders>
              <w:top w:val="single" w:sz="4" w:space="0" w:color="BFBFBF"/>
              <w:left w:val="nil"/>
              <w:bottom w:val="single" w:sz="4" w:space="0" w:color="auto"/>
              <w:right w:val="single" w:sz="4" w:space="0" w:color="auto"/>
            </w:tcBorders>
            <w:vAlign w:val="center"/>
          </w:tcPr>
          <w:p w:rsidR="009571FA" w:rsidRDefault="009571FA">
            <w:pPr>
              <w:spacing w:line="276" w:lineRule="auto"/>
              <w:jc w:val="center"/>
              <w:rPr>
                <w:rFonts w:ascii="Calibri" w:hAnsi="Calibri"/>
                <w:lang w:val="es-ES_tradnl"/>
              </w:rPr>
            </w:pPr>
            <w:r>
              <w:rPr>
                <w:rFonts w:ascii="Calibri" w:hAnsi="Calibri"/>
                <w:szCs w:val="22"/>
                <w:lang w:val="es-ES_tradnl"/>
              </w:rPr>
              <w:t>17.5</w:t>
            </w:r>
          </w:p>
        </w:tc>
      </w:tr>
      <w:tr w:rsidR="009571FA" w:rsidTr="003947AA">
        <w:trPr>
          <w:trHeight w:val="284"/>
        </w:trPr>
        <w:tc>
          <w:tcPr>
            <w:tcW w:w="16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571FA" w:rsidRDefault="009571FA">
            <w:pPr>
              <w:tabs>
                <w:tab w:val="left" w:pos="253"/>
              </w:tabs>
              <w:spacing w:line="276" w:lineRule="auto"/>
              <w:rPr>
                <w:rFonts w:ascii="Calibri" w:hAnsi="Calibri"/>
                <w:lang w:val="es-ES_tradnl"/>
              </w:rPr>
            </w:pPr>
            <w:r>
              <w:rPr>
                <w:rFonts w:ascii="Calibri" w:hAnsi="Calibri"/>
                <w:szCs w:val="22"/>
                <w:lang w:val="es-ES_tradnl"/>
              </w:rPr>
              <w:t>p-value</w:t>
            </w:r>
          </w:p>
        </w:tc>
        <w:tc>
          <w:tcPr>
            <w:tcW w:w="521" w:type="dxa"/>
            <w:tcBorders>
              <w:top w:val="single" w:sz="4" w:space="0" w:color="auto"/>
              <w:left w:val="single" w:sz="4" w:space="0" w:color="auto"/>
              <w:bottom w:val="single" w:sz="4" w:space="0" w:color="auto"/>
              <w:right w:val="single" w:sz="4" w:space="0" w:color="auto"/>
            </w:tcBorders>
            <w:vAlign w:val="center"/>
          </w:tcPr>
          <w:p w:rsidR="009571FA" w:rsidRDefault="009571FA">
            <w:pPr>
              <w:tabs>
                <w:tab w:val="left" w:pos="253"/>
              </w:tabs>
              <w:spacing w:line="276" w:lineRule="auto"/>
              <w:jc w:val="center"/>
              <w:rPr>
                <w:rFonts w:ascii="Calibri" w:hAnsi="Calibri"/>
                <w:lang w:val="es-ES_tradnl"/>
              </w:rPr>
            </w:pPr>
          </w:p>
        </w:tc>
        <w:tc>
          <w:tcPr>
            <w:tcW w:w="5716" w:type="dxa"/>
            <w:gridSpan w:val="8"/>
            <w:tcBorders>
              <w:top w:val="nil"/>
              <w:left w:val="single" w:sz="4" w:space="0" w:color="auto"/>
              <w:bottom w:val="single" w:sz="4" w:space="0" w:color="auto"/>
              <w:right w:val="single" w:sz="4" w:space="0" w:color="auto"/>
            </w:tcBorders>
            <w:vAlign w:val="center"/>
          </w:tcPr>
          <w:p w:rsidR="009571FA" w:rsidRDefault="009571FA">
            <w:pPr>
              <w:spacing w:line="276" w:lineRule="auto"/>
              <w:jc w:val="center"/>
              <w:rPr>
                <w:rFonts w:ascii="Calibri" w:hAnsi="Calibri"/>
                <w:lang w:val="es-ES_tradnl"/>
              </w:rPr>
            </w:pPr>
            <w:r>
              <w:rPr>
                <w:rFonts w:ascii="Calibri" w:hAnsi="Calibri"/>
                <w:szCs w:val="22"/>
                <w:lang w:val="es-ES_tradnl"/>
              </w:rPr>
              <w:t>0.0009</w:t>
            </w:r>
          </w:p>
        </w:tc>
      </w:tr>
      <w:tr w:rsidR="009571FA" w:rsidTr="003947AA">
        <w:trPr>
          <w:trHeight w:val="284"/>
        </w:trPr>
        <w:tc>
          <w:tcPr>
            <w:tcW w:w="1605" w:type="dxa"/>
            <w:tcBorders>
              <w:top w:val="single" w:sz="4" w:space="0" w:color="auto"/>
              <w:left w:val="single" w:sz="4" w:space="0" w:color="auto"/>
              <w:bottom w:val="single" w:sz="4" w:space="0" w:color="auto"/>
              <w:right w:val="single" w:sz="4" w:space="0" w:color="auto"/>
            </w:tcBorders>
            <w:shd w:val="clear" w:color="auto" w:fill="C6D6F4"/>
            <w:tcMar>
              <w:top w:w="0" w:type="dxa"/>
              <w:left w:w="28" w:type="dxa"/>
              <w:bottom w:w="0" w:type="dxa"/>
              <w:right w:w="28" w:type="dxa"/>
            </w:tcMar>
            <w:vAlign w:val="center"/>
          </w:tcPr>
          <w:p w:rsidR="009571FA" w:rsidRDefault="009571FA">
            <w:pPr>
              <w:tabs>
                <w:tab w:val="left" w:pos="253"/>
              </w:tabs>
              <w:spacing w:line="276" w:lineRule="auto"/>
              <w:rPr>
                <w:rFonts w:ascii="Calibri" w:hAnsi="Calibri"/>
                <w:b/>
                <w:lang w:val="es-ES_tradnl"/>
              </w:rPr>
            </w:pPr>
            <w:r>
              <w:rPr>
                <w:rFonts w:ascii="Calibri" w:hAnsi="Calibri"/>
                <w:b/>
                <w:szCs w:val="22"/>
                <w:lang w:val="es-ES_tradnl"/>
              </w:rPr>
              <w:t>By Grade</w:t>
            </w:r>
          </w:p>
        </w:tc>
        <w:tc>
          <w:tcPr>
            <w:tcW w:w="521" w:type="dxa"/>
            <w:tcBorders>
              <w:top w:val="single" w:sz="4" w:space="0" w:color="auto"/>
              <w:left w:val="single" w:sz="4" w:space="0" w:color="auto"/>
              <w:bottom w:val="single" w:sz="4" w:space="0" w:color="auto"/>
              <w:right w:val="single" w:sz="4" w:space="0" w:color="auto"/>
            </w:tcBorders>
            <w:shd w:val="clear" w:color="auto" w:fill="C6D6F4"/>
            <w:vAlign w:val="center"/>
          </w:tcPr>
          <w:p w:rsidR="009571FA" w:rsidRDefault="009571FA">
            <w:pPr>
              <w:tabs>
                <w:tab w:val="left" w:pos="253"/>
              </w:tabs>
              <w:spacing w:line="276" w:lineRule="auto"/>
              <w:jc w:val="center"/>
              <w:rPr>
                <w:rFonts w:ascii="Calibri" w:hAnsi="Calibri"/>
                <w:lang w:val="es-ES_tradnl"/>
              </w:rPr>
            </w:pPr>
          </w:p>
        </w:tc>
        <w:tc>
          <w:tcPr>
            <w:tcW w:w="419" w:type="dxa"/>
            <w:tcBorders>
              <w:top w:val="single" w:sz="4" w:space="0" w:color="auto"/>
              <w:left w:val="single" w:sz="4" w:space="0" w:color="auto"/>
              <w:bottom w:val="single" w:sz="4" w:space="0" w:color="auto"/>
              <w:right w:val="nil"/>
            </w:tcBorders>
            <w:shd w:val="clear" w:color="auto" w:fill="C6D6F4"/>
            <w:vAlign w:val="center"/>
          </w:tcPr>
          <w:p w:rsidR="009571FA" w:rsidRDefault="009571FA">
            <w:pPr>
              <w:spacing w:line="276" w:lineRule="auto"/>
              <w:jc w:val="center"/>
              <w:rPr>
                <w:rFonts w:ascii="Calibri" w:hAnsi="Calibri"/>
                <w:lang w:val="es-ES_tradnl"/>
              </w:rPr>
            </w:pPr>
          </w:p>
        </w:tc>
        <w:tc>
          <w:tcPr>
            <w:tcW w:w="800" w:type="dxa"/>
            <w:tcBorders>
              <w:top w:val="single" w:sz="4" w:space="0" w:color="auto"/>
              <w:left w:val="nil"/>
              <w:bottom w:val="single" w:sz="4" w:space="0" w:color="auto"/>
              <w:right w:val="single" w:sz="4" w:space="0" w:color="auto"/>
            </w:tcBorders>
            <w:shd w:val="clear" w:color="auto" w:fill="C6D6F4"/>
            <w:vAlign w:val="center"/>
          </w:tcPr>
          <w:p w:rsidR="009571FA" w:rsidRDefault="009571FA">
            <w:pPr>
              <w:spacing w:line="276" w:lineRule="auto"/>
              <w:jc w:val="center"/>
              <w:rPr>
                <w:rFonts w:ascii="Calibri" w:hAnsi="Calibri"/>
                <w:lang w:val="es-ES_tradnl"/>
              </w:rPr>
            </w:pPr>
          </w:p>
        </w:tc>
        <w:tc>
          <w:tcPr>
            <w:tcW w:w="714" w:type="dxa"/>
            <w:tcBorders>
              <w:top w:val="single" w:sz="4" w:space="0" w:color="auto"/>
              <w:left w:val="single" w:sz="4" w:space="0" w:color="auto"/>
              <w:bottom w:val="single" w:sz="4" w:space="0" w:color="auto"/>
              <w:right w:val="nil"/>
            </w:tcBorders>
            <w:shd w:val="clear" w:color="auto" w:fill="C6D6F4"/>
            <w:vAlign w:val="center"/>
          </w:tcPr>
          <w:p w:rsidR="009571FA" w:rsidRDefault="009571FA">
            <w:pPr>
              <w:spacing w:line="276" w:lineRule="auto"/>
              <w:jc w:val="center"/>
              <w:rPr>
                <w:rFonts w:ascii="Calibri" w:hAnsi="Calibri"/>
                <w:lang w:val="es-ES_tradnl"/>
              </w:rPr>
            </w:pPr>
          </w:p>
        </w:tc>
        <w:tc>
          <w:tcPr>
            <w:tcW w:w="800" w:type="dxa"/>
            <w:tcBorders>
              <w:top w:val="single" w:sz="4" w:space="0" w:color="auto"/>
              <w:left w:val="nil"/>
              <w:bottom w:val="single" w:sz="4" w:space="0" w:color="auto"/>
              <w:right w:val="single" w:sz="4" w:space="0" w:color="auto"/>
            </w:tcBorders>
            <w:shd w:val="clear" w:color="auto" w:fill="C6D6F4"/>
            <w:vAlign w:val="center"/>
          </w:tcPr>
          <w:p w:rsidR="009571FA" w:rsidRDefault="009571FA">
            <w:pPr>
              <w:spacing w:line="276" w:lineRule="auto"/>
              <w:jc w:val="center"/>
              <w:rPr>
                <w:rFonts w:ascii="Calibri" w:hAnsi="Calibri"/>
                <w:lang w:val="es-ES_tradnl"/>
              </w:rPr>
            </w:pPr>
          </w:p>
        </w:tc>
        <w:tc>
          <w:tcPr>
            <w:tcW w:w="684" w:type="dxa"/>
            <w:tcBorders>
              <w:top w:val="single" w:sz="4" w:space="0" w:color="auto"/>
              <w:left w:val="single" w:sz="4" w:space="0" w:color="auto"/>
              <w:bottom w:val="single" w:sz="4" w:space="0" w:color="auto"/>
              <w:right w:val="nil"/>
            </w:tcBorders>
            <w:shd w:val="clear" w:color="auto" w:fill="C6D6F4"/>
            <w:vAlign w:val="center"/>
          </w:tcPr>
          <w:p w:rsidR="009571FA" w:rsidRDefault="009571FA">
            <w:pPr>
              <w:spacing w:line="276" w:lineRule="auto"/>
              <w:jc w:val="center"/>
              <w:rPr>
                <w:rFonts w:ascii="Calibri" w:hAnsi="Calibri"/>
                <w:lang w:val="es-ES_tradnl"/>
              </w:rPr>
            </w:pPr>
          </w:p>
        </w:tc>
        <w:tc>
          <w:tcPr>
            <w:tcW w:w="800" w:type="dxa"/>
            <w:tcBorders>
              <w:top w:val="single" w:sz="4" w:space="0" w:color="auto"/>
              <w:left w:val="nil"/>
              <w:bottom w:val="single" w:sz="4" w:space="0" w:color="auto"/>
              <w:right w:val="single" w:sz="4" w:space="0" w:color="auto"/>
            </w:tcBorders>
            <w:shd w:val="clear" w:color="auto" w:fill="C6D6F4"/>
            <w:vAlign w:val="center"/>
          </w:tcPr>
          <w:p w:rsidR="009571FA" w:rsidRDefault="009571FA">
            <w:pPr>
              <w:spacing w:line="276" w:lineRule="auto"/>
              <w:jc w:val="center"/>
              <w:rPr>
                <w:rFonts w:ascii="Calibri" w:hAnsi="Calibri"/>
                <w:lang w:val="es-ES_tradnl"/>
              </w:rPr>
            </w:pPr>
          </w:p>
        </w:tc>
        <w:tc>
          <w:tcPr>
            <w:tcW w:w="699" w:type="dxa"/>
            <w:tcBorders>
              <w:top w:val="single" w:sz="4" w:space="0" w:color="auto"/>
              <w:left w:val="single" w:sz="4" w:space="0" w:color="auto"/>
              <w:bottom w:val="single" w:sz="4" w:space="0" w:color="auto"/>
              <w:right w:val="nil"/>
            </w:tcBorders>
            <w:shd w:val="clear" w:color="auto" w:fill="C6D6F4"/>
            <w:vAlign w:val="center"/>
          </w:tcPr>
          <w:p w:rsidR="009571FA" w:rsidRDefault="009571FA">
            <w:pPr>
              <w:spacing w:line="276" w:lineRule="auto"/>
              <w:jc w:val="center"/>
              <w:rPr>
                <w:rFonts w:ascii="Calibri" w:hAnsi="Calibri"/>
                <w:lang w:val="es-ES_tradnl"/>
              </w:rPr>
            </w:pPr>
          </w:p>
        </w:tc>
        <w:tc>
          <w:tcPr>
            <w:tcW w:w="800" w:type="dxa"/>
            <w:tcBorders>
              <w:top w:val="single" w:sz="4" w:space="0" w:color="auto"/>
              <w:left w:val="nil"/>
              <w:bottom w:val="single" w:sz="4" w:space="0" w:color="auto"/>
              <w:right w:val="single" w:sz="4" w:space="0" w:color="auto"/>
            </w:tcBorders>
            <w:shd w:val="clear" w:color="auto" w:fill="C6D6F4"/>
            <w:vAlign w:val="center"/>
          </w:tcPr>
          <w:p w:rsidR="009571FA" w:rsidRDefault="009571FA">
            <w:pPr>
              <w:spacing w:line="276" w:lineRule="auto"/>
              <w:jc w:val="center"/>
              <w:rPr>
                <w:rFonts w:ascii="Calibri" w:hAnsi="Calibri"/>
                <w:lang w:val="es-ES_tradnl"/>
              </w:rPr>
            </w:pPr>
          </w:p>
        </w:tc>
      </w:tr>
      <w:tr w:rsidR="009571FA" w:rsidTr="003947AA">
        <w:trPr>
          <w:trHeight w:val="284"/>
        </w:trPr>
        <w:tc>
          <w:tcPr>
            <w:tcW w:w="1605" w:type="dxa"/>
            <w:tcBorders>
              <w:top w:val="single" w:sz="4" w:space="0" w:color="auto"/>
              <w:left w:val="single" w:sz="4" w:space="0" w:color="auto"/>
              <w:bottom w:val="single" w:sz="4" w:space="0" w:color="BFBFBF"/>
              <w:right w:val="single" w:sz="4" w:space="0" w:color="auto"/>
            </w:tcBorders>
            <w:tcMar>
              <w:top w:w="0" w:type="dxa"/>
              <w:left w:w="28" w:type="dxa"/>
              <w:bottom w:w="0" w:type="dxa"/>
              <w:right w:w="28" w:type="dxa"/>
            </w:tcMar>
            <w:vAlign w:val="center"/>
          </w:tcPr>
          <w:p w:rsidR="009571FA" w:rsidRDefault="009571FA">
            <w:pPr>
              <w:tabs>
                <w:tab w:val="left" w:pos="253"/>
              </w:tabs>
              <w:spacing w:line="276" w:lineRule="auto"/>
              <w:rPr>
                <w:rFonts w:ascii="Calibri" w:hAnsi="Calibri"/>
                <w:lang w:val="es-ES_tradnl"/>
              </w:rPr>
            </w:pPr>
            <w:r>
              <w:rPr>
                <w:rFonts w:ascii="Calibri" w:hAnsi="Calibri"/>
                <w:szCs w:val="22"/>
                <w:lang w:val="es-ES_tradnl"/>
              </w:rPr>
              <w:tab/>
              <w:t>D</w:t>
            </w:r>
          </w:p>
        </w:tc>
        <w:tc>
          <w:tcPr>
            <w:tcW w:w="521" w:type="dxa"/>
            <w:tcBorders>
              <w:top w:val="single" w:sz="4" w:space="0" w:color="auto"/>
              <w:left w:val="single" w:sz="4" w:space="0" w:color="auto"/>
              <w:bottom w:val="single" w:sz="4" w:space="0" w:color="BFBFBF"/>
              <w:right w:val="single" w:sz="4" w:space="0" w:color="auto"/>
            </w:tcBorders>
            <w:vAlign w:val="center"/>
          </w:tcPr>
          <w:p w:rsidR="009571FA" w:rsidRDefault="009571FA">
            <w:pPr>
              <w:tabs>
                <w:tab w:val="left" w:pos="253"/>
              </w:tabs>
              <w:spacing w:line="276" w:lineRule="auto"/>
              <w:jc w:val="center"/>
              <w:rPr>
                <w:rFonts w:ascii="Calibri" w:hAnsi="Calibri"/>
                <w:lang w:val="es-ES_tradnl"/>
              </w:rPr>
            </w:pPr>
            <w:r>
              <w:rPr>
                <w:rFonts w:ascii="Calibri" w:hAnsi="Calibri"/>
                <w:szCs w:val="22"/>
                <w:lang w:val="es-ES_tradnl"/>
              </w:rPr>
              <w:t>10</w:t>
            </w:r>
          </w:p>
        </w:tc>
        <w:tc>
          <w:tcPr>
            <w:tcW w:w="419" w:type="dxa"/>
            <w:tcBorders>
              <w:top w:val="single" w:sz="4" w:space="0" w:color="auto"/>
              <w:left w:val="single" w:sz="4" w:space="0" w:color="auto"/>
              <w:bottom w:val="single" w:sz="4" w:space="0" w:color="BFBFBF"/>
              <w:right w:val="nil"/>
            </w:tcBorders>
            <w:vAlign w:val="center"/>
          </w:tcPr>
          <w:p w:rsidR="009571FA" w:rsidRDefault="009571FA">
            <w:pPr>
              <w:spacing w:line="276" w:lineRule="auto"/>
              <w:jc w:val="center"/>
              <w:rPr>
                <w:rFonts w:ascii="Calibri" w:hAnsi="Calibri"/>
                <w:lang w:val="es-ES_tradnl"/>
              </w:rPr>
            </w:pPr>
            <w:r>
              <w:rPr>
                <w:rFonts w:ascii="Calibri" w:hAnsi="Calibri"/>
                <w:szCs w:val="22"/>
                <w:lang w:val="es-ES_tradnl"/>
              </w:rPr>
              <w:t>0</w:t>
            </w:r>
          </w:p>
        </w:tc>
        <w:tc>
          <w:tcPr>
            <w:tcW w:w="800" w:type="dxa"/>
            <w:tcBorders>
              <w:top w:val="single" w:sz="4" w:space="0" w:color="auto"/>
              <w:left w:val="nil"/>
              <w:bottom w:val="single" w:sz="4" w:space="0" w:color="BFBFBF"/>
              <w:right w:val="single" w:sz="4" w:space="0" w:color="auto"/>
            </w:tcBorders>
            <w:vAlign w:val="center"/>
          </w:tcPr>
          <w:p w:rsidR="009571FA" w:rsidRDefault="009571FA">
            <w:pPr>
              <w:spacing w:line="276" w:lineRule="auto"/>
              <w:jc w:val="center"/>
              <w:rPr>
                <w:rFonts w:ascii="Calibri" w:hAnsi="Calibri"/>
                <w:lang w:val="es-ES_tradnl"/>
              </w:rPr>
            </w:pPr>
            <w:r>
              <w:rPr>
                <w:rFonts w:ascii="Calibri" w:hAnsi="Calibri"/>
                <w:szCs w:val="22"/>
                <w:lang w:val="es-ES_tradnl"/>
              </w:rPr>
              <w:t>0.0</w:t>
            </w:r>
          </w:p>
        </w:tc>
        <w:tc>
          <w:tcPr>
            <w:tcW w:w="714" w:type="dxa"/>
            <w:tcBorders>
              <w:top w:val="single" w:sz="4" w:space="0" w:color="auto"/>
              <w:left w:val="single" w:sz="4" w:space="0" w:color="auto"/>
              <w:bottom w:val="single" w:sz="4" w:space="0" w:color="BFBFBF"/>
              <w:right w:val="nil"/>
            </w:tcBorders>
            <w:vAlign w:val="center"/>
          </w:tcPr>
          <w:p w:rsidR="009571FA" w:rsidRDefault="009571FA">
            <w:pPr>
              <w:spacing w:line="276" w:lineRule="auto"/>
              <w:jc w:val="center"/>
              <w:rPr>
                <w:rFonts w:ascii="Calibri" w:hAnsi="Calibri"/>
                <w:lang w:val="es-ES_tradnl"/>
              </w:rPr>
            </w:pPr>
            <w:r>
              <w:rPr>
                <w:rFonts w:ascii="Calibri" w:hAnsi="Calibri"/>
                <w:szCs w:val="22"/>
                <w:lang w:val="es-ES_tradnl"/>
              </w:rPr>
              <w:t>2</w:t>
            </w:r>
          </w:p>
        </w:tc>
        <w:tc>
          <w:tcPr>
            <w:tcW w:w="800" w:type="dxa"/>
            <w:tcBorders>
              <w:top w:val="single" w:sz="4" w:space="0" w:color="auto"/>
              <w:left w:val="nil"/>
              <w:bottom w:val="single" w:sz="4" w:space="0" w:color="BFBFBF"/>
              <w:right w:val="single" w:sz="4" w:space="0" w:color="auto"/>
            </w:tcBorders>
            <w:vAlign w:val="center"/>
          </w:tcPr>
          <w:p w:rsidR="009571FA" w:rsidRDefault="009571FA">
            <w:pPr>
              <w:spacing w:line="276" w:lineRule="auto"/>
              <w:jc w:val="center"/>
              <w:rPr>
                <w:rFonts w:ascii="Calibri" w:hAnsi="Calibri"/>
                <w:lang w:val="es-ES_tradnl"/>
              </w:rPr>
            </w:pPr>
            <w:r>
              <w:rPr>
                <w:rFonts w:ascii="Calibri" w:hAnsi="Calibri"/>
                <w:szCs w:val="22"/>
                <w:lang w:val="es-ES_tradnl"/>
              </w:rPr>
              <w:t>20.0</w:t>
            </w:r>
          </w:p>
        </w:tc>
        <w:tc>
          <w:tcPr>
            <w:tcW w:w="684" w:type="dxa"/>
            <w:tcBorders>
              <w:top w:val="single" w:sz="4" w:space="0" w:color="auto"/>
              <w:left w:val="single" w:sz="4" w:space="0" w:color="auto"/>
              <w:bottom w:val="single" w:sz="4" w:space="0" w:color="BFBFBF"/>
              <w:right w:val="nil"/>
            </w:tcBorders>
            <w:vAlign w:val="center"/>
          </w:tcPr>
          <w:p w:rsidR="009571FA" w:rsidRDefault="009571FA">
            <w:pPr>
              <w:spacing w:line="276" w:lineRule="auto"/>
              <w:jc w:val="center"/>
              <w:rPr>
                <w:rFonts w:ascii="Calibri" w:hAnsi="Calibri"/>
                <w:lang w:val="es-ES_tradnl"/>
              </w:rPr>
            </w:pPr>
            <w:r>
              <w:rPr>
                <w:rFonts w:ascii="Calibri" w:hAnsi="Calibri"/>
                <w:szCs w:val="22"/>
                <w:lang w:val="es-ES_tradnl"/>
              </w:rPr>
              <w:t>2</w:t>
            </w:r>
          </w:p>
        </w:tc>
        <w:tc>
          <w:tcPr>
            <w:tcW w:w="800" w:type="dxa"/>
            <w:tcBorders>
              <w:top w:val="single" w:sz="4" w:space="0" w:color="auto"/>
              <w:left w:val="nil"/>
              <w:bottom w:val="single" w:sz="4" w:space="0" w:color="BFBFBF"/>
              <w:right w:val="single" w:sz="4" w:space="0" w:color="auto"/>
            </w:tcBorders>
            <w:vAlign w:val="center"/>
          </w:tcPr>
          <w:p w:rsidR="009571FA" w:rsidRDefault="009571FA">
            <w:pPr>
              <w:spacing w:line="276" w:lineRule="auto"/>
              <w:jc w:val="center"/>
              <w:rPr>
                <w:rFonts w:ascii="Calibri" w:hAnsi="Calibri"/>
                <w:lang w:val="es-ES_tradnl"/>
              </w:rPr>
            </w:pPr>
            <w:r>
              <w:rPr>
                <w:rFonts w:ascii="Calibri" w:hAnsi="Calibri"/>
                <w:szCs w:val="22"/>
                <w:lang w:val="es-ES_tradnl"/>
              </w:rPr>
              <w:t>20.0</w:t>
            </w:r>
          </w:p>
        </w:tc>
        <w:tc>
          <w:tcPr>
            <w:tcW w:w="699" w:type="dxa"/>
            <w:tcBorders>
              <w:top w:val="single" w:sz="4" w:space="0" w:color="auto"/>
              <w:left w:val="single" w:sz="4" w:space="0" w:color="auto"/>
              <w:bottom w:val="single" w:sz="4" w:space="0" w:color="BFBFBF"/>
              <w:right w:val="nil"/>
            </w:tcBorders>
            <w:vAlign w:val="center"/>
          </w:tcPr>
          <w:p w:rsidR="009571FA" w:rsidRDefault="009571FA">
            <w:pPr>
              <w:spacing w:line="276" w:lineRule="auto"/>
              <w:jc w:val="center"/>
              <w:rPr>
                <w:rFonts w:ascii="Calibri" w:hAnsi="Calibri"/>
                <w:lang w:val="es-ES_tradnl"/>
              </w:rPr>
            </w:pPr>
            <w:r>
              <w:rPr>
                <w:rFonts w:ascii="Calibri" w:hAnsi="Calibri"/>
                <w:szCs w:val="22"/>
                <w:lang w:val="es-ES_tradnl"/>
              </w:rPr>
              <w:t>6</w:t>
            </w:r>
          </w:p>
        </w:tc>
        <w:tc>
          <w:tcPr>
            <w:tcW w:w="800" w:type="dxa"/>
            <w:tcBorders>
              <w:top w:val="single" w:sz="4" w:space="0" w:color="auto"/>
              <w:left w:val="nil"/>
              <w:bottom w:val="single" w:sz="4" w:space="0" w:color="BFBFBF"/>
              <w:right w:val="single" w:sz="4" w:space="0" w:color="auto"/>
            </w:tcBorders>
            <w:vAlign w:val="center"/>
          </w:tcPr>
          <w:p w:rsidR="009571FA" w:rsidRDefault="009571FA">
            <w:pPr>
              <w:spacing w:line="276" w:lineRule="auto"/>
              <w:jc w:val="center"/>
              <w:rPr>
                <w:rFonts w:ascii="Calibri" w:hAnsi="Calibri"/>
                <w:lang w:val="es-ES_tradnl"/>
              </w:rPr>
            </w:pPr>
            <w:r>
              <w:rPr>
                <w:rFonts w:ascii="Calibri" w:hAnsi="Calibri"/>
                <w:szCs w:val="22"/>
                <w:lang w:val="es-ES_tradnl"/>
              </w:rPr>
              <w:t>60.0</w:t>
            </w:r>
          </w:p>
        </w:tc>
      </w:tr>
      <w:tr w:rsidR="009571FA" w:rsidTr="003947AA">
        <w:trPr>
          <w:trHeight w:val="284"/>
        </w:trPr>
        <w:tc>
          <w:tcPr>
            <w:tcW w:w="1605" w:type="dxa"/>
            <w:tcBorders>
              <w:top w:val="single" w:sz="4" w:space="0" w:color="BFBFBF"/>
              <w:left w:val="single" w:sz="4" w:space="0" w:color="auto"/>
              <w:bottom w:val="single" w:sz="4" w:space="0" w:color="BFBFBF"/>
              <w:right w:val="single" w:sz="4" w:space="0" w:color="auto"/>
            </w:tcBorders>
            <w:tcMar>
              <w:top w:w="0" w:type="dxa"/>
              <w:left w:w="28" w:type="dxa"/>
              <w:bottom w:w="0" w:type="dxa"/>
              <w:right w:w="28" w:type="dxa"/>
            </w:tcMar>
            <w:vAlign w:val="center"/>
          </w:tcPr>
          <w:p w:rsidR="009571FA" w:rsidRDefault="009571FA">
            <w:pPr>
              <w:tabs>
                <w:tab w:val="left" w:pos="253"/>
              </w:tabs>
              <w:spacing w:line="276" w:lineRule="auto"/>
              <w:rPr>
                <w:rFonts w:ascii="Calibri" w:hAnsi="Calibri"/>
                <w:lang w:val="es-ES_tradnl"/>
              </w:rPr>
            </w:pPr>
            <w:r>
              <w:rPr>
                <w:rFonts w:ascii="Calibri" w:hAnsi="Calibri"/>
                <w:szCs w:val="22"/>
                <w:lang w:val="es-ES_tradnl"/>
              </w:rPr>
              <w:tab/>
              <w:t>P</w:t>
            </w:r>
          </w:p>
        </w:tc>
        <w:tc>
          <w:tcPr>
            <w:tcW w:w="521" w:type="dxa"/>
            <w:tcBorders>
              <w:top w:val="single" w:sz="4" w:space="0" w:color="BFBFBF"/>
              <w:left w:val="single" w:sz="4" w:space="0" w:color="auto"/>
              <w:bottom w:val="single" w:sz="4" w:space="0" w:color="BFBFBF"/>
              <w:right w:val="single" w:sz="4" w:space="0" w:color="auto"/>
            </w:tcBorders>
            <w:vAlign w:val="center"/>
          </w:tcPr>
          <w:p w:rsidR="009571FA" w:rsidRDefault="009571FA">
            <w:pPr>
              <w:tabs>
                <w:tab w:val="left" w:pos="253"/>
              </w:tabs>
              <w:spacing w:line="276" w:lineRule="auto"/>
              <w:jc w:val="center"/>
              <w:rPr>
                <w:rFonts w:ascii="Calibri" w:hAnsi="Calibri"/>
                <w:lang w:val="es-ES_tradnl"/>
              </w:rPr>
            </w:pPr>
            <w:r>
              <w:rPr>
                <w:rFonts w:ascii="Calibri" w:hAnsi="Calibri"/>
                <w:szCs w:val="22"/>
                <w:lang w:val="es-ES_tradnl"/>
              </w:rPr>
              <w:t>262</w:t>
            </w:r>
          </w:p>
        </w:tc>
        <w:tc>
          <w:tcPr>
            <w:tcW w:w="419" w:type="dxa"/>
            <w:tcBorders>
              <w:top w:val="single" w:sz="4" w:space="0" w:color="BFBFBF"/>
              <w:left w:val="single" w:sz="4" w:space="0" w:color="auto"/>
              <w:bottom w:val="single" w:sz="4" w:space="0" w:color="BFBFBF"/>
              <w:right w:val="nil"/>
            </w:tcBorders>
            <w:vAlign w:val="center"/>
          </w:tcPr>
          <w:p w:rsidR="009571FA" w:rsidRDefault="009571FA">
            <w:pPr>
              <w:spacing w:line="276" w:lineRule="auto"/>
              <w:jc w:val="center"/>
              <w:rPr>
                <w:rFonts w:ascii="Calibri" w:hAnsi="Calibri"/>
                <w:lang w:val="es-ES_tradnl"/>
              </w:rPr>
            </w:pPr>
            <w:r>
              <w:rPr>
                <w:rFonts w:ascii="Calibri" w:hAnsi="Calibri"/>
                <w:szCs w:val="22"/>
                <w:lang w:val="es-ES_tradnl"/>
              </w:rPr>
              <w:t>19</w:t>
            </w:r>
          </w:p>
        </w:tc>
        <w:tc>
          <w:tcPr>
            <w:tcW w:w="800" w:type="dxa"/>
            <w:tcBorders>
              <w:top w:val="single" w:sz="4" w:space="0" w:color="BFBFBF"/>
              <w:left w:val="nil"/>
              <w:bottom w:val="single" w:sz="4" w:space="0" w:color="BFBFBF"/>
              <w:right w:val="single" w:sz="4" w:space="0" w:color="auto"/>
            </w:tcBorders>
            <w:vAlign w:val="center"/>
          </w:tcPr>
          <w:p w:rsidR="009571FA" w:rsidRDefault="009571FA">
            <w:pPr>
              <w:spacing w:line="276" w:lineRule="auto"/>
              <w:jc w:val="center"/>
              <w:rPr>
                <w:rFonts w:ascii="Calibri" w:hAnsi="Calibri"/>
                <w:lang w:val="es-ES_tradnl"/>
              </w:rPr>
            </w:pPr>
            <w:r>
              <w:rPr>
                <w:rFonts w:ascii="Calibri" w:hAnsi="Calibri"/>
                <w:szCs w:val="22"/>
                <w:lang w:val="es-ES_tradnl"/>
              </w:rPr>
              <w:t>7.3</w:t>
            </w:r>
          </w:p>
        </w:tc>
        <w:tc>
          <w:tcPr>
            <w:tcW w:w="714" w:type="dxa"/>
            <w:tcBorders>
              <w:top w:val="single" w:sz="4" w:space="0" w:color="BFBFBF"/>
              <w:left w:val="single" w:sz="4" w:space="0" w:color="auto"/>
              <w:bottom w:val="single" w:sz="4" w:space="0" w:color="BFBFBF"/>
              <w:right w:val="nil"/>
            </w:tcBorders>
            <w:vAlign w:val="center"/>
          </w:tcPr>
          <w:p w:rsidR="009571FA" w:rsidRDefault="009571FA">
            <w:pPr>
              <w:spacing w:line="276" w:lineRule="auto"/>
              <w:jc w:val="center"/>
              <w:rPr>
                <w:rFonts w:ascii="Calibri" w:hAnsi="Calibri"/>
                <w:lang w:val="es-ES_tradnl"/>
              </w:rPr>
            </w:pPr>
            <w:r>
              <w:rPr>
                <w:rFonts w:ascii="Calibri" w:hAnsi="Calibri"/>
                <w:szCs w:val="22"/>
                <w:lang w:val="es-ES_tradnl"/>
              </w:rPr>
              <w:t>108</w:t>
            </w:r>
          </w:p>
        </w:tc>
        <w:tc>
          <w:tcPr>
            <w:tcW w:w="800" w:type="dxa"/>
            <w:tcBorders>
              <w:top w:val="single" w:sz="4" w:space="0" w:color="BFBFBF"/>
              <w:left w:val="nil"/>
              <w:bottom w:val="single" w:sz="4" w:space="0" w:color="BFBFBF"/>
              <w:right w:val="single" w:sz="4" w:space="0" w:color="auto"/>
            </w:tcBorders>
            <w:vAlign w:val="center"/>
          </w:tcPr>
          <w:p w:rsidR="009571FA" w:rsidRDefault="009571FA">
            <w:pPr>
              <w:spacing w:line="276" w:lineRule="auto"/>
              <w:jc w:val="center"/>
              <w:rPr>
                <w:rFonts w:ascii="Calibri" w:hAnsi="Calibri"/>
                <w:lang w:val="es-ES_tradnl"/>
              </w:rPr>
            </w:pPr>
            <w:r>
              <w:rPr>
                <w:rFonts w:ascii="Calibri" w:hAnsi="Calibri"/>
                <w:szCs w:val="22"/>
                <w:lang w:val="es-ES_tradnl"/>
              </w:rPr>
              <w:t>41.2</w:t>
            </w:r>
          </w:p>
        </w:tc>
        <w:tc>
          <w:tcPr>
            <w:tcW w:w="684" w:type="dxa"/>
            <w:tcBorders>
              <w:top w:val="single" w:sz="4" w:space="0" w:color="BFBFBF"/>
              <w:left w:val="single" w:sz="4" w:space="0" w:color="auto"/>
              <w:bottom w:val="single" w:sz="4" w:space="0" w:color="BFBFBF"/>
              <w:right w:val="nil"/>
            </w:tcBorders>
            <w:vAlign w:val="center"/>
          </w:tcPr>
          <w:p w:rsidR="009571FA" w:rsidRDefault="009571FA">
            <w:pPr>
              <w:spacing w:line="276" w:lineRule="auto"/>
              <w:jc w:val="center"/>
              <w:rPr>
                <w:rFonts w:ascii="Calibri" w:hAnsi="Calibri"/>
                <w:lang w:val="es-ES_tradnl"/>
              </w:rPr>
            </w:pPr>
            <w:r>
              <w:rPr>
                <w:rFonts w:ascii="Calibri" w:hAnsi="Calibri"/>
                <w:szCs w:val="22"/>
                <w:lang w:val="es-ES_tradnl"/>
              </w:rPr>
              <w:t>72</w:t>
            </w:r>
          </w:p>
        </w:tc>
        <w:tc>
          <w:tcPr>
            <w:tcW w:w="800" w:type="dxa"/>
            <w:tcBorders>
              <w:top w:val="single" w:sz="4" w:space="0" w:color="BFBFBF"/>
              <w:left w:val="nil"/>
              <w:bottom w:val="single" w:sz="4" w:space="0" w:color="BFBFBF"/>
              <w:right w:val="single" w:sz="4" w:space="0" w:color="auto"/>
            </w:tcBorders>
            <w:vAlign w:val="center"/>
          </w:tcPr>
          <w:p w:rsidR="009571FA" w:rsidRDefault="009571FA">
            <w:pPr>
              <w:spacing w:line="276" w:lineRule="auto"/>
              <w:jc w:val="center"/>
              <w:rPr>
                <w:rFonts w:ascii="Calibri" w:hAnsi="Calibri"/>
                <w:lang w:val="es-ES_tradnl"/>
              </w:rPr>
            </w:pPr>
            <w:r>
              <w:rPr>
                <w:rFonts w:ascii="Calibri" w:hAnsi="Calibri"/>
                <w:szCs w:val="22"/>
                <w:lang w:val="es-ES_tradnl"/>
              </w:rPr>
              <w:t>27.5</w:t>
            </w:r>
          </w:p>
        </w:tc>
        <w:tc>
          <w:tcPr>
            <w:tcW w:w="699" w:type="dxa"/>
            <w:tcBorders>
              <w:top w:val="single" w:sz="4" w:space="0" w:color="BFBFBF"/>
              <w:left w:val="single" w:sz="4" w:space="0" w:color="auto"/>
              <w:bottom w:val="single" w:sz="4" w:space="0" w:color="BFBFBF"/>
              <w:right w:val="nil"/>
            </w:tcBorders>
            <w:vAlign w:val="center"/>
          </w:tcPr>
          <w:p w:rsidR="009571FA" w:rsidRDefault="009571FA">
            <w:pPr>
              <w:spacing w:line="276" w:lineRule="auto"/>
              <w:jc w:val="center"/>
              <w:rPr>
                <w:rFonts w:ascii="Calibri" w:hAnsi="Calibri"/>
                <w:lang w:val="es-ES_tradnl"/>
              </w:rPr>
            </w:pPr>
            <w:r>
              <w:rPr>
                <w:rFonts w:ascii="Calibri" w:hAnsi="Calibri"/>
                <w:szCs w:val="22"/>
                <w:lang w:val="es-ES_tradnl"/>
              </w:rPr>
              <w:t>63</w:t>
            </w:r>
          </w:p>
        </w:tc>
        <w:tc>
          <w:tcPr>
            <w:tcW w:w="800" w:type="dxa"/>
            <w:tcBorders>
              <w:top w:val="single" w:sz="4" w:space="0" w:color="BFBFBF"/>
              <w:left w:val="nil"/>
              <w:bottom w:val="single" w:sz="4" w:space="0" w:color="BFBFBF"/>
              <w:right w:val="single" w:sz="4" w:space="0" w:color="auto"/>
            </w:tcBorders>
            <w:vAlign w:val="center"/>
          </w:tcPr>
          <w:p w:rsidR="009571FA" w:rsidRDefault="009571FA">
            <w:pPr>
              <w:spacing w:line="276" w:lineRule="auto"/>
              <w:jc w:val="center"/>
              <w:rPr>
                <w:rFonts w:ascii="Calibri" w:hAnsi="Calibri"/>
                <w:lang w:val="es-ES_tradnl"/>
              </w:rPr>
            </w:pPr>
            <w:r>
              <w:rPr>
                <w:rFonts w:ascii="Calibri" w:hAnsi="Calibri"/>
                <w:szCs w:val="22"/>
                <w:lang w:val="es-ES_tradnl"/>
              </w:rPr>
              <w:t>24.1</w:t>
            </w:r>
          </w:p>
        </w:tc>
      </w:tr>
      <w:tr w:rsidR="009571FA" w:rsidTr="003947AA">
        <w:trPr>
          <w:trHeight w:val="284"/>
        </w:trPr>
        <w:tc>
          <w:tcPr>
            <w:tcW w:w="1605" w:type="dxa"/>
            <w:tcBorders>
              <w:top w:val="single" w:sz="4" w:space="0" w:color="BFBFBF"/>
              <w:left w:val="single" w:sz="4" w:space="0" w:color="auto"/>
              <w:bottom w:val="single" w:sz="4" w:space="0" w:color="BFBFBF"/>
              <w:right w:val="single" w:sz="4" w:space="0" w:color="auto"/>
            </w:tcBorders>
            <w:tcMar>
              <w:top w:w="0" w:type="dxa"/>
              <w:left w:w="28" w:type="dxa"/>
              <w:bottom w:w="0" w:type="dxa"/>
              <w:right w:w="28" w:type="dxa"/>
            </w:tcMar>
            <w:vAlign w:val="center"/>
          </w:tcPr>
          <w:p w:rsidR="009571FA" w:rsidRDefault="009571FA">
            <w:pPr>
              <w:tabs>
                <w:tab w:val="left" w:pos="253"/>
              </w:tabs>
              <w:spacing w:line="276" w:lineRule="auto"/>
              <w:rPr>
                <w:rFonts w:ascii="Calibri" w:hAnsi="Calibri"/>
                <w:lang w:val="es-ES_tradnl"/>
              </w:rPr>
            </w:pPr>
            <w:r>
              <w:rPr>
                <w:rFonts w:ascii="Calibri" w:hAnsi="Calibri"/>
                <w:szCs w:val="22"/>
                <w:lang w:val="es-ES_tradnl"/>
              </w:rPr>
              <w:tab/>
              <w:t>G</w:t>
            </w:r>
          </w:p>
        </w:tc>
        <w:tc>
          <w:tcPr>
            <w:tcW w:w="521" w:type="dxa"/>
            <w:tcBorders>
              <w:top w:val="single" w:sz="4" w:space="0" w:color="BFBFBF"/>
              <w:left w:val="single" w:sz="4" w:space="0" w:color="auto"/>
              <w:bottom w:val="single" w:sz="4" w:space="0" w:color="BFBFBF"/>
              <w:right w:val="single" w:sz="4" w:space="0" w:color="auto"/>
            </w:tcBorders>
            <w:vAlign w:val="center"/>
          </w:tcPr>
          <w:p w:rsidR="009571FA" w:rsidRDefault="009571FA">
            <w:pPr>
              <w:tabs>
                <w:tab w:val="left" w:pos="253"/>
              </w:tabs>
              <w:spacing w:line="276" w:lineRule="auto"/>
              <w:jc w:val="center"/>
              <w:rPr>
                <w:rFonts w:ascii="Calibri" w:hAnsi="Calibri"/>
                <w:lang w:val="es-ES_tradnl"/>
              </w:rPr>
            </w:pPr>
            <w:r>
              <w:rPr>
                <w:rFonts w:ascii="Calibri" w:hAnsi="Calibri"/>
                <w:szCs w:val="22"/>
                <w:lang w:val="es-ES_tradnl"/>
              </w:rPr>
              <w:t>104</w:t>
            </w:r>
          </w:p>
        </w:tc>
        <w:tc>
          <w:tcPr>
            <w:tcW w:w="419" w:type="dxa"/>
            <w:tcBorders>
              <w:top w:val="single" w:sz="4" w:space="0" w:color="BFBFBF"/>
              <w:left w:val="single" w:sz="4" w:space="0" w:color="auto"/>
              <w:bottom w:val="single" w:sz="4" w:space="0" w:color="BFBFBF"/>
              <w:right w:val="nil"/>
            </w:tcBorders>
            <w:vAlign w:val="center"/>
          </w:tcPr>
          <w:p w:rsidR="009571FA" w:rsidRDefault="009571FA">
            <w:pPr>
              <w:spacing w:line="276" w:lineRule="auto"/>
              <w:jc w:val="center"/>
              <w:rPr>
                <w:rFonts w:ascii="Calibri" w:hAnsi="Calibri"/>
                <w:lang w:val="es-ES_tradnl"/>
              </w:rPr>
            </w:pPr>
            <w:r>
              <w:rPr>
                <w:rFonts w:ascii="Calibri" w:hAnsi="Calibri"/>
                <w:szCs w:val="22"/>
                <w:lang w:val="es-ES_tradnl"/>
              </w:rPr>
              <w:t>58</w:t>
            </w:r>
          </w:p>
        </w:tc>
        <w:tc>
          <w:tcPr>
            <w:tcW w:w="800" w:type="dxa"/>
            <w:tcBorders>
              <w:top w:val="single" w:sz="4" w:space="0" w:color="BFBFBF"/>
              <w:left w:val="nil"/>
              <w:bottom w:val="single" w:sz="4" w:space="0" w:color="BFBFBF"/>
              <w:right w:val="single" w:sz="4" w:space="0" w:color="auto"/>
            </w:tcBorders>
            <w:vAlign w:val="center"/>
          </w:tcPr>
          <w:p w:rsidR="009571FA" w:rsidRDefault="009571FA">
            <w:pPr>
              <w:spacing w:line="276" w:lineRule="auto"/>
              <w:jc w:val="center"/>
              <w:rPr>
                <w:rFonts w:ascii="Calibri" w:hAnsi="Calibri"/>
                <w:lang w:val="es-ES_tradnl"/>
              </w:rPr>
            </w:pPr>
            <w:r>
              <w:rPr>
                <w:rFonts w:ascii="Calibri" w:hAnsi="Calibri"/>
                <w:szCs w:val="22"/>
                <w:lang w:val="es-ES_tradnl"/>
              </w:rPr>
              <w:t>55.8</w:t>
            </w:r>
          </w:p>
        </w:tc>
        <w:tc>
          <w:tcPr>
            <w:tcW w:w="714" w:type="dxa"/>
            <w:tcBorders>
              <w:top w:val="single" w:sz="4" w:space="0" w:color="BFBFBF"/>
              <w:left w:val="single" w:sz="4" w:space="0" w:color="auto"/>
              <w:bottom w:val="single" w:sz="4" w:space="0" w:color="BFBFBF"/>
              <w:right w:val="nil"/>
            </w:tcBorders>
            <w:vAlign w:val="center"/>
          </w:tcPr>
          <w:p w:rsidR="009571FA" w:rsidRDefault="009571FA">
            <w:pPr>
              <w:spacing w:line="276" w:lineRule="auto"/>
              <w:jc w:val="center"/>
              <w:rPr>
                <w:rFonts w:ascii="Calibri" w:hAnsi="Calibri"/>
                <w:lang w:val="es-ES_tradnl"/>
              </w:rPr>
            </w:pPr>
            <w:r>
              <w:rPr>
                <w:rFonts w:ascii="Calibri" w:hAnsi="Calibri"/>
                <w:szCs w:val="22"/>
                <w:lang w:val="es-ES_tradnl"/>
              </w:rPr>
              <w:t>30</w:t>
            </w:r>
          </w:p>
        </w:tc>
        <w:tc>
          <w:tcPr>
            <w:tcW w:w="800" w:type="dxa"/>
            <w:tcBorders>
              <w:top w:val="single" w:sz="4" w:space="0" w:color="BFBFBF"/>
              <w:left w:val="nil"/>
              <w:bottom w:val="single" w:sz="4" w:space="0" w:color="BFBFBF"/>
              <w:right w:val="single" w:sz="4" w:space="0" w:color="auto"/>
            </w:tcBorders>
            <w:vAlign w:val="center"/>
          </w:tcPr>
          <w:p w:rsidR="009571FA" w:rsidRDefault="009571FA">
            <w:pPr>
              <w:spacing w:line="276" w:lineRule="auto"/>
              <w:jc w:val="center"/>
              <w:rPr>
                <w:rFonts w:ascii="Calibri" w:hAnsi="Calibri"/>
                <w:lang w:val="es-ES_tradnl"/>
              </w:rPr>
            </w:pPr>
            <w:r>
              <w:rPr>
                <w:rFonts w:ascii="Calibri" w:hAnsi="Calibri"/>
                <w:szCs w:val="22"/>
                <w:lang w:val="es-ES_tradnl"/>
              </w:rPr>
              <w:t>28.9</w:t>
            </w:r>
          </w:p>
        </w:tc>
        <w:tc>
          <w:tcPr>
            <w:tcW w:w="684" w:type="dxa"/>
            <w:tcBorders>
              <w:top w:val="single" w:sz="4" w:space="0" w:color="BFBFBF"/>
              <w:left w:val="single" w:sz="4" w:space="0" w:color="auto"/>
              <w:bottom w:val="single" w:sz="4" w:space="0" w:color="BFBFBF"/>
              <w:right w:val="nil"/>
            </w:tcBorders>
            <w:vAlign w:val="center"/>
          </w:tcPr>
          <w:p w:rsidR="009571FA" w:rsidRDefault="009571FA">
            <w:pPr>
              <w:spacing w:line="276" w:lineRule="auto"/>
              <w:jc w:val="center"/>
              <w:rPr>
                <w:rFonts w:ascii="Calibri" w:hAnsi="Calibri"/>
                <w:lang w:val="es-ES_tradnl"/>
              </w:rPr>
            </w:pPr>
            <w:r>
              <w:rPr>
                <w:rFonts w:ascii="Calibri" w:hAnsi="Calibri"/>
                <w:szCs w:val="22"/>
                <w:lang w:val="es-ES_tradnl"/>
              </w:rPr>
              <w:t>10</w:t>
            </w:r>
          </w:p>
        </w:tc>
        <w:tc>
          <w:tcPr>
            <w:tcW w:w="800" w:type="dxa"/>
            <w:tcBorders>
              <w:top w:val="single" w:sz="4" w:space="0" w:color="BFBFBF"/>
              <w:left w:val="nil"/>
              <w:bottom w:val="single" w:sz="4" w:space="0" w:color="BFBFBF"/>
              <w:right w:val="single" w:sz="4" w:space="0" w:color="auto"/>
            </w:tcBorders>
            <w:vAlign w:val="center"/>
          </w:tcPr>
          <w:p w:rsidR="009571FA" w:rsidRDefault="009571FA">
            <w:pPr>
              <w:spacing w:line="276" w:lineRule="auto"/>
              <w:jc w:val="center"/>
              <w:rPr>
                <w:rFonts w:ascii="Calibri" w:hAnsi="Calibri"/>
                <w:lang w:val="es-ES_tradnl"/>
              </w:rPr>
            </w:pPr>
            <w:r>
              <w:rPr>
                <w:rFonts w:ascii="Calibri" w:hAnsi="Calibri"/>
                <w:szCs w:val="22"/>
                <w:lang w:val="es-ES_tradnl"/>
              </w:rPr>
              <w:t>9.6</w:t>
            </w:r>
          </w:p>
        </w:tc>
        <w:tc>
          <w:tcPr>
            <w:tcW w:w="699" w:type="dxa"/>
            <w:tcBorders>
              <w:top w:val="single" w:sz="4" w:space="0" w:color="BFBFBF"/>
              <w:left w:val="single" w:sz="4" w:space="0" w:color="auto"/>
              <w:bottom w:val="single" w:sz="4" w:space="0" w:color="BFBFBF"/>
              <w:right w:val="nil"/>
            </w:tcBorders>
            <w:vAlign w:val="center"/>
          </w:tcPr>
          <w:p w:rsidR="009571FA" w:rsidRDefault="009571FA">
            <w:pPr>
              <w:spacing w:line="276" w:lineRule="auto"/>
              <w:jc w:val="center"/>
              <w:rPr>
                <w:rFonts w:ascii="Calibri" w:hAnsi="Calibri"/>
                <w:lang w:val="es-ES_tradnl"/>
              </w:rPr>
            </w:pPr>
            <w:r>
              <w:rPr>
                <w:rFonts w:ascii="Calibri" w:hAnsi="Calibri"/>
                <w:szCs w:val="22"/>
                <w:lang w:val="es-ES_tradnl"/>
              </w:rPr>
              <w:t>6</w:t>
            </w:r>
          </w:p>
        </w:tc>
        <w:tc>
          <w:tcPr>
            <w:tcW w:w="800" w:type="dxa"/>
            <w:tcBorders>
              <w:top w:val="single" w:sz="4" w:space="0" w:color="BFBFBF"/>
              <w:left w:val="nil"/>
              <w:bottom w:val="single" w:sz="4" w:space="0" w:color="BFBFBF"/>
              <w:right w:val="single" w:sz="4" w:space="0" w:color="auto"/>
            </w:tcBorders>
            <w:vAlign w:val="center"/>
          </w:tcPr>
          <w:p w:rsidR="009571FA" w:rsidRDefault="009571FA">
            <w:pPr>
              <w:spacing w:line="276" w:lineRule="auto"/>
              <w:jc w:val="center"/>
              <w:rPr>
                <w:rFonts w:ascii="Calibri" w:hAnsi="Calibri"/>
                <w:lang w:val="es-ES_tradnl"/>
              </w:rPr>
            </w:pPr>
            <w:r>
              <w:rPr>
                <w:rFonts w:ascii="Calibri" w:hAnsi="Calibri"/>
                <w:szCs w:val="22"/>
                <w:lang w:val="es-ES_tradnl"/>
              </w:rPr>
              <w:t>5.8</w:t>
            </w:r>
          </w:p>
        </w:tc>
      </w:tr>
      <w:tr w:rsidR="009571FA" w:rsidTr="003947AA">
        <w:trPr>
          <w:trHeight w:val="284"/>
        </w:trPr>
        <w:tc>
          <w:tcPr>
            <w:tcW w:w="1605" w:type="dxa"/>
            <w:tcBorders>
              <w:top w:val="single" w:sz="4" w:space="0" w:color="BFBFBF"/>
              <w:left w:val="single" w:sz="4" w:space="0" w:color="auto"/>
              <w:bottom w:val="single" w:sz="4" w:space="0" w:color="auto"/>
              <w:right w:val="single" w:sz="4" w:space="0" w:color="auto"/>
            </w:tcBorders>
            <w:tcMar>
              <w:top w:w="0" w:type="dxa"/>
              <w:left w:w="28" w:type="dxa"/>
              <w:bottom w:w="0" w:type="dxa"/>
              <w:right w:w="28" w:type="dxa"/>
            </w:tcMar>
            <w:vAlign w:val="center"/>
          </w:tcPr>
          <w:p w:rsidR="009571FA" w:rsidRDefault="009571FA">
            <w:pPr>
              <w:tabs>
                <w:tab w:val="left" w:pos="253"/>
              </w:tabs>
              <w:spacing w:line="276" w:lineRule="auto"/>
              <w:rPr>
                <w:rFonts w:ascii="Calibri" w:hAnsi="Calibri"/>
                <w:lang w:val="es-ES_tradnl"/>
              </w:rPr>
            </w:pPr>
            <w:r>
              <w:rPr>
                <w:rFonts w:ascii="Calibri" w:hAnsi="Calibri"/>
                <w:szCs w:val="22"/>
                <w:lang w:val="es-ES_tradnl"/>
              </w:rPr>
              <w:tab/>
              <w:t>Other</w:t>
            </w:r>
          </w:p>
        </w:tc>
        <w:tc>
          <w:tcPr>
            <w:tcW w:w="521" w:type="dxa"/>
            <w:tcBorders>
              <w:top w:val="single" w:sz="4" w:space="0" w:color="BFBFBF"/>
              <w:left w:val="single" w:sz="4" w:space="0" w:color="auto"/>
              <w:bottom w:val="single" w:sz="4" w:space="0" w:color="auto"/>
              <w:right w:val="single" w:sz="4" w:space="0" w:color="auto"/>
            </w:tcBorders>
            <w:vAlign w:val="center"/>
          </w:tcPr>
          <w:p w:rsidR="009571FA" w:rsidRDefault="009571FA">
            <w:pPr>
              <w:tabs>
                <w:tab w:val="left" w:pos="253"/>
              </w:tabs>
              <w:spacing w:line="276" w:lineRule="auto"/>
              <w:jc w:val="center"/>
              <w:rPr>
                <w:rFonts w:ascii="Calibri" w:hAnsi="Calibri"/>
                <w:lang w:val="es-ES_tradnl"/>
              </w:rPr>
            </w:pPr>
            <w:r>
              <w:rPr>
                <w:rFonts w:ascii="Calibri" w:hAnsi="Calibri"/>
                <w:szCs w:val="22"/>
                <w:lang w:val="es-ES_tradnl"/>
              </w:rPr>
              <w:t>14</w:t>
            </w:r>
          </w:p>
        </w:tc>
        <w:tc>
          <w:tcPr>
            <w:tcW w:w="419" w:type="dxa"/>
            <w:tcBorders>
              <w:top w:val="single" w:sz="4" w:space="0" w:color="BFBFBF"/>
              <w:left w:val="single" w:sz="4" w:space="0" w:color="auto"/>
              <w:bottom w:val="single" w:sz="4" w:space="0" w:color="auto"/>
              <w:right w:val="nil"/>
            </w:tcBorders>
            <w:vAlign w:val="center"/>
          </w:tcPr>
          <w:p w:rsidR="009571FA" w:rsidRDefault="009571FA">
            <w:pPr>
              <w:spacing w:line="276" w:lineRule="auto"/>
              <w:jc w:val="center"/>
              <w:rPr>
                <w:rFonts w:ascii="Calibri" w:hAnsi="Calibri"/>
                <w:lang w:val="es-ES_tradnl"/>
              </w:rPr>
            </w:pPr>
            <w:r>
              <w:rPr>
                <w:rFonts w:ascii="Calibri" w:hAnsi="Calibri"/>
                <w:szCs w:val="22"/>
                <w:lang w:val="es-ES_tradnl"/>
              </w:rPr>
              <w:t>2</w:t>
            </w:r>
          </w:p>
        </w:tc>
        <w:tc>
          <w:tcPr>
            <w:tcW w:w="800" w:type="dxa"/>
            <w:tcBorders>
              <w:top w:val="single" w:sz="4" w:space="0" w:color="BFBFBF"/>
              <w:left w:val="nil"/>
              <w:bottom w:val="single" w:sz="4" w:space="0" w:color="auto"/>
              <w:right w:val="single" w:sz="4" w:space="0" w:color="auto"/>
            </w:tcBorders>
            <w:vAlign w:val="center"/>
          </w:tcPr>
          <w:p w:rsidR="009571FA" w:rsidRDefault="009571FA">
            <w:pPr>
              <w:spacing w:line="276" w:lineRule="auto"/>
              <w:jc w:val="center"/>
              <w:rPr>
                <w:rFonts w:ascii="Calibri" w:hAnsi="Calibri"/>
                <w:lang w:val="es-ES_tradnl"/>
              </w:rPr>
            </w:pPr>
            <w:r>
              <w:rPr>
                <w:rFonts w:ascii="Calibri" w:hAnsi="Calibri"/>
                <w:szCs w:val="22"/>
                <w:lang w:val="es-ES_tradnl"/>
              </w:rPr>
              <w:t>14.3</w:t>
            </w:r>
          </w:p>
        </w:tc>
        <w:tc>
          <w:tcPr>
            <w:tcW w:w="714" w:type="dxa"/>
            <w:tcBorders>
              <w:top w:val="single" w:sz="4" w:space="0" w:color="BFBFBF"/>
              <w:left w:val="single" w:sz="4" w:space="0" w:color="auto"/>
              <w:bottom w:val="single" w:sz="4" w:space="0" w:color="auto"/>
              <w:right w:val="nil"/>
            </w:tcBorders>
            <w:vAlign w:val="center"/>
          </w:tcPr>
          <w:p w:rsidR="009571FA" w:rsidRDefault="009571FA">
            <w:pPr>
              <w:spacing w:line="276" w:lineRule="auto"/>
              <w:jc w:val="center"/>
              <w:rPr>
                <w:rFonts w:ascii="Calibri" w:hAnsi="Calibri"/>
                <w:lang w:val="es-ES_tradnl"/>
              </w:rPr>
            </w:pPr>
            <w:r>
              <w:rPr>
                <w:rFonts w:ascii="Calibri" w:hAnsi="Calibri"/>
                <w:szCs w:val="22"/>
                <w:lang w:val="es-ES_tradnl"/>
              </w:rPr>
              <w:t>7</w:t>
            </w:r>
          </w:p>
        </w:tc>
        <w:tc>
          <w:tcPr>
            <w:tcW w:w="800" w:type="dxa"/>
            <w:tcBorders>
              <w:top w:val="single" w:sz="4" w:space="0" w:color="BFBFBF"/>
              <w:left w:val="nil"/>
              <w:bottom w:val="single" w:sz="4" w:space="0" w:color="auto"/>
              <w:right w:val="single" w:sz="4" w:space="0" w:color="auto"/>
            </w:tcBorders>
            <w:vAlign w:val="center"/>
          </w:tcPr>
          <w:p w:rsidR="009571FA" w:rsidRDefault="009571FA">
            <w:pPr>
              <w:spacing w:line="276" w:lineRule="auto"/>
              <w:jc w:val="center"/>
              <w:rPr>
                <w:rFonts w:ascii="Calibri" w:hAnsi="Calibri"/>
                <w:lang w:val="es-ES_tradnl"/>
              </w:rPr>
            </w:pPr>
            <w:r>
              <w:rPr>
                <w:rFonts w:ascii="Calibri" w:hAnsi="Calibri"/>
                <w:szCs w:val="22"/>
                <w:lang w:val="es-ES_tradnl"/>
              </w:rPr>
              <w:t>50.0</w:t>
            </w:r>
          </w:p>
        </w:tc>
        <w:tc>
          <w:tcPr>
            <w:tcW w:w="684" w:type="dxa"/>
            <w:tcBorders>
              <w:top w:val="single" w:sz="4" w:space="0" w:color="BFBFBF"/>
              <w:left w:val="single" w:sz="4" w:space="0" w:color="auto"/>
              <w:bottom w:val="single" w:sz="4" w:space="0" w:color="auto"/>
              <w:right w:val="nil"/>
            </w:tcBorders>
            <w:vAlign w:val="center"/>
          </w:tcPr>
          <w:p w:rsidR="009571FA" w:rsidRDefault="009571FA">
            <w:pPr>
              <w:spacing w:line="276" w:lineRule="auto"/>
              <w:jc w:val="center"/>
              <w:rPr>
                <w:rFonts w:ascii="Calibri" w:hAnsi="Calibri"/>
                <w:lang w:val="es-ES_tradnl"/>
              </w:rPr>
            </w:pPr>
            <w:r>
              <w:rPr>
                <w:rFonts w:ascii="Calibri" w:hAnsi="Calibri"/>
                <w:szCs w:val="22"/>
                <w:lang w:val="es-ES_tradnl"/>
              </w:rPr>
              <w:t>1</w:t>
            </w:r>
          </w:p>
        </w:tc>
        <w:tc>
          <w:tcPr>
            <w:tcW w:w="800" w:type="dxa"/>
            <w:tcBorders>
              <w:top w:val="single" w:sz="4" w:space="0" w:color="BFBFBF"/>
              <w:left w:val="nil"/>
              <w:bottom w:val="single" w:sz="4" w:space="0" w:color="auto"/>
              <w:right w:val="single" w:sz="4" w:space="0" w:color="auto"/>
            </w:tcBorders>
            <w:vAlign w:val="center"/>
          </w:tcPr>
          <w:p w:rsidR="009571FA" w:rsidRDefault="009571FA">
            <w:pPr>
              <w:spacing w:line="276" w:lineRule="auto"/>
              <w:jc w:val="center"/>
              <w:rPr>
                <w:rFonts w:ascii="Calibri" w:hAnsi="Calibri"/>
                <w:lang w:val="es-ES_tradnl"/>
              </w:rPr>
            </w:pPr>
            <w:r>
              <w:rPr>
                <w:rFonts w:ascii="Calibri" w:hAnsi="Calibri"/>
                <w:szCs w:val="22"/>
                <w:lang w:val="es-ES_tradnl"/>
              </w:rPr>
              <w:t>7.1</w:t>
            </w:r>
          </w:p>
        </w:tc>
        <w:tc>
          <w:tcPr>
            <w:tcW w:w="699" w:type="dxa"/>
            <w:tcBorders>
              <w:top w:val="single" w:sz="4" w:space="0" w:color="BFBFBF"/>
              <w:left w:val="single" w:sz="4" w:space="0" w:color="auto"/>
              <w:bottom w:val="single" w:sz="4" w:space="0" w:color="auto"/>
              <w:right w:val="nil"/>
            </w:tcBorders>
            <w:vAlign w:val="center"/>
          </w:tcPr>
          <w:p w:rsidR="009571FA" w:rsidRDefault="009571FA">
            <w:pPr>
              <w:spacing w:line="276" w:lineRule="auto"/>
              <w:jc w:val="center"/>
              <w:rPr>
                <w:rFonts w:ascii="Calibri" w:hAnsi="Calibri"/>
                <w:lang w:val="es-ES_tradnl"/>
              </w:rPr>
            </w:pPr>
            <w:r>
              <w:rPr>
                <w:rFonts w:ascii="Calibri" w:hAnsi="Calibri"/>
                <w:szCs w:val="22"/>
                <w:lang w:val="es-ES_tradnl"/>
              </w:rPr>
              <w:t>4</w:t>
            </w:r>
          </w:p>
        </w:tc>
        <w:tc>
          <w:tcPr>
            <w:tcW w:w="800" w:type="dxa"/>
            <w:tcBorders>
              <w:top w:val="single" w:sz="4" w:space="0" w:color="BFBFBF"/>
              <w:left w:val="nil"/>
              <w:bottom w:val="single" w:sz="4" w:space="0" w:color="auto"/>
              <w:right w:val="single" w:sz="4" w:space="0" w:color="auto"/>
            </w:tcBorders>
            <w:vAlign w:val="center"/>
          </w:tcPr>
          <w:p w:rsidR="009571FA" w:rsidRDefault="009571FA">
            <w:pPr>
              <w:spacing w:line="276" w:lineRule="auto"/>
              <w:jc w:val="center"/>
              <w:rPr>
                <w:rFonts w:ascii="Calibri" w:hAnsi="Calibri"/>
                <w:lang w:val="es-ES_tradnl"/>
              </w:rPr>
            </w:pPr>
            <w:r>
              <w:rPr>
                <w:rFonts w:ascii="Calibri" w:hAnsi="Calibri"/>
                <w:szCs w:val="22"/>
                <w:lang w:val="es-ES_tradnl"/>
              </w:rPr>
              <w:t>28.6</w:t>
            </w:r>
          </w:p>
        </w:tc>
      </w:tr>
      <w:tr w:rsidR="009571FA" w:rsidTr="003947AA">
        <w:trPr>
          <w:trHeight w:val="284"/>
        </w:trPr>
        <w:tc>
          <w:tcPr>
            <w:tcW w:w="1605"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9571FA" w:rsidRDefault="009571FA">
            <w:pPr>
              <w:tabs>
                <w:tab w:val="left" w:pos="253"/>
              </w:tabs>
              <w:spacing w:line="276" w:lineRule="auto"/>
              <w:rPr>
                <w:rFonts w:ascii="Calibri" w:hAnsi="Calibri"/>
                <w:sz w:val="22"/>
                <w:lang w:val="es-ES_tradnl"/>
              </w:rPr>
            </w:pPr>
            <w:r>
              <w:rPr>
                <w:rFonts w:ascii="Calibri" w:hAnsi="Calibri"/>
                <w:sz w:val="22"/>
                <w:szCs w:val="22"/>
                <w:lang w:val="es-ES_tradnl"/>
              </w:rPr>
              <w:t>p-value</w:t>
            </w:r>
          </w:p>
        </w:tc>
        <w:tc>
          <w:tcPr>
            <w:tcW w:w="521" w:type="dxa"/>
            <w:tcBorders>
              <w:top w:val="nil"/>
              <w:left w:val="single" w:sz="4" w:space="0" w:color="auto"/>
              <w:bottom w:val="single" w:sz="4" w:space="0" w:color="auto"/>
              <w:right w:val="single" w:sz="4" w:space="0" w:color="auto"/>
            </w:tcBorders>
            <w:vAlign w:val="center"/>
          </w:tcPr>
          <w:p w:rsidR="009571FA" w:rsidRDefault="009571FA">
            <w:pPr>
              <w:tabs>
                <w:tab w:val="left" w:pos="253"/>
              </w:tabs>
              <w:spacing w:line="276" w:lineRule="auto"/>
              <w:jc w:val="center"/>
              <w:rPr>
                <w:rFonts w:ascii="Calibri" w:hAnsi="Calibri"/>
                <w:sz w:val="22"/>
                <w:lang w:val="es-ES_tradnl"/>
              </w:rPr>
            </w:pPr>
          </w:p>
        </w:tc>
        <w:tc>
          <w:tcPr>
            <w:tcW w:w="5716" w:type="dxa"/>
            <w:gridSpan w:val="8"/>
            <w:tcBorders>
              <w:top w:val="nil"/>
              <w:left w:val="single" w:sz="4" w:space="0" w:color="auto"/>
              <w:bottom w:val="single" w:sz="4" w:space="0" w:color="auto"/>
              <w:right w:val="single" w:sz="4" w:space="0" w:color="auto"/>
            </w:tcBorders>
            <w:vAlign w:val="center"/>
          </w:tcPr>
          <w:p w:rsidR="009571FA" w:rsidRDefault="009571FA">
            <w:pPr>
              <w:spacing w:line="276" w:lineRule="auto"/>
              <w:jc w:val="center"/>
              <w:rPr>
                <w:rFonts w:ascii="Calibri" w:hAnsi="Calibri"/>
                <w:sz w:val="22"/>
                <w:lang w:val="es-ES_tradnl"/>
              </w:rPr>
            </w:pPr>
            <w:r>
              <w:rPr>
                <w:rFonts w:ascii="Calibri" w:hAnsi="Calibri"/>
                <w:sz w:val="22"/>
                <w:szCs w:val="22"/>
                <w:lang w:val="es-ES_tradnl"/>
              </w:rPr>
              <w:t>&lt; 0.0001</w:t>
            </w:r>
          </w:p>
        </w:tc>
      </w:tr>
    </w:tbl>
    <w:p w:rsidR="009571FA" w:rsidRDefault="009571FA" w:rsidP="003947AA">
      <w:pPr>
        <w:rPr>
          <w:lang w:val="en-US"/>
        </w:rPr>
      </w:pPr>
    </w:p>
    <w:p w:rsidR="009571FA" w:rsidRDefault="009571FA" w:rsidP="003947AA">
      <w:pPr>
        <w:rPr>
          <w:lang w:val="en-US"/>
        </w:rPr>
      </w:pPr>
    </w:p>
    <w:p w:rsidR="009571FA" w:rsidRDefault="009571FA" w:rsidP="003947AA">
      <w:pPr>
        <w:rPr>
          <w:lang w:val="en-US"/>
        </w:rPr>
      </w:pPr>
    </w:p>
    <w:p w:rsidR="009571FA" w:rsidRDefault="009571FA" w:rsidP="003947AA">
      <w:pPr>
        <w:rPr>
          <w:bCs/>
          <w:sz w:val="22"/>
        </w:rPr>
      </w:pPr>
    </w:p>
    <w:p w:rsidR="009571FA" w:rsidRDefault="009571FA" w:rsidP="003947AA">
      <w:pPr>
        <w:rPr>
          <w:bCs/>
          <w:sz w:val="22"/>
        </w:rPr>
      </w:pPr>
    </w:p>
    <w:p w:rsidR="009571FA" w:rsidRDefault="009571FA" w:rsidP="003947AA">
      <w:pPr>
        <w:rPr>
          <w:bCs/>
          <w:sz w:val="22"/>
        </w:rPr>
      </w:pPr>
    </w:p>
    <w:p w:rsidR="009571FA" w:rsidRDefault="009571FA" w:rsidP="003947AA">
      <w:pPr>
        <w:rPr>
          <w:bCs/>
          <w:sz w:val="22"/>
        </w:rPr>
      </w:pPr>
    </w:p>
    <w:p w:rsidR="009571FA" w:rsidRDefault="009571FA" w:rsidP="003947AA">
      <w:pPr>
        <w:rPr>
          <w:bCs/>
          <w:sz w:val="22"/>
        </w:rPr>
      </w:pPr>
    </w:p>
    <w:p w:rsidR="009571FA" w:rsidRDefault="009571FA" w:rsidP="003947AA">
      <w:pPr>
        <w:rPr>
          <w:bCs/>
          <w:sz w:val="22"/>
        </w:rPr>
      </w:pPr>
    </w:p>
    <w:p w:rsidR="009571FA" w:rsidRDefault="009571FA" w:rsidP="003947AA">
      <w:pPr>
        <w:rPr>
          <w:bCs/>
          <w:sz w:val="22"/>
        </w:rPr>
      </w:pPr>
    </w:p>
    <w:p w:rsidR="009571FA" w:rsidRDefault="009571FA" w:rsidP="003947AA">
      <w:pPr>
        <w:rPr>
          <w:bCs/>
          <w:sz w:val="22"/>
        </w:rPr>
      </w:pPr>
    </w:p>
    <w:p w:rsidR="009571FA" w:rsidRDefault="009571FA" w:rsidP="003947AA">
      <w:pPr>
        <w:rPr>
          <w:bCs/>
          <w:sz w:val="22"/>
        </w:rPr>
      </w:pPr>
    </w:p>
    <w:p w:rsidR="009571FA" w:rsidRDefault="009571FA" w:rsidP="003947AA">
      <w:pPr>
        <w:jc w:val="both"/>
        <w:rPr>
          <w:bCs/>
          <w:sz w:val="22"/>
        </w:rPr>
      </w:pPr>
    </w:p>
    <w:p w:rsidR="009571FA" w:rsidRDefault="009571FA" w:rsidP="003947AA">
      <w:pPr>
        <w:jc w:val="both"/>
        <w:rPr>
          <w:bCs/>
          <w:sz w:val="22"/>
        </w:rPr>
      </w:pPr>
    </w:p>
    <w:p w:rsidR="009571FA" w:rsidRDefault="009571FA" w:rsidP="003947AA">
      <w:pPr>
        <w:jc w:val="both"/>
        <w:rPr>
          <w:bCs/>
          <w:sz w:val="22"/>
        </w:rPr>
      </w:pPr>
    </w:p>
    <w:p w:rsidR="009571FA" w:rsidRDefault="009571FA" w:rsidP="003947AA">
      <w:pPr>
        <w:jc w:val="both"/>
        <w:rPr>
          <w:bCs/>
          <w:sz w:val="22"/>
        </w:rPr>
      </w:pPr>
    </w:p>
    <w:p w:rsidR="009571FA" w:rsidRDefault="009571FA" w:rsidP="003947AA">
      <w:pPr>
        <w:jc w:val="both"/>
        <w:rPr>
          <w:bCs/>
          <w:sz w:val="22"/>
        </w:rPr>
      </w:pPr>
    </w:p>
    <w:p w:rsidR="009571FA" w:rsidRDefault="009571FA" w:rsidP="003947AA">
      <w:pPr>
        <w:jc w:val="both"/>
        <w:rPr>
          <w:bCs/>
          <w:sz w:val="22"/>
        </w:rPr>
      </w:pPr>
    </w:p>
    <w:p w:rsidR="009571FA" w:rsidRDefault="009571FA" w:rsidP="003947AA">
      <w:pPr>
        <w:jc w:val="both"/>
        <w:rPr>
          <w:bCs/>
          <w:sz w:val="22"/>
        </w:rPr>
      </w:pPr>
    </w:p>
    <w:p w:rsidR="009571FA" w:rsidRDefault="009571FA" w:rsidP="003947AA">
      <w:pPr>
        <w:jc w:val="both"/>
        <w:rPr>
          <w:bCs/>
          <w:sz w:val="22"/>
        </w:rPr>
      </w:pPr>
    </w:p>
    <w:p w:rsidR="007C65A5" w:rsidRPr="00A56963" w:rsidRDefault="007C65A5" w:rsidP="00951E57">
      <w:pPr>
        <w:jc w:val="both"/>
        <w:rPr>
          <w:bCs/>
          <w:sz w:val="12"/>
        </w:rPr>
      </w:pPr>
    </w:p>
    <w:p w:rsidR="009571FA" w:rsidRPr="00A56963" w:rsidRDefault="009571FA" w:rsidP="00951E57">
      <w:pPr>
        <w:jc w:val="both"/>
        <w:rPr>
          <w:bCs/>
          <w:sz w:val="16"/>
        </w:rPr>
      </w:pPr>
    </w:p>
    <w:p w:rsidR="009571FA" w:rsidRDefault="009571FA" w:rsidP="009A27D9">
      <w:pPr>
        <w:ind w:left="720"/>
      </w:pPr>
      <w:r>
        <w:rPr>
          <w:b/>
          <w:bCs/>
          <w:sz w:val="22"/>
        </w:rPr>
        <w:t>Figure 3.</w:t>
      </w:r>
      <w:r>
        <w:rPr>
          <w:bCs/>
          <w:sz w:val="22"/>
        </w:rPr>
        <w:t xml:space="preserve"> Percent distribution of PAHO staff according to level of application                  of gender knowledge to their work, by grade. 2008 </w:t>
      </w:r>
      <w:r>
        <w:t xml:space="preserve">      </w:t>
      </w:r>
      <w:r w:rsidR="00BD4C31">
        <w:pict>
          <v:group id="_x0000_s1041" editas="canvas" style="width:360.9pt;height:216.45pt;mso-position-horizontal-relative:char;mso-position-vertical-relative:line" coordorigin="150,195" coordsize="7218,4329">
            <o:lock v:ext="edit" aspectratio="t"/>
            <v:shape id="_x0000_s1042" type="#_x0000_t75" style="position:absolute;left:150;top:195;width:7218;height:4329" o:preferrelative="f">
              <v:fill o:detectmouseclick="t"/>
              <v:path o:extrusionok="t" o:connecttype="none"/>
            </v:shape>
            <v:rect id="_x0000_s1043" style="position:absolute;left:150;top:399;width:7218;height:4125" stroked="f"/>
            <v:rect id="_x0000_s1044" style="position:absolute;left:930;top:399;width:6168;height:2646" stroked="f"/>
            <v:line id="_x0000_s1045" style="position:absolute" from="975,2775" to="7143,2776" strokeweight="0">
              <v:stroke dashstyle="1 1"/>
            </v:line>
            <v:line id="_x0000_s1046" style="position:absolute" from="975,2295" to="7143,2296" strokeweight="0">
              <v:stroke dashstyle="1 1"/>
            </v:line>
            <v:line id="_x0000_s1047" style="position:absolute" from="975,1830" to="7143,1831" strokeweight="0">
              <v:stroke dashstyle="1 1"/>
            </v:line>
            <v:line id="_x0000_s1048" style="position:absolute" from="975,1350" to="7143,1351" strokeweight="0">
              <v:stroke dashstyle="1 1"/>
            </v:line>
            <v:line id="_x0000_s1049" style="position:absolute" from="975,885" to="7143,886" strokeweight="0">
              <v:stroke dashstyle="1 1"/>
            </v:line>
            <v:rect id="_x0000_s1050" style="position:absolute;left:975;top:885;width:6168;height:2355" filled="f" strokeweight="0"/>
            <v:rect id="_x0000_s1051" style="position:absolute;left:3646;top:3075;width:826;height:165" fillcolor="#ccf" strokeweight="42e-5mm"/>
            <v:rect id="_x0000_s1052" style="position:absolute;left:5702;top:1920;width:826;height:1320" fillcolor="#ccf" strokeweight="42e-5mm"/>
            <v:rect id="_x0000_s1053" style="position:absolute;left:1591;top:2775;width:825;height:465" fillcolor="#936" strokeweight="42e-5mm"/>
            <v:rect id="_x0000_s1054" style="position:absolute;left:3646;top:2100;width:826;height:975" fillcolor="#936" strokeweight="42e-5mm"/>
            <v:rect id="_x0000_s1055" style="position:absolute;left:5702;top:1245;width:826;height:675" fillcolor="#936" strokeweight="42e-5mm"/>
            <v:rect id="_x0000_s1056" style="position:absolute;left:1591;top:2295;width:825;height:480" fillcolor="#ffc" strokeweight="42e-5mm"/>
            <v:rect id="_x0000_s1057" style="position:absolute;left:3646;top:1455;width:826;height:645" fillcolor="#ffc" strokeweight="42e-5mm"/>
            <v:rect id="_x0000_s1058" style="position:absolute;left:5702;top:1020;width:826;height:225" fillcolor="#ffc" strokeweight="42e-5mm"/>
            <v:rect id="_x0000_s1059" style="position:absolute;left:1591;top:885;width:825;height:1410" fillcolor="#cff" strokeweight="42e-5mm"/>
            <v:rect id="_x0000_s1060" style="position:absolute;left:3646;top:885;width:826;height:570" fillcolor="#cff" strokeweight="42e-5mm"/>
            <v:rect id="_x0000_s1061" style="position:absolute;left:5702;top:889;width:826;height:135" fillcolor="#cff" strokeweight="42e-5mm"/>
            <v:line id="_x0000_s1062" style="position:absolute" from="975,885" to="976,3240" strokeweight="0"/>
            <v:line id="_x0000_s1063" style="position:absolute" from="930,3240" to="975,3241" strokeweight="0"/>
            <v:line id="_x0000_s1064" style="position:absolute" from="930,2775" to="975,2776" strokeweight="0"/>
            <v:line id="_x0000_s1065" style="position:absolute" from="930,2295" to="975,2296" strokeweight="0"/>
            <v:line id="_x0000_s1066" style="position:absolute" from="930,1830" to="975,1831" strokeweight="0"/>
            <v:line id="_x0000_s1067" style="position:absolute" from="930,1350" to="975,1351" strokeweight="0"/>
            <v:line id="_x0000_s1068" style="position:absolute" from="930,885" to="975,886" strokeweight="0"/>
            <v:line id="_x0000_s1069" style="position:absolute" from="975,3240" to="7143,3241" strokeweight="0"/>
            <v:line id="_x0000_s1070" style="position:absolute;flip:y" from="975,3240" to="976,3285" strokeweight="0"/>
            <v:line id="_x0000_s1071" style="position:absolute;flip:y" from="3031,3240" to="3032,3285" strokeweight="0"/>
            <v:line id="_x0000_s1072" style="position:absolute;flip:y" from="5087,3240" to="5088,3285" strokeweight="0"/>
            <v:line id="_x0000_s1073" style="position:absolute;flip:y" from="7143,3240" to="7144,3285" strokeweight="0"/>
            <v:rect id="_x0000_s1074" style="position:absolute;left:1005;top:195;width:108;height:230;mso-wrap-style:none" filled="f" stroked="f">
              <v:textbox style="mso-next-textbox:#_x0000_s1074;mso-fit-shape-to-text:t" inset="0,0,0,0">
                <w:txbxContent>
                  <w:p w:rsidR="00D345DF" w:rsidRDefault="00D345DF" w:rsidP="009A27D9"/>
                </w:txbxContent>
              </v:textbox>
            </v:rect>
            <v:rect id="_x0000_s1075" style="position:absolute;left:3947;top:3045;width:223;height:184;mso-wrap-style:none" filled="f" stroked="f">
              <v:textbox style="mso-next-textbox:#_x0000_s1075;mso-fit-shape-to-text:t" inset="0,0,0,0">
                <w:txbxContent>
                  <w:p w:rsidR="00D345DF" w:rsidRPr="006A4919" w:rsidRDefault="00D345DF" w:rsidP="009A27D9">
                    <w:r w:rsidRPr="006A4919">
                      <w:rPr>
                        <w:rFonts w:cs="Arial"/>
                        <w:color w:val="000000"/>
                        <w:sz w:val="16"/>
                        <w:szCs w:val="16"/>
                      </w:rPr>
                      <w:t>7.3</w:t>
                    </w:r>
                  </w:p>
                </w:txbxContent>
              </v:textbox>
            </v:rect>
            <v:rect id="_x0000_s1076" style="position:absolute;left:5957;top:2475;width:312;height:184;mso-wrap-style:none" filled="f" stroked="f">
              <v:textbox style="mso-next-textbox:#_x0000_s1076;mso-fit-shape-to-text:t" inset="0,0,0,0">
                <w:txbxContent>
                  <w:p w:rsidR="00D345DF" w:rsidRDefault="00D345DF" w:rsidP="009A27D9">
                    <w:r>
                      <w:rPr>
                        <w:rFonts w:cs="Arial"/>
                        <w:color w:val="000000"/>
                        <w:sz w:val="16"/>
                        <w:szCs w:val="16"/>
                      </w:rPr>
                      <w:t>55.8</w:t>
                    </w:r>
                  </w:p>
                </w:txbxContent>
              </v:textbox>
            </v:rect>
            <v:rect id="_x0000_s1077" style="position:absolute;left:1846;top:2895;width:312;height:184;mso-wrap-style:none" filled="f" stroked="f">
              <v:textbox style="mso-next-textbox:#_x0000_s1077;mso-fit-shape-to-text:t" inset="0,0,0,0">
                <w:txbxContent>
                  <w:p w:rsidR="00D345DF" w:rsidRDefault="00D345DF" w:rsidP="009A27D9">
                    <w:r>
                      <w:rPr>
                        <w:rFonts w:cs="Arial"/>
                        <w:color w:val="FFFFFF"/>
                        <w:sz w:val="16"/>
                        <w:szCs w:val="16"/>
                      </w:rPr>
                      <w:t>20.0</w:t>
                    </w:r>
                  </w:p>
                </w:txbxContent>
              </v:textbox>
            </v:rect>
            <v:rect id="_x0000_s1078" style="position:absolute;left:3902;top:2475;width:312;height:184;mso-wrap-style:none" filled="f" stroked="f">
              <v:textbox style="mso-next-textbox:#_x0000_s1078;mso-fit-shape-to-text:t" inset="0,0,0,0">
                <w:txbxContent>
                  <w:p w:rsidR="00D345DF" w:rsidRDefault="00D345DF" w:rsidP="009A27D9">
                    <w:r>
                      <w:rPr>
                        <w:rFonts w:cs="Arial"/>
                        <w:color w:val="FFFFFF"/>
                        <w:sz w:val="16"/>
                        <w:szCs w:val="16"/>
                      </w:rPr>
                      <w:t>41.2</w:t>
                    </w:r>
                  </w:p>
                </w:txbxContent>
              </v:textbox>
            </v:rect>
            <v:rect id="_x0000_s1079" style="position:absolute;left:5957;top:1470;width:312;height:184;mso-wrap-style:none" filled="f" stroked="f">
              <v:textbox style="mso-next-textbox:#_x0000_s1079;mso-fit-shape-to-text:t" inset="0,0,0,0">
                <w:txbxContent>
                  <w:p w:rsidR="00D345DF" w:rsidRDefault="00D345DF" w:rsidP="009A27D9">
                    <w:r>
                      <w:rPr>
                        <w:rFonts w:cs="Arial"/>
                        <w:color w:val="FFFFFF"/>
                        <w:sz w:val="16"/>
                        <w:szCs w:val="16"/>
                      </w:rPr>
                      <w:t>28.9</w:t>
                    </w:r>
                  </w:p>
                </w:txbxContent>
              </v:textbox>
            </v:rect>
            <v:rect id="_x0000_s1080" style="position:absolute;left:1846;top:2430;width:312;height:184;mso-wrap-style:none" filled="f" stroked="f">
              <v:textbox style="mso-next-textbox:#_x0000_s1080;mso-fit-shape-to-text:t" inset="0,0,0,0">
                <w:txbxContent>
                  <w:p w:rsidR="00D345DF" w:rsidRDefault="00D345DF" w:rsidP="009A27D9">
                    <w:r>
                      <w:rPr>
                        <w:rFonts w:cs="Arial"/>
                        <w:color w:val="000000"/>
                        <w:sz w:val="16"/>
                        <w:szCs w:val="16"/>
                      </w:rPr>
                      <w:t>20.0</w:t>
                    </w:r>
                  </w:p>
                </w:txbxContent>
              </v:textbox>
            </v:rect>
            <v:rect id="_x0000_s1081" style="position:absolute;left:3902;top:1665;width:312;height:184;mso-wrap-style:none" filled="f" stroked="f">
              <v:textbox style="mso-next-textbox:#_x0000_s1081;mso-fit-shape-to-text:t" inset="0,0,0,0">
                <w:txbxContent>
                  <w:p w:rsidR="00D345DF" w:rsidRDefault="00D345DF" w:rsidP="009A27D9">
                    <w:r>
                      <w:rPr>
                        <w:rFonts w:cs="Arial"/>
                        <w:color w:val="000000"/>
                        <w:sz w:val="16"/>
                        <w:szCs w:val="16"/>
                      </w:rPr>
                      <w:t>27.5</w:t>
                    </w:r>
                  </w:p>
                </w:txbxContent>
              </v:textbox>
            </v:rect>
            <v:rect id="_x0000_s1082" style="position:absolute;left:6002;top:1020;width:223;height:184;mso-wrap-style:none" filled="f" stroked="f">
              <v:textbox style="mso-next-textbox:#_x0000_s1082;mso-fit-shape-to-text:t" inset="0,0,0,0">
                <w:txbxContent>
                  <w:p w:rsidR="00D345DF" w:rsidRDefault="00D345DF" w:rsidP="009A27D9">
                    <w:r>
                      <w:rPr>
                        <w:rFonts w:cs="Arial"/>
                        <w:color w:val="000000"/>
                        <w:sz w:val="16"/>
                        <w:szCs w:val="16"/>
                      </w:rPr>
                      <w:t>9.6</w:t>
                    </w:r>
                  </w:p>
                </w:txbxContent>
              </v:textbox>
            </v:rect>
            <v:rect id="_x0000_s1083" style="position:absolute;left:1846;top:1485;width:312;height:184;mso-wrap-style:none" filled="f" stroked="f">
              <v:textbox style="mso-next-textbox:#_x0000_s1083;mso-fit-shape-to-text:t" inset="0,0,0,0">
                <w:txbxContent>
                  <w:p w:rsidR="00D345DF" w:rsidRDefault="00D345DF" w:rsidP="009A27D9">
                    <w:r>
                      <w:rPr>
                        <w:rFonts w:cs="Arial"/>
                        <w:color w:val="000000"/>
                        <w:sz w:val="16"/>
                        <w:szCs w:val="16"/>
                      </w:rPr>
                      <w:t>60.0</w:t>
                    </w:r>
                  </w:p>
                </w:txbxContent>
              </v:textbox>
            </v:rect>
            <v:rect id="_x0000_s1084" style="position:absolute;left:3902;top:1065;width:312;height:184;mso-wrap-style:none" filled="f" stroked="f">
              <v:textbox style="mso-next-textbox:#_x0000_s1084;mso-fit-shape-to-text:t" inset="0,0,0,0">
                <w:txbxContent>
                  <w:p w:rsidR="00D345DF" w:rsidRDefault="00D345DF" w:rsidP="009A27D9">
                    <w:r>
                      <w:rPr>
                        <w:rFonts w:cs="Arial"/>
                        <w:color w:val="000000"/>
                        <w:sz w:val="16"/>
                        <w:szCs w:val="16"/>
                      </w:rPr>
                      <w:t>24.1</w:t>
                    </w:r>
                  </w:p>
                </w:txbxContent>
              </v:textbox>
            </v:rect>
            <v:rect id="_x0000_s1085" style="position:absolute;left:6002;top:840;width:223;height:184;mso-wrap-style:none" filled="f" stroked="f">
              <v:textbox style="mso-next-textbox:#_x0000_s1085;mso-fit-shape-to-text:t" inset="0,0,0,0">
                <w:txbxContent>
                  <w:p w:rsidR="00D345DF" w:rsidRDefault="00D345DF" w:rsidP="009A27D9">
                    <w:r>
                      <w:rPr>
                        <w:rFonts w:cs="Arial"/>
                        <w:color w:val="000000"/>
                        <w:sz w:val="16"/>
                        <w:szCs w:val="16"/>
                      </w:rPr>
                      <w:t>5.8</w:t>
                    </w:r>
                  </w:p>
                </w:txbxContent>
              </v:textbox>
            </v:rect>
            <v:rect id="_x0000_s1086" style="position:absolute;left:765;top:3135;width:89;height:184;mso-wrap-style:none" filled="f" stroked="f">
              <v:textbox style="mso-next-textbox:#_x0000_s1086;mso-fit-shape-to-text:t" inset="0,0,0,0">
                <w:txbxContent>
                  <w:p w:rsidR="00D345DF" w:rsidRDefault="00D345DF" w:rsidP="009A27D9">
                    <w:r>
                      <w:rPr>
                        <w:rFonts w:cs="Arial"/>
                        <w:color w:val="000000"/>
                        <w:sz w:val="16"/>
                        <w:szCs w:val="16"/>
                      </w:rPr>
                      <w:t>0</w:t>
                    </w:r>
                  </w:p>
                </w:txbxContent>
              </v:textbox>
            </v:rect>
            <v:rect id="_x0000_s1087" style="position:absolute;left:675;top:2670;width:178;height:184;mso-wrap-style:none" filled="f" stroked="f">
              <v:textbox style="mso-next-textbox:#_x0000_s1087;mso-fit-shape-to-text:t" inset="0,0,0,0">
                <w:txbxContent>
                  <w:p w:rsidR="00D345DF" w:rsidRDefault="00D345DF" w:rsidP="009A27D9">
                    <w:r>
                      <w:rPr>
                        <w:rFonts w:cs="Arial"/>
                        <w:color w:val="000000"/>
                        <w:sz w:val="16"/>
                        <w:szCs w:val="16"/>
                      </w:rPr>
                      <w:t>20</w:t>
                    </w:r>
                  </w:p>
                </w:txbxContent>
              </v:textbox>
            </v:rect>
            <v:rect id="_x0000_s1088" style="position:absolute;left:675;top:2190;width:178;height:184;mso-wrap-style:none" filled="f" stroked="f">
              <v:textbox style="mso-next-textbox:#_x0000_s1088;mso-fit-shape-to-text:t" inset="0,0,0,0">
                <w:txbxContent>
                  <w:p w:rsidR="00D345DF" w:rsidRDefault="00D345DF" w:rsidP="009A27D9">
                    <w:r>
                      <w:rPr>
                        <w:rFonts w:cs="Arial"/>
                        <w:color w:val="000000"/>
                        <w:sz w:val="16"/>
                        <w:szCs w:val="16"/>
                      </w:rPr>
                      <w:t>40</w:t>
                    </w:r>
                  </w:p>
                </w:txbxContent>
              </v:textbox>
            </v:rect>
            <v:rect id="_x0000_s1089" style="position:absolute;left:675;top:1725;width:178;height:184;mso-wrap-style:none" filled="f" stroked="f">
              <v:textbox style="mso-next-textbox:#_x0000_s1089;mso-fit-shape-to-text:t" inset="0,0,0,0">
                <w:txbxContent>
                  <w:p w:rsidR="00D345DF" w:rsidRDefault="00D345DF" w:rsidP="009A27D9">
                    <w:r>
                      <w:rPr>
                        <w:rFonts w:cs="Arial"/>
                        <w:color w:val="000000"/>
                        <w:sz w:val="16"/>
                        <w:szCs w:val="16"/>
                      </w:rPr>
                      <w:t>60</w:t>
                    </w:r>
                  </w:p>
                </w:txbxContent>
              </v:textbox>
            </v:rect>
            <v:rect id="_x0000_s1090" style="position:absolute;left:675;top:1245;width:178;height:184;mso-wrap-style:none" filled="f" stroked="f">
              <v:textbox style="mso-next-textbox:#_x0000_s1090;mso-fit-shape-to-text:t" inset="0,0,0,0">
                <w:txbxContent>
                  <w:p w:rsidR="00D345DF" w:rsidRDefault="00D345DF" w:rsidP="009A27D9">
                    <w:r>
                      <w:rPr>
                        <w:rFonts w:cs="Arial"/>
                        <w:color w:val="000000"/>
                        <w:sz w:val="16"/>
                        <w:szCs w:val="16"/>
                      </w:rPr>
                      <w:t>80</w:t>
                    </w:r>
                  </w:p>
                </w:txbxContent>
              </v:textbox>
            </v:rect>
            <v:rect id="_x0000_s1091" style="position:absolute;left:585;top:780;width:267;height:184;mso-wrap-style:none" filled="f" stroked="f">
              <v:textbox style="mso-next-textbox:#_x0000_s1091;mso-fit-shape-to-text:t" inset="0,0,0,0">
                <w:txbxContent>
                  <w:p w:rsidR="00D345DF" w:rsidRDefault="00D345DF" w:rsidP="009A27D9">
                    <w:r>
                      <w:rPr>
                        <w:rFonts w:cs="Arial"/>
                        <w:color w:val="000000"/>
                        <w:sz w:val="16"/>
                        <w:szCs w:val="16"/>
                      </w:rPr>
                      <w:t>100</w:t>
                    </w:r>
                  </w:p>
                </w:txbxContent>
              </v:textbox>
            </v:rect>
            <v:rect id="_x0000_s1092" style="position:absolute;left:1966;top:3375;width:116;height:184;mso-wrap-style:none" filled="f" stroked="f">
              <v:textbox style="mso-next-textbox:#_x0000_s1092;mso-fit-shape-to-text:t" inset="0,0,0,0">
                <w:txbxContent>
                  <w:p w:rsidR="00D345DF" w:rsidRDefault="00D345DF" w:rsidP="009A27D9">
                    <w:r>
                      <w:rPr>
                        <w:rFonts w:cs="Arial"/>
                        <w:color w:val="000000"/>
                        <w:sz w:val="16"/>
                        <w:szCs w:val="16"/>
                      </w:rPr>
                      <w:t>D</w:t>
                    </w:r>
                  </w:p>
                </w:txbxContent>
              </v:textbox>
            </v:rect>
            <v:rect id="_x0000_s1093" style="position:absolute;left:4022;top:3375;width:107;height:184;mso-wrap-style:none" filled="f" stroked="f">
              <v:textbox style="mso-next-textbox:#_x0000_s1093;mso-fit-shape-to-text:t" inset="0,0,0,0">
                <w:txbxContent>
                  <w:p w:rsidR="00D345DF" w:rsidRDefault="00D345DF" w:rsidP="009A27D9">
                    <w:r>
                      <w:rPr>
                        <w:rFonts w:cs="Arial"/>
                        <w:color w:val="000000"/>
                        <w:sz w:val="16"/>
                        <w:szCs w:val="16"/>
                      </w:rPr>
                      <w:t>P</w:t>
                    </w:r>
                  </w:p>
                </w:txbxContent>
              </v:textbox>
            </v:rect>
            <v:rect id="_x0000_s1094" style="position:absolute;left:6062;top:3375;width:125;height:184;mso-wrap-style:none" filled="f" stroked="f">
              <v:textbox style="mso-next-textbox:#_x0000_s1094;mso-fit-shape-to-text:t" inset="0,0,0,0">
                <w:txbxContent>
                  <w:p w:rsidR="00D345DF" w:rsidRDefault="00D345DF" w:rsidP="009A27D9">
                    <w:r>
                      <w:rPr>
                        <w:rFonts w:cs="Arial"/>
                        <w:color w:val="000000"/>
                        <w:sz w:val="16"/>
                        <w:szCs w:val="16"/>
                      </w:rPr>
                      <w:t>G</w:t>
                    </w:r>
                  </w:p>
                </w:txbxContent>
              </v:textbox>
            </v:rect>
            <v:rect id="_x0000_s1095" style="position:absolute;left:265;top:1850;width:184;height:143;rotation:270;mso-wrap-style:none" filled="f" stroked="f">
              <v:textbox style="mso-next-textbox:#_x0000_s1095;mso-fit-shape-to-text:t" inset="0,0,0,0">
                <w:txbxContent>
                  <w:p w:rsidR="00D345DF" w:rsidRDefault="00D345DF" w:rsidP="009A27D9">
                    <w:r>
                      <w:rPr>
                        <w:rFonts w:cs="Arial"/>
                        <w:color w:val="000000"/>
                        <w:sz w:val="16"/>
                        <w:szCs w:val="16"/>
                      </w:rPr>
                      <w:t>%</w:t>
                    </w:r>
                  </w:p>
                </w:txbxContent>
              </v:textbox>
            </v:rect>
            <v:rect id="_x0000_s1096" style="position:absolute;left:551;top:3810;width:6592;height:315" strokeweight="0"/>
            <v:rect id="_x0000_s1097" style="position:absolute;left:585;top:3915;width:90;height:90" fillcolor="#ccf" strokeweight="42e-5mm"/>
            <v:rect id="_x0000_s1098" style="position:absolute;left:735;top:3855;width:890;height:184;mso-wrap-style:none" filled="f" stroked="f">
              <v:textbox style="mso-next-textbox:#_x0000_s1098;mso-fit-shape-to-text:t" inset="0,0,0,0">
                <w:txbxContent>
                  <w:p w:rsidR="00D345DF" w:rsidRDefault="00D345DF" w:rsidP="009A27D9">
                    <w:r>
                      <w:rPr>
                        <w:rFonts w:cs="Arial"/>
                        <w:color w:val="000000"/>
                        <w:sz w:val="16"/>
                        <w:szCs w:val="16"/>
                      </w:rPr>
                      <w:t>Not applying</w:t>
                    </w:r>
                  </w:p>
                </w:txbxContent>
              </v:textbox>
            </v:rect>
            <v:rect id="_x0000_s1099" style="position:absolute;left:1696;top:3915;width:90;height:90" fillcolor="#936" strokeweight="42e-5mm"/>
            <v:rect id="_x0000_s1100" style="position:absolute;left:1786;top:3855;width:1288;height:184" filled="f" stroked="f">
              <v:textbox style="mso-next-textbox:#_x0000_s1100;mso-fit-shape-to-text:t" inset="0,0,0,0">
                <w:txbxContent>
                  <w:p w:rsidR="00D345DF" w:rsidRDefault="00D345DF" w:rsidP="009A27D9">
                    <w:r>
                      <w:rPr>
                        <w:rFonts w:cs="Arial"/>
                        <w:color w:val="000000"/>
                        <w:sz w:val="16"/>
                        <w:szCs w:val="16"/>
                      </w:rPr>
                      <w:t xml:space="preserve"> Some application   </w:t>
                    </w:r>
                  </w:p>
                </w:txbxContent>
              </v:textbox>
            </v:rect>
            <v:rect id="_x0000_s1101" style="position:absolute;left:3181;top:3915;width:71;height:90;flip:x" fillcolor="#ffc" strokeweight="42e-5mm"/>
            <v:rect id="_x0000_s1102" style="position:absolute;left:3241;top:3855;width:2095;height:184" filled="f" stroked="f">
              <v:textbox style="mso-next-textbox:#_x0000_s1102" inset="0,0,0,0">
                <w:txbxContent>
                  <w:p w:rsidR="00D345DF" w:rsidRDefault="00D345DF" w:rsidP="009A27D9">
                    <w:r>
                      <w:rPr>
                        <w:rFonts w:cs="Arial"/>
                        <w:color w:val="000000"/>
                        <w:sz w:val="16"/>
                        <w:szCs w:val="16"/>
                      </w:rPr>
                      <w:t xml:space="preserve">  Moderate strong application</w:t>
                    </w:r>
                  </w:p>
                </w:txbxContent>
              </v:textbox>
            </v:rect>
            <v:rect id="_x0000_s1103" style="position:absolute;left:5466;top:3881;width:90;height:124" fillcolor="#cff" strokeweight="42e-5mm"/>
            <v:rect id="_x0000_s1104" style="position:absolute;left:5504;top:3847;width:1717;height:218" filled="f" stroked="f">
              <v:textbox style="mso-next-textbox:#_x0000_s1104" inset="0,0,0,0">
                <w:txbxContent>
                  <w:p w:rsidR="00D345DF" w:rsidRDefault="00D345DF" w:rsidP="009A27D9">
                    <w:pPr>
                      <w:rPr>
                        <w:rFonts w:cs="Arial"/>
                        <w:color w:val="000000"/>
                        <w:sz w:val="16"/>
                        <w:szCs w:val="16"/>
                      </w:rPr>
                    </w:pPr>
                    <w:r>
                      <w:rPr>
                        <w:rFonts w:cs="Arial"/>
                        <w:color w:val="000000"/>
                        <w:sz w:val="16"/>
                        <w:szCs w:val="16"/>
                      </w:rPr>
                      <w:t xml:space="preserve">  Strong application</w:t>
                    </w:r>
                  </w:p>
                </w:txbxContent>
              </v:textbox>
            </v:rect>
            <w10:wrap type="none"/>
            <w10:anchorlock/>
          </v:group>
        </w:pict>
      </w:r>
    </w:p>
    <w:p w:rsidR="009E0A8E" w:rsidRDefault="009E0A8E" w:rsidP="009A27D9">
      <w:pPr>
        <w:ind w:left="720"/>
      </w:pPr>
    </w:p>
    <w:p w:rsidR="009E0A8E" w:rsidRDefault="009E0A8E" w:rsidP="00581596">
      <w:pPr>
        <w:numPr>
          <w:ilvl w:val="0"/>
          <w:numId w:val="18"/>
        </w:numPr>
        <w:rPr>
          <w:i/>
          <w:sz w:val="22"/>
        </w:rPr>
      </w:pPr>
      <w:r>
        <w:rPr>
          <w:b/>
          <w:bCs/>
          <w:sz w:val="24"/>
        </w:rPr>
        <w:t xml:space="preserve">   </w:t>
      </w:r>
      <w:r>
        <w:rPr>
          <w:i/>
          <w:sz w:val="22"/>
        </w:rPr>
        <w:t>Differentials by WHO Region</w:t>
      </w:r>
    </w:p>
    <w:p w:rsidR="009E0A8E" w:rsidRDefault="009E0A8E" w:rsidP="009E0A8E">
      <w:pPr>
        <w:rPr>
          <w:i/>
          <w:sz w:val="14"/>
        </w:rPr>
      </w:pPr>
    </w:p>
    <w:p w:rsidR="009E0A8E" w:rsidRDefault="009E0A8E" w:rsidP="009E0A8E">
      <w:pPr>
        <w:jc w:val="both"/>
        <w:rPr>
          <w:sz w:val="22"/>
        </w:rPr>
      </w:pPr>
      <w:r>
        <w:rPr>
          <w:sz w:val="22"/>
        </w:rPr>
        <w:t xml:space="preserve">PAHO was </w:t>
      </w:r>
      <w:r w:rsidR="00E06B4C">
        <w:rPr>
          <w:sz w:val="22"/>
        </w:rPr>
        <w:t xml:space="preserve">well </w:t>
      </w:r>
      <w:r>
        <w:rPr>
          <w:sz w:val="22"/>
        </w:rPr>
        <w:t>above the WHO average (33%) and ranked first among all regions</w:t>
      </w:r>
      <w:r w:rsidR="00E06B4C">
        <w:rPr>
          <w:sz w:val="22"/>
        </w:rPr>
        <w:t xml:space="preserve"> and WHO/HQ</w:t>
      </w:r>
      <w:r>
        <w:rPr>
          <w:sz w:val="22"/>
        </w:rPr>
        <w:t xml:space="preserve"> in terms of its percentage (42%) of staff reporting moderate to strong application of gender knowledge to their work. This difference was statistically significant at the 0.0001 level (See Figure 4; Table 4, Appendix 1).</w:t>
      </w:r>
    </w:p>
    <w:p w:rsidR="0081362A" w:rsidRDefault="0081362A" w:rsidP="006E1C1C">
      <w:pPr>
        <w:ind w:left="720"/>
        <w:rPr>
          <w:b/>
          <w:sz w:val="22"/>
        </w:rPr>
      </w:pPr>
    </w:p>
    <w:p w:rsidR="00BC4472" w:rsidRDefault="00BC4472" w:rsidP="006E1C1C">
      <w:pPr>
        <w:ind w:left="720"/>
        <w:rPr>
          <w:b/>
          <w:sz w:val="22"/>
        </w:rPr>
      </w:pPr>
    </w:p>
    <w:p w:rsidR="009571FA" w:rsidRPr="003F5143" w:rsidRDefault="009571FA" w:rsidP="006E1C1C">
      <w:pPr>
        <w:ind w:left="720"/>
        <w:rPr>
          <w:sz w:val="22"/>
        </w:rPr>
      </w:pPr>
      <w:r w:rsidRPr="003F5143">
        <w:rPr>
          <w:b/>
          <w:sz w:val="22"/>
        </w:rPr>
        <w:t xml:space="preserve">Figure </w:t>
      </w:r>
      <w:r>
        <w:rPr>
          <w:b/>
          <w:sz w:val="22"/>
        </w:rPr>
        <w:t>4</w:t>
      </w:r>
      <w:r w:rsidRPr="003F5143">
        <w:rPr>
          <w:b/>
          <w:sz w:val="22"/>
        </w:rPr>
        <w:t xml:space="preserve">.  </w:t>
      </w:r>
      <w:r w:rsidRPr="003F5143">
        <w:rPr>
          <w:sz w:val="22"/>
        </w:rPr>
        <w:t>Percentage of WHO staff reporting a “moderately strong”</w:t>
      </w:r>
      <w:r>
        <w:rPr>
          <w:sz w:val="22"/>
        </w:rPr>
        <w:t xml:space="preserve"> </w:t>
      </w:r>
      <w:r w:rsidRPr="003F5143">
        <w:rPr>
          <w:sz w:val="22"/>
        </w:rPr>
        <w:t>to “strong” application of gender concepts to their work, by Region. 2008</w:t>
      </w:r>
    </w:p>
    <w:p w:rsidR="009571FA" w:rsidRDefault="00BD4C31" w:rsidP="0073119B">
      <w:pPr>
        <w:jc w:val="center"/>
        <w:rPr>
          <w:b/>
        </w:rPr>
      </w:pPr>
      <w:r w:rsidRPr="00BD4C31">
        <w:rPr>
          <w:b/>
        </w:rPr>
      </w:r>
      <w:r>
        <w:rPr>
          <w:b/>
        </w:rPr>
        <w:pict>
          <v:group id="_x0000_s1105" editas="canvas" style="width:425.55pt;height:206.25pt;mso-position-horizontal-relative:char;mso-position-vertical-relative:line" coordorigin="-89,70" coordsize="8511,4125">
            <o:lock v:ext="edit" aspectratio="t"/>
            <v:shape id="_x0000_s1106" type="#_x0000_t75" style="position:absolute;left:-89;top:70;width:8511;height:4125" o:preferrelative="f">
              <v:fill o:detectmouseclick="t"/>
              <v:path o:extrusionok="t" o:connecttype="none"/>
              <o:lock v:ext="edit" text="t"/>
            </v:shape>
            <v:rect id="_x0000_s1107" style="position:absolute;left:68;top:70;width:8264;height:3839" stroked="f"/>
            <v:rect id="_x0000_s1108" style="position:absolute;left:503;top:558;width:7693;height:2458" fillcolor="#cff" stroked="f"/>
            <v:rect id="_x0000_s1109" style="position:absolute;left:503;top:558;width:7693;height:2458" filled="f" strokecolor="gray" strokeweight="39e-5mm"/>
            <v:rect id="_x0000_s1110" style="position:absolute;left:829;top:949;width:449;height:2067" fillcolor="#ffc" strokeweight="39e-5mm"/>
            <v:rect id="_x0000_s1111" style="position:absolute;left:1930;top:1005;width:449;height:2011" fillcolor="#ffc" strokeweight="39e-5mm"/>
            <v:rect id="_x0000_s1112" style="position:absolute;left:3031;top:1229;width:449;height:1787" fillcolor="#ffc" strokeweight="39e-5mm"/>
            <v:rect id="_x0000_s1113" style="position:absolute;left:4132;top:1326;width:435;height:1690" fillcolor="#ffc" strokeweight="39e-5mm"/>
            <v:rect id="_x0000_s1114" style="position:absolute;left:5219;top:1424;width:449;height:1592" fillcolor="#ffc" strokeweight="39e-5mm"/>
            <v:rect id="_x0000_s1115" style="position:absolute;left:6320;top:1759;width:449;height:1257" fillcolor="#ffc" strokeweight="39e-5mm"/>
            <v:rect id="_x0000_s1116" style="position:absolute;left:7421;top:1801;width:449;height:1215" fillcolor="#ffc" strokeweight="39e-5mm"/>
            <v:line id="_x0000_s1117" style="position:absolute" from="503,558" to="504,3016" strokeweight="0"/>
            <v:line id="_x0000_s1118" style="position:absolute" from="462,3016" to="544,3017" strokeweight="0"/>
            <v:line id="_x0000_s1119" style="position:absolute" from="462,2527" to="544,2528" strokeweight="0"/>
            <v:line id="_x0000_s1120" style="position:absolute" from="462,2038" to="544,2039" strokeweight="0"/>
            <v:line id="_x0000_s1121" style="position:absolute" from="462,1536" to="544,1537" strokeweight="0"/>
            <v:line id="_x0000_s1122" style="position:absolute" from="462,1047" to="544,1048" strokeweight="0"/>
            <v:line id="_x0000_s1123" style="position:absolute" from="462,558" to="544,559" strokeweight="0"/>
            <v:line id="_x0000_s1124" style="position:absolute" from="503,3016" to="8196,3017" strokeweight="0"/>
            <v:line id="_x0000_s1125" style="position:absolute;flip:y" from="503,2974" to="504,3058" strokeweight="0"/>
            <v:line id="_x0000_s1126" style="position:absolute;flip:y" from="1604,2974" to="1605,3058" strokeweight="0"/>
            <v:line id="_x0000_s1127" style="position:absolute;flip:y" from="2705,2974" to="2706,3058" strokeweight="0"/>
            <v:line id="_x0000_s1128" style="position:absolute;flip:y" from="3806,2974" to="3807,3058" strokeweight="0"/>
            <v:line id="_x0000_s1129" style="position:absolute;flip:y" from="4893,2974" to="4894,3058" strokeweight="0"/>
            <v:line id="_x0000_s1130" style="position:absolute;flip:y" from="5994,2974" to="5995,3058" strokeweight="0"/>
            <v:line id="_x0000_s1131" style="position:absolute;flip:y" from="7095,2974" to="7096,3058" strokeweight="0"/>
            <v:line id="_x0000_s1132" style="position:absolute;flip:y" from="8196,2974" to="8197,3058" strokeweight="0"/>
            <v:shape id="_x0000_s1133" style="position:absolute;left:1047;top:1382;width:6605;height:1" coordsize="486,0" path="m,l81,r81,l243,r81,l405,r81,e" filled="f" strokecolor="navy" strokeweight=".0011mm">
              <v:path arrowok="t"/>
            </v:shape>
            <v:rect id="_x0000_s1134" style="position:absolute;left:68;top:181;width:531;height:1944" filled="f" stroked="f">
              <v:textbox style="mso-next-textbox:#_x0000_s1134" inset="0,0,0,0">
                <w:txbxContent>
                  <w:p w:rsidR="00D345DF" w:rsidRDefault="00D345DF">
                    <w:pPr>
                      <w:rPr>
                        <w:rFonts w:cs="Arial"/>
                        <w:color w:val="000000"/>
                        <w:sz w:val="16"/>
                        <w:szCs w:val="16"/>
                      </w:rPr>
                    </w:pPr>
                  </w:p>
                  <w:p w:rsidR="00D345DF" w:rsidRDefault="00D345DF">
                    <w:pPr>
                      <w:rPr>
                        <w:rFonts w:cs="Arial"/>
                        <w:color w:val="000000"/>
                        <w:sz w:val="16"/>
                        <w:szCs w:val="16"/>
                      </w:rPr>
                    </w:pPr>
                  </w:p>
                  <w:p w:rsidR="00D345DF" w:rsidRDefault="00D345DF">
                    <w:pPr>
                      <w:rPr>
                        <w:rFonts w:cs="Arial"/>
                        <w:color w:val="000000"/>
                        <w:sz w:val="16"/>
                        <w:szCs w:val="16"/>
                      </w:rPr>
                    </w:pPr>
                  </w:p>
                  <w:p w:rsidR="00D345DF" w:rsidRDefault="00D345DF">
                    <w:pPr>
                      <w:rPr>
                        <w:rFonts w:cs="Arial"/>
                        <w:color w:val="000000"/>
                        <w:sz w:val="16"/>
                        <w:szCs w:val="16"/>
                      </w:rPr>
                    </w:pPr>
                  </w:p>
                  <w:p w:rsidR="00D345DF" w:rsidRDefault="00D345DF">
                    <w:pPr>
                      <w:rPr>
                        <w:rFonts w:cs="Arial"/>
                        <w:color w:val="000000"/>
                        <w:sz w:val="16"/>
                        <w:szCs w:val="16"/>
                      </w:rPr>
                    </w:pPr>
                  </w:p>
                  <w:p w:rsidR="00D345DF" w:rsidRDefault="00D345DF">
                    <w:pPr>
                      <w:rPr>
                        <w:rFonts w:cs="Arial"/>
                        <w:color w:val="000000"/>
                        <w:sz w:val="16"/>
                        <w:szCs w:val="16"/>
                      </w:rPr>
                    </w:pPr>
                  </w:p>
                  <w:p w:rsidR="00D345DF" w:rsidRDefault="00D345DF">
                    <w:pPr>
                      <w:rPr>
                        <w:rFonts w:cs="Arial"/>
                        <w:color w:val="000000"/>
                        <w:sz w:val="16"/>
                        <w:szCs w:val="16"/>
                      </w:rPr>
                    </w:pPr>
                  </w:p>
                  <w:p w:rsidR="00D345DF" w:rsidRDefault="00D345DF">
                    <w:pPr>
                      <w:rPr>
                        <w:rFonts w:cs="Arial"/>
                        <w:color w:val="000000"/>
                        <w:sz w:val="16"/>
                        <w:szCs w:val="16"/>
                      </w:rPr>
                    </w:pPr>
                  </w:p>
                  <w:p w:rsidR="00D345DF" w:rsidRDefault="00D345DF">
                    <w:r>
                      <w:rPr>
                        <w:rFonts w:cs="Arial"/>
                        <w:color w:val="000000"/>
                        <w:sz w:val="16"/>
                        <w:szCs w:val="16"/>
                      </w:rPr>
                      <w:t>%</w:t>
                    </w:r>
                  </w:p>
                </w:txbxContent>
              </v:textbox>
            </v:rect>
            <v:rect id="_x0000_s1135" style="position:absolute;left:911;top:670;width:312;height:184;mso-wrap-style:none" filled="f" stroked="f">
              <v:textbox style="mso-next-textbox:#_x0000_s1135;mso-fit-shape-to-text:t" inset="0,0,0,0">
                <w:txbxContent>
                  <w:p w:rsidR="00D345DF" w:rsidRDefault="00D345DF">
                    <w:r>
                      <w:rPr>
                        <w:rFonts w:cs="Arial"/>
                        <w:color w:val="000000"/>
                        <w:sz w:val="16"/>
                        <w:szCs w:val="16"/>
                      </w:rPr>
                      <w:t>42.1</w:t>
                    </w:r>
                  </w:p>
                </w:txbxContent>
              </v:textbox>
            </v:rect>
            <v:rect id="_x0000_s1136" style="position:absolute;left:2012;top:726;width:312;height:184;mso-wrap-style:none" filled="f" stroked="f">
              <v:textbox style="mso-next-textbox:#_x0000_s1136;mso-fit-shape-to-text:t" inset="0,0,0,0">
                <w:txbxContent>
                  <w:p w:rsidR="00D345DF" w:rsidRDefault="00D345DF">
                    <w:r>
                      <w:rPr>
                        <w:rFonts w:cs="Arial"/>
                        <w:color w:val="000000"/>
                        <w:sz w:val="16"/>
                        <w:szCs w:val="16"/>
                      </w:rPr>
                      <w:t>41.0</w:t>
                    </w:r>
                  </w:p>
                </w:txbxContent>
              </v:textbox>
            </v:rect>
            <v:rect id="_x0000_s1137" style="position:absolute;left:3113;top:949;width:312;height:184;mso-wrap-style:none" filled="f" stroked="f">
              <v:textbox style="mso-next-textbox:#_x0000_s1137;mso-fit-shape-to-text:t" inset="0,0,0,0">
                <w:txbxContent>
                  <w:p w:rsidR="00D345DF" w:rsidRDefault="00D345DF">
                    <w:r>
                      <w:rPr>
                        <w:rFonts w:cs="Arial"/>
                        <w:color w:val="000000"/>
                        <w:sz w:val="16"/>
                        <w:szCs w:val="16"/>
                      </w:rPr>
                      <w:t>36.4</w:t>
                    </w:r>
                  </w:p>
                </w:txbxContent>
              </v:textbox>
            </v:rect>
            <v:rect id="_x0000_s1138" style="position:absolute;left:4213;top:1047;width:312;height:184;mso-wrap-style:none" filled="f" stroked="f">
              <v:textbox style="mso-next-textbox:#_x0000_s1138;mso-fit-shape-to-text:t" inset="0,0,0,0">
                <w:txbxContent>
                  <w:p w:rsidR="00D345DF" w:rsidRDefault="00D345DF">
                    <w:r>
                      <w:rPr>
                        <w:rFonts w:cs="Arial"/>
                        <w:color w:val="000000"/>
                        <w:sz w:val="16"/>
                        <w:szCs w:val="16"/>
                      </w:rPr>
                      <w:t>34.4</w:t>
                    </w:r>
                  </w:p>
                </w:txbxContent>
              </v:textbox>
            </v:rect>
            <v:rect id="_x0000_s1139" style="position:absolute;left:7503;top:1899;width:312;height:184;mso-wrap-style:none" filled="f" stroked="f">
              <v:textbox style="mso-next-textbox:#_x0000_s1139;mso-fit-shape-to-text:t" inset="0,0,0,0">
                <w:txbxContent>
                  <w:p w:rsidR="00D345DF" w:rsidRDefault="00D345DF">
                    <w:r>
                      <w:rPr>
                        <w:rFonts w:cs="Arial"/>
                        <w:color w:val="000000"/>
                        <w:sz w:val="16"/>
                        <w:szCs w:val="16"/>
                      </w:rPr>
                      <w:t>24.7</w:t>
                    </w:r>
                  </w:p>
                </w:txbxContent>
              </v:textbox>
            </v:rect>
            <v:rect id="_x0000_s1140" style="position:absolute;left:6402;top:1843;width:312;height:184;mso-wrap-style:none" filled="f" stroked="f">
              <v:textbox style="mso-next-textbox:#_x0000_s1140;mso-fit-shape-to-text:t" inset="0,0,0,0">
                <w:txbxContent>
                  <w:p w:rsidR="00D345DF" w:rsidRDefault="00D345DF">
                    <w:r>
                      <w:rPr>
                        <w:rFonts w:cs="Arial"/>
                        <w:color w:val="000000"/>
                        <w:sz w:val="16"/>
                        <w:szCs w:val="16"/>
                      </w:rPr>
                      <w:t>25.7</w:t>
                    </w:r>
                  </w:p>
                </w:txbxContent>
              </v:textbox>
            </v:rect>
            <v:rect id="_x0000_s1141" style="position:absolute;left:5301;top:1508;width:312;height:184;mso-wrap-style:none" filled="f" stroked="f">
              <v:textbox style="mso-next-textbox:#_x0000_s1141;mso-fit-shape-to-text:t" inset="0,0,0,0">
                <w:txbxContent>
                  <w:p w:rsidR="00D345DF" w:rsidRDefault="00D345DF">
                    <w:r>
                      <w:rPr>
                        <w:rFonts w:cs="Arial"/>
                        <w:color w:val="000000"/>
                        <w:sz w:val="16"/>
                        <w:szCs w:val="16"/>
                      </w:rPr>
                      <w:t>32.5</w:t>
                    </w:r>
                  </w:p>
                </w:txbxContent>
              </v:textbox>
            </v:rect>
            <v:rect id="_x0000_s1142" style="position:absolute;left:7775;top:1284;width:312;height:184;mso-wrap-style:none" filled="f" stroked="f">
              <v:textbox style="mso-next-textbox:#_x0000_s1142;mso-fit-shape-to-text:t" inset="0,0,0,0">
                <w:txbxContent>
                  <w:p w:rsidR="00D345DF" w:rsidRDefault="00D345DF">
                    <w:r>
                      <w:rPr>
                        <w:rFonts w:cs="Arial"/>
                        <w:b/>
                        <w:bCs/>
                        <w:color w:val="000080"/>
                        <w:sz w:val="16"/>
                        <w:szCs w:val="16"/>
                      </w:rPr>
                      <w:t>33.1</w:t>
                    </w:r>
                  </w:p>
                </w:txbxContent>
              </v:textbox>
            </v:rect>
            <v:rect id="_x0000_s1143" style="position:absolute;left:313;top:2918;width:89;height:184;mso-wrap-style:none" filled="f" stroked="f">
              <v:textbox style="mso-next-textbox:#_x0000_s1143;mso-fit-shape-to-text:t" inset="0,0,0,0">
                <w:txbxContent>
                  <w:p w:rsidR="00D345DF" w:rsidRDefault="00D345DF">
                    <w:r>
                      <w:rPr>
                        <w:rFonts w:cs="Arial"/>
                        <w:color w:val="000000"/>
                        <w:sz w:val="16"/>
                        <w:szCs w:val="16"/>
                      </w:rPr>
                      <w:t>0</w:t>
                    </w:r>
                  </w:p>
                </w:txbxContent>
              </v:textbox>
            </v:rect>
            <v:rect id="_x0000_s1144" style="position:absolute;left:231;top:2429;width:178;height:184;mso-wrap-style:none" filled="f" stroked="f">
              <v:textbox style="mso-next-textbox:#_x0000_s1144;mso-fit-shape-to-text:t" inset="0,0,0,0">
                <w:txbxContent>
                  <w:p w:rsidR="00D345DF" w:rsidRDefault="00D345DF">
                    <w:r>
                      <w:rPr>
                        <w:rFonts w:cs="Arial"/>
                        <w:color w:val="000000"/>
                        <w:sz w:val="16"/>
                        <w:szCs w:val="16"/>
                      </w:rPr>
                      <w:t>10</w:t>
                    </w:r>
                  </w:p>
                </w:txbxContent>
              </v:textbox>
            </v:rect>
            <v:rect id="_x0000_s1145" style="position:absolute;left:231;top:1941;width:178;height:184;mso-wrap-style:none" filled="f" stroked="f">
              <v:textbox style="mso-next-textbox:#_x0000_s1145;mso-fit-shape-to-text:t" inset="0,0,0,0">
                <w:txbxContent>
                  <w:p w:rsidR="00D345DF" w:rsidRDefault="00D345DF">
                    <w:r>
                      <w:rPr>
                        <w:rFonts w:cs="Arial"/>
                        <w:color w:val="000000"/>
                        <w:sz w:val="16"/>
                        <w:szCs w:val="16"/>
                      </w:rPr>
                      <w:t>20</w:t>
                    </w:r>
                  </w:p>
                </w:txbxContent>
              </v:textbox>
            </v:rect>
            <v:rect id="_x0000_s1146" style="position:absolute;left:231;top:1438;width:178;height:184;mso-wrap-style:none" filled="f" stroked="f">
              <v:textbox style="mso-next-textbox:#_x0000_s1146;mso-fit-shape-to-text:t" inset="0,0,0,0">
                <w:txbxContent>
                  <w:p w:rsidR="00D345DF" w:rsidRDefault="00D345DF">
                    <w:r>
                      <w:rPr>
                        <w:rFonts w:cs="Arial"/>
                        <w:color w:val="000000"/>
                        <w:sz w:val="16"/>
                        <w:szCs w:val="16"/>
                      </w:rPr>
                      <w:t>30</w:t>
                    </w:r>
                  </w:p>
                </w:txbxContent>
              </v:textbox>
            </v:rect>
            <v:rect id="_x0000_s1147" style="position:absolute;left:231;top:949;width:178;height:184;mso-wrap-style:none" filled="f" stroked="f">
              <v:textbox style="mso-next-textbox:#_x0000_s1147;mso-fit-shape-to-text:t" inset="0,0,0,0">
                <w:txbxContent>
                  <w:p w:rsidR="00D345DF" w:rsidRDefault="00D345DF">
                    <w:r>
                      <w:rPr>
                        <w:rFonts w:cs="Arial"/>
                        <w:color w:val="000000"/>
                        <w:sz w:val="16"/>
                        <w:szCs w:val="16"/>
                      </w:rPr>
                      <w:t>40</w:t>
                    </w:r>
                  </w:p>
                </w:txbxContent>
              </v:textbox>
            </v:rect>
            <v:rect id="_x0000_s1148" style="position:absolute;left:231;top:461;width:178;height:184;mso-wrap-style:none" filled="f" stroked="f">
              <v:textbox style="mso-next-textbox:#_x0000_s1148;mso-fit-shape-to-text:t" inset="0,0,0,0">
                <w:txbxContent>
                  <w:p w:rsidR="00D345DF" w:rsidRDefault="00D345DF">
                    <w:r>
                      <w:rPr>
                        <w:rFonts w:cs="Arial"/>
                        <w:color w:val="000000"/>
                        <w:sz w:val="16"/>
                        <w:szCs w:val="16"/>
                      </w:rPr>
                      <w:t>50</w:t>
                    </w:r>
                  </w:p>
                </w:txbxContent>
              </v:textbox>
            </v:rect>
            <v:rect id="_x0000_s1149" style="position:absolute;left:625;top:3141;width:978;height:184;mso-wrap-style:none" filled="f" stroked="f">
              <v:textbox style="mso-next-textbox:#_x0000_s1149;mso-fit-shape-to-text:t" inset="0,0,0,0">
                <w:txbxContent>
                  <w:p w:rsidR="00D345DF" w:rsidRDefault="00D345DF">
                    <w:r>
                      <w:rPr>
                        <w:rFonts w:cs="Arial"/>
                        <w:color w:val="000000"/>
                        <w:sz w:val="16"/>
                        <w:szCs w:val="16"/>
                      </w:rPr>
                      <w:t>AMRO/PAHO</w:t>
                    </w:r>
                  </w:p>
                </w:txbxContent>
              </v:textbox>
            </v:rect>
            <v:rect id="_x0000_s1150" style="position:absolute;left:1903;top:3141;width:561;height:184;mso-wrap-style:none" filled="f" stroked="f">
              <v:textbox style="mso-next-textbox:#_x0000_s1150;mso-fit-shape-to-text:t" inset="0,0,0,0">
                <w:txbxContent>
                  <w:p w:rsidR="00D345DF" w:rsidRDefault="00D345DF">
                    <w:r>
                      <w:rPr>
                        <w:rFonts w:cs="Arial"/>
                        <w:color w:val="000000"/>
                        <w:sz w:val="16"/>
                        <w:szCs w:val="16"/>
                      </w:rPr>
                      <w:t>SEARO</w:t>
                    </w:r>
                  </w:p>
                </w:txbxContent>
              </v:textbox>
            </v:rect>
            <v:rect id="_x0000_s1151" style="position:absolute;left:3058;top:3141;width:445;height:184;mso-wrap-style:none" filled="f" stroked="f">
              <v:textbox style="mso-next-textbox:#_x0000_s1151;mso-fit-shape-to-text:t" inset="0,0,0,0">
                <w:txbxContent>
                  <w:p w:rsidR="00D345DF" w:rsidRDefault="00D345DF">
                    <w:r>
                      <w:rPr>
                        <w:rFonts w:cs="Arial"/>
                        <w:color w:val="000000"/>
                        <w:sz w:val="16"/>
                        <w:szCs w:val="16"/>
                      </w:rPr>
                      <w:t>AFRO</w:t>
                    </w:r>
                  </w:p>
                </w:txbxContent>
              </v:textbox>
            </v:rect>
            <v:rect id="_x0000_s1152" style="position:absolute;left:4146;top:3141;width:498;height:184;mso-wrap-style:none" filled="f" stroked="f">
              <v:textbox style="mso-next-textbox:#_x0000_s1152;mso-fit-shape-to-text:t" inset="0,0,0,0">
                <w:txbxContent>
                  <w:p w:rsidR="00D345DF" w:rsidRDefault="00D345DF">
                    <w:r>
                      <w:rPr>
                        <w:rFonts w:cs="Arial"/>
                        <w:color w:val="000000"/>
                        <w:sz w:val="16"/>
                        <w:szCs w:val="16"/>
                      </w:rPr>
                      <w:t>WPRO</w:t>
                    </w:r>
                  </w:p>
                </w:txbxContent>
              </v:textbox>
            </v:rect>
            <v:rect id="_x0000_s1153" style="position:absolute;left:5260;top:3141;width:481;height:184;mso-wrap-style:none" filled="f" stroked="f">
              <v:textbox style="mso-next-textbox:#_x0000_s1153;mso-fit-shape-to-text:t" inset="0,0,0,0">
                <w:txbxContent>
                  <w:p w:rsidR="00D345DF" w:rsidRDefault="00D345DF">
                    <w:r>
                      <w:rPr>
                        <w:rFonts w:cs="Arial"/>
                        <w:color w:val="000000"/>
                        <w:sz w:val="16"/>
                        <w:szCs w:val="16"/>
                      </w:rPr>
                      <w:t>EMRO</w:t>
                    </w:r>
                  </w:p>
                </w:txbxContent>
              </v:textbox>
            </v:rect>
            <v:rect id="_x0000_s1154" style="position:absolute;left:6266;top:3141;width:676;height:184;mso-wrap-style:none" filled="f" stroked="f">
              <v:textbox style="mso-next-textbox:#_x0000_s1154;mso-fit-shape-to-text:t" inset="0,0,0,0">
                <w:txbxContent>
                  <w:p w:rsidR="00D345DF" w:rsidRDefault="00D345DF">
                    <w:r>
                      <w:rPr>
                        <w:rFonts w:cs="Arial"/>
                        <w:color w:val="000000"/>
                        <w:sz w:val="16"/>
                        <w:szCs w:val="16"/>
                      </w:rPr>
                      <w:t>WHO/HQ</w:t>
                    </w:r>
                  </w:p>
                </w:txbxContent>
              </v:textbox>
            </v:rect>
            <v:rect id="_x0000_s1155" style="position:absolute;left:7462;top:3141;width:463;height:184;mso-wrap-style:none" filled="f" stroked="f">
              <v:textbox style="mso-next-textbox:#_x0000_s1155;mso-fit-shape-to-text:t" inset="0,0,0,0">
                <w:txbxContent>
                  <w:p w:rsidR="00D345DF" w:rsidRDefault="00D345DF">
                    <w:r>
                      <w:rPr>
                        <w:rFonts w:cs="Arial"/>
                        <w:color w:val="000000"/>
                        <w:sz w:val="16"/>
                        <w:szCs w:val="16"/>
                      </w:rPr>
                      <w:t>EURO</w:t>
                    </w:r>
                  </w:p>
                </w:txbxContent>
              </v:textbox>
            </v:rect>
            <v:rect id="_x0000_s1156" style="position:absolute;left:3153;top:3546;width:2365;height:293" strokeweight="0"/>
            <v:rect id="_x0000_s1157" style="position:absolute;left:3208;top:3644;width:353;height:84" fillcolor="#ffc" strokeweight="39e-5mm"/>
            <v:rect id="_x0000_s1158" style="position:absolute;left:3615;top:3588;width:416;height:184;mso-wrap-style:none" filled="f" stroked="f">
              <v:textbox style="mso-next-textbox:#_x0000_s1158;mso-fit-shape-to-text:t" inset="0,0,0,0">
                <w:txbxContent>
                  <w:p w:rsidR="00D345DF" w:rsidRPr="009A27D9" w:rsidRDefault="00D345DF">
                    <w:pPr>
                      <w:rPr>
                        <w:rFonts w:ascii="Arial Narrow" w:hAnsi="Arial Narrow"/>
                      </w:rPr>
                    </w:pPr>
                    <w:r w:rsidRPr="009A27D9">
                      <w:rPr>
                        <w:rFonts w:ascii="Arial Narrow" w:hAnsi="Arial Narrow" w:cs="Arial"/>
                        <w:color w:val="000000"/>
                        <w:sz w:val="16"/>
                        <w:szCs w:val="16"/>
                      </w:rPr>
                      <w:t>Region</w:t>
                    </w:r>
                  </w:p>
                </w:txbxContent>
              </v:textbox>
            </v:rect>
            <v:line id="_x0000_s1159" style="position:absolute" from="4132,3672" to="4499,3673" strokecolor="navy" strokeweight=".0011mm"/>
            <v:rect id="_x0000_s1160" style="position:absolute;left:4540;top:3588;width:1351;height:184" filled="f" stroked="f">
              <v:textbox style="mso-next-textbox:#_x0000_s1160;mso-fit-shape-to-text:t" inset="0,0,0,0">
                <w:txbxContent>
                  <w:p w:rsidR="00D345DF" w:rsidRPr="009A27D9" w:rsidRDefault="00D345DF">
                    <w:pPr>
                      <w:rPr>
                        <w:rFonts w:ascii="Arial Narrow" w:hAnsi="Arial Narrow"/>
                      </w:rPr>
                    </w:pPr>
                    <w:r w:rsidRPr="009A27D9">
                      <w:rPr>
                        <w:rFonts w:ascii="Arial Narrow" w:hAnsi="Arial Narrow" w:cs="Arial"/>
                        <w:color w:val="000000"/>
                        <w:sz w:val="16"/>
                        <w:szCs w:val="16"/>
                      </w:rPr>
                      <w:t>All WHO Staff</w:t>
                    </w:r>
                  </w:p>
                </w:txbxContent>
              </v:textbox>
            </v:rect>
            <w10:wrap type="none"/>
            <w10:anchorlock/>
          </v:group>
        </w:pict>
      </w:r>
    </w:p>
    <w:p w:rsidR="009571FA" w:rsidRPr="004B49FA" w:rsidRDefault="009571FA" w:rsidP="00415105">
      <w:pPr>
        <w:shd w:val="clear" w:color="auto" w:fill="FFFFFF"/>
        <w:jc w:val="both"/>
        <w:rPr>
          <w:b/>
          <w:bCs/>
          <w:sz w:val="4"/>
        </w:rPr>
      </w:pPr>
    </w:p>
    <w:p w:rsidR="009571FA" w:rsidRDefault="009571FA" w:rsidP="00014713">
      <w:pPr>
        <w:shd w:val="clear" w:color="auto" w:fill="FFFFFF"/>
        <w:jc w:val="both"/>
        <w:rPr>
          <w:b/>
          <w:bCs/>
          <w:sz w:val="24"/>
        </w:rPr>
      </w:pPr>
      <w:r>
        <w:rPr>
          <w:b/>
          <w:bCs/>
          <w:sz w:val="24"/>
        </w:rPr>
        <w:t xml:space="preserve">3.  </w:t>
      </w:r>
      <w:r w:rsidRPr="00FD6F1A">
        <w:rPr>
          <w:b/>
          <w:bCs/>
          <w:sz w:val="24"/>
        </w:rPr>
        <w:t xml:space="preserve">Institutional support </w:t>
      </w:r>
      <w:r>
        <w:rPr>
          <w:b/>
          <w:bCs/>
          <w:sz w:val="24"/>
        </w:rPr>
        <w:t xml:space="preserve">given to gender mainstreaming </w:t>
      </w:r>
    </w:p>
    <w:p w:rsidR="009571FA" w:rsidRPr="00FD3A57" w:rsidRDefault="009571FA" w:rsidP="00415105">
      <w:pPr>
        <w:shd w:val="clear" w:color="auto" w:fill="FFFFFF"/>
        <w:jc w:val="both"/>
        <w:rPr>
          <w:b/>
          <w:bCs/>
          <w:sz w:val="12"/>
        </w:rPr>
      </w:pPr>
    </w:p>
    <w:p w:rsidR="009571FA" w:rsidRDefault="009571FA" w:rsidP="00415105">
      <w:pPr>
        <w:jc w:val="both"/>
        <w:rPr>
          <w:color w:val="000000"/>
          <w:sz w:val="22"/>
        </w:rPr>
      </w:pPr>
      <w:r w:rsidRPr="00FD6F1A">
        <w:rPr>
          <w:sz w:val="22"/>
        </w:rPr>
        <w:t xml:space="preserve">The responses to the E survey questions regarding </w:t>
      </w:r>
      <w:r w:rsidR="003E791B">
        <w:rPr>
          <w:sz w:val="22"/>
        </w:rPr>
        <w:t>having received</w:t>
      </w:r>
      <w:r w:rsidR="003E791B" w:rsidRPr="00FD6F1A">
        <w:rPr>
          <w:sz w:val="22"/>
        </w:rPr>
        <w:t xml:space="preserve"> </w:t>
      </w:r>
      <w:r w:rsidRPr="00FD6F1A">
        <w:rPr>
          <w:sz w:val="22"/>
        </w:rPr>
        <w:t xml:space="preserve">institutional support to </w:t>
      </w:r>
      <w:r>
        <w:rPr>
          <w:sz w:val="22"/>
        </w:rPr>
        <w:t xml:space="preserve">undertake </w:t>
      </w:r>
      <w:r w:rsidRPr="00FD6F1A">
        <w:rPr>
          <w:sz w:val="22"/>
        </w:rPr>
        <w:t xml:space="preserve">gender mainstreaming were scored </w:t>
      </w:r>
      <w:r>
        <w:rPr>
          <w:sz w:val="22"/>
        </w:rPr>
        <w:t>in terms of t</w:t>
      </w:r>
      <w:r w:rsidRPr="00FD6F1A">
        <w:rPr>
          <w:sz w:val="22"/>
        </w:rPr>
        <w:t>hree categories: None, some</w:t>
      </w:r>
      <w:r>
        <w:rPr>
          <w:sz w:val="22"/>
        </w:rPr>
        <w:t>,</w:t>
      </w:r>
      <w:r w:rsidRPr="00FD6F1A">
        <w:rPr>
          <w:sz w:val="22"/>
        </w:rPr>
        <w:t xml:space="preserve"> and strong institutional support. </w:t>
      </w:r>
      <w:r>
        <w:rPr>
          <w:color w:val="000000"/>
          <w:sz w:val="22"/>
        </w:rPr>
        <w:t xml:space="preserve">The proportion of PAHO staff members reporting </w:t>
      </w:r>
      <w:r w:rsidRPr="00FD6F1A">
        <w:rPr>
          <w:b/>
          <w:bCs/>
          <w:color w:val="000000"/>
          <w:sz w:val="22"/>
        </w:rPr>
        <w:t>“at least some institutional support”</w:t>
      </w:r>
      <w:r w:rsidR="00E06B4C" w:rsidRPr="00E06B4C">
        <w:rPr>
          <w:rStyle w:val="FootnoteReference"/>
          <w:color w:val="000000"/>
          <w:sz w:val="22"/>
        </w:rPr>
        <w:t xml:space="preserve"> </w:t>
      </w:r>
      <w:r w:rsidR="00E06B4C" w:rsidRPr="00FD6F1A">
        <w:rPr>
          <w:rStyle w:val="FootnoteReference"/>
          <w:color w:val="000000"/>
          <w:sz w:val="22"/>
        </w:rPr>
        <w:footnoteReference w:id="8"/>
      </w:r>
      <w:r w:rsidRPr="00FD6F1A">
        <w:rPr>
          <w:b/>
          <w:bCs/>
          <w:color w:val="000000"/>
          <w:sz w:val="22"/>
        </w:rPr>
        <w:t xml:space="preserve"> </w:t>
      </w:r>
      <w:r>
        <w:rPr>
          <w:color w:val="000000"/>
          <w:sz w:val="22"/>
        </w:rPr>
        <w:t xml:space="preserve">for gender mainstreaming was </w:t>
      </w:r>
      <w:r w:rsidRPr="00A447EE">
        <w:rPr>
          <w:b/>
          <w:color w:val="000000"/>
          <w:sz w:val="22"/>
        </w:rPr>
        <w:t>43%</w:t>
      </w:r>
      <w:r>
        <w:rPr>
          <w:b/>
          <w:color w:val="000000"/>
          <w:sz w:val="22"/>
        </w:rPr>
        <w:t xml:space="preserve">. </w:t>
      </w:r>
      <w:r w:rsidRPr="00FD3A57">
        <w:rPr>
          <w:color w:val="000000"/>
          <w:sz w:val="22"/>
        </w:rPr>
        <w:t>The corresponding p</w:t>
      </w:r>
      <w:r>
        <w:rPr>
          <w:color w:val="000000"/>
          <w:sz w:val="22"/>
        </w:rPr>
        <w:t>ercentage</w:t>
      </w:r>
      <w:r w:rsidRPr="00FD3A57">
        <w:rPr>
          <w:color w:val="000000"/>
          <w:sz w:val="22"/>
        </w:rPr>
        <w:t xml:space="preserve"> for</w:t>
      </w:r>
      <w:r>
        <w:rPr>
          <w:b/>
          <w:color w:val="000000"/>
          <w:sz w:val="22"/>
        </w:rPr>
        <w:t xml:space="preserve"> </w:t>
      </w:r>
      <w:r w:rsidRPr="00FD3A57">
        <w:rPr>
          <w:color w:val="000000"/>
          <w:sz w:val="22"/>
        </w:rPr>
        <w:t xml:space="preserve">“good” support was </w:t>
      </w:r>
      <w:r w:rsidRPr="00FD3A57">
        <w:rPr>
          <w:b/>
          <w:color w:val="000000"/>
          <w:sz w:val="22"/>
        </w:rPr>
        <w:t>15.4</w:t>
      </w:r>
      <w:r>
        <w:rPr>
          <w:color w:val="000000"/>
          <w:sz w:val="22"/>
        </w:rPr>
        <w:t>.</w:t>
      </w:r>
    </w:p>
    <w:p w:rsidR="009571FA" w:rsidRDefault="009571FA" w:rsidP="00415105">
      <w:pPr>
        <w:jc w:val="both"/>
        <w:rPr>
          <w:b/>
          <w:color w:val="000000"/>
          <w:sz w:val="22"/>
        </w:rPr>
      </w:pPr>
    </w:p>
    <w:p w:rsidR="009571FA" w:rsidRDefault="003E791B" w:rsidP="00D86FED">
      <w:pPr>
        <w:ind w:left="720"/>
        <w:rPr>
          <w:color w:val="000000"/>
          <w:sz w:val="22"/>
        </w:rPr>
      </w:pPr>
      <w:r>
        <w:rPr>
          <w:b/>
          <w:color w:val="000000"/>
          <w:sz w:val="22"/>
        </w:rPr>
        <w:t>T</w:t>
      </w:r>
      <w:r w:rsidR="009571FA">
        <w:rPr>
          <w:b/>
          <w:color w:val="000000"/>
          <w:sz w:val="22"/>
        </w:rPr>
        <w:t>able 6</w:t>
      </w:r>
      <w:r w:rsidR="009571FA" w:rsidRPr="00D86FED">
        <w:rPr>
          <w:b/>
          <w:color w:val="000000"/>
          <w:sz w:val="22"/>
        </w:rPr>
        <w:t>.</w:t>
      </w:r>
      <w:r w:rsidR="009571FA">
        <w:rPr>
          <w:color w:val="000000"/>
          <w:sz w:val="22"/>
        </w:rPr>
        <w:t xml:space="preserve">  Percent distribution of PAHO staff members according to reported level of institutional support for gender mainstreaming, by sex and occupational grade. 2008</w:t>
      </w:r>
    </w:p>
    <w:p w:rsidR="009571FA" w:rsidRDefault="009571FA" w:rsidP="00470888">
      <w:pPr>
        <w:rPr>
          <w:b/>
          <w:sz w:val="18"/>
        </w:rPr>
      </w:pPr>
    </w:p>
    <w:tbl>
      <w:tblPr>
        <w:tblW w:w="0" w:type="auto"/>
        <w:jc w:val="center"/>
        <w:tblInd w:w="-248" w:type="dxa"/>
        <w:tblLook w:val="00BF"/>
      </w:tblPr>
      <w:tblGrid>
        <w:gridCol w:w="2233"/>
        <w:gridCol w:w="567"/>
        <w:gridCol w:w="603"/>
        <w:gridCol w:w="810"/>
        <w:gridCol w:w="805"/>
        <w:gridCol w:w="905"/>
        <w:gridCol w:w="669"/>
        <w:gridCol w:w="1114"/>
      </w:tblGrid>
      <w:tr w:rsidR="009571FA" w:rsidRPr="00D54FB0" w:rsidTr="00D54FB0">
        <w:trPr>
          <w:trHeight w:val="340"/>
          <w:jc w:val="center"/>
        </w:trPr>
        <w:tc>
          <w:tcPr>
            <w:tcW w:w="2233" w:type="dxa"/>
            <w:vMerge w:val="restart"/>
            <w:tcBorders>
              <w:top w:val="single" w:sz="4" w:space="0" w:color="auto"/>
              <w:left w:val="single" w:sz="4" w:space="0" w:color="auto"/>
              <w:bottom w:val="single" w:sz="4" w:space="0" w:color="auto"/>
              <w:right w:val="single" w:sz="4" w:space="0" w:color="auto"/>
            </w:tcBorders>
            <w:shd w:val="clear" w:color="auto" w:fill="C6D9F1"/>
            <w:tcMar>
              <w:top w:w="0" w:type="dxa"/>
              <w:left w:w="28" w:type="dxa"/>
              <w:bottom w:w="0" w:type="dxa"/>
              <w:right w:w="28" w:type="dxa"/>
            </w:tcMar>
            <w:vAlign w:val="center"/>
          </w:tcPr>
          <w:p w:rsidR="009571FA" w:rsidRPr="00E84EFE" w:rsidRDefault="009571FA" w:rsidP="00A90031">
            <w:pPr>
              <w:tabs>
                <w:tab w:val="left" w:pos="253"/>
              </w:tabs>
              <w:rPr>
                <w:rFonts w:ascii="Calibri" w:hAnsi="Calibri"/>
                <w:b/>
                <w:sz w:val="22"/>
              </w:rPr>
            </w:pPr>
            <w:r w:rsidRPr="00E84EFE">
              <w:rPr>
                <w:rFonts w:ascii="Calibri" w:hAnsi="Calibri"/>
                <w:b/>
                <w:sz w:val="22"/>
                <w:szCs w:val="22"/>
              </w:rPr>
              <w:t xml:space="preserve"> Staff categories</w:t>
            </w:r>
          </w:p>
          <w:p w:rsidR="009571FA" w:rsidRPr="00E84EFE" w:rsidRDefault="009571FA">
            <w:pPr>
              <w:tabs>
                <w:tab w:val="left" w:pos="253"/>
              </w:tabs>
              <w:rPr>
                <w:rFonts w:ascii="Calibri" w:hAnsi="Calibri"/>
                <w:b/>
                <w:sz w:val="22"/>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9571FA" w:rsidRPr="00E84EFE" w:rsidRDefault="009571FA">
            <w:pPr>
              <w:tabs>
                <w:tab w:val="left" w:pos="253"/>
              </w:tabs>
              <w:jc w:val="center"/>
              <w:rPr>
                <w:rFonts w:ascii="Calibri" w:hAnsi="Calibri"/>
                <w:b/>
                <w:sz w:val="22"/>
                <w:lang w:val="es-ES_tradnl"/>
              </w:rPr>
            </w:pPr>
            <w:r w:rsidRPr="00E84EFE">
              <w:rPr>
                <w:rFonts w:ascii="Calibri" w:hAnsi="Calibri"/>
                <w:b/>
                <w:sz w:val="22"/>
                <w:szCs w:val="22"/>
                <w:lang w:val="es-ES_tradnl"/>
              </w:rPr>
              <w:t>N</w:t>
            </w:r>
          </w:p>
        </w:tc>
        <w:tc>
          <w:tcPr>
            <w:tcW w:w="1413" w:type="dxa"/>
            <w:gridSpan w:val="2"/>
            <w:tcBorders>
              <w:top w:val="single" w:sz="4" w:space="0" w:color="auto"/>
              <w:left w:val="single" w:sz="4" w:space="0" w:color="auto"/>
              <w:bottom w:val="single" w:sz="4" w:space="0" w:color="auto"/>
              <w:right w:val="single" w:sz="4" w:space="0" w:color="auto"/>
            </w:tcBorders>
            <w:shd w:val="clear" w:color="auto" w:fill="C6D9F1"/>
            <w:vAlign w:val="center"/>
          </w:tcPr>
          <w:p w:rsidR="009571FA" w:rsidRPr="00E84EFE" w:rsidRDefault="009571FA">
            <w:pPr>
              <w:jc w:val="center"/>
              <w:rPr>
                <w:rFonts w:ascii="Calibri" w:hAnsi="Calibri"/>
                <w:b/>
                <w:sz w:val="22"/>
                <w:lang w:val="es-ES_tradnl"/>
              </w:rPr>
            </w:pPr>
            <w:r w:rsidRPr="00E84EFE">
              <w:rPr>
                <w:rFonts w:ascii="Calibri" w:hAnsi="Calibri"/>
                <w:b/>
                <w:sz w:val="22"/>
                <w:szCs w:val="22"/>
                <w:lang w:val="es-ES_tradnl"/>
              </w:rPr>
              <w:t>No Support</w:t>
            </w:r>
          </w:p>
        </w:tc>
        <w:tc>
          <w:tcPr>
            <w:tcW w:w="1710" w:type="dxa"/>
            <w:gridSpan w:val="2"/>
            <w:tcBorders>
              <w:top w:val="single" w:sz="4" w:space="0" w:color="auto"/>
              <w:left w:val="single" w:sz="4" w:space="0" w:color="auto"/>
              <w:bottom w:val="single" w:sz="4" w:space="0" w:color="auto"/>
              <w:right w:val="single" w:sz="4" w:space="0" w:color="auto"/>
            </w:tcBorders>
            <w:shd w:val="clear" w:color="auto" w:fill="C6D9F1"/>
            <w:vAlign w:val="center"/>
          </w:tcPr>
          <w:p w:rsidR="009571FA" w:rsidRPr="00E84EFE" w:rsidRDefault="009571FA">
            <w:pPr>
              <w:jc w:val="center"/>
              <w:rPr>
                <w:rFonts w:ascii="Calibri" w:hAnsi="Calibri"/>
                <w:b/>
                <w:sz w:val="22"/>
                <w:lang w:val="es-ES_tradnl"/>
              </w:rPr>
            </w:pPr>
            <w:r w:rsidRPr="00E84EFE">
              <w:rPr>
                <w:rFonts w:ascii="Calibri" w:hAnsi="Calibri"/>
                <w:b/>
                <w:sz w:val="22"/>
                <w:szCs w:val="22"/>
                <w:lang w:val="es-ES_tradnl"/>
              </w:rPr>
              <w:t>Some Support</w:t>
            </w:r>
          </w:p>
        </w:tc>
        <w:tc>
          <w:tcPr>
            <w:tcW w:w="1783" w:type="dxa"/>
            <w:gridSpan w:val="2"/>
            <w:tcBorders>
              <w:top w:val="single" w:sz="4" w:space="0" w:color="auto"/>
              <w:left w:val="single" w:sz="4" w:space="0" w:color="auto"/>
              <w:bottom w:val="single" w:sz="4" w:space="0" w:color="auto"/>
              <w:right w:val="single" w:sz="4" w:space="0" w:color="auto"/>
            </w:tcBorders>
            <w:shd w:val="clear" w:color="auto" w:fill="C6D9F1"/>
            <w:vAlign w:val="center"/>
          </w:tcPr>
          <w:p w:rsidR="009571FA" w:rsidRPr="00E84EFE" w:rsidRDefault="009571FA">
            <w:pPr>
              <w:jc w:val="center"/>
              <w:rPr>
                <w:rFonts w:ascii="Calibri" w:hAnsi="Calibri"/>
                <w:b/>
                <w:sz w:val="22"/>
                <w:lang w:val="es-ES_tradnl"/>
              </w:rPr>
            </w:pPr>
            <w:r w:rsidRPr="00E84EFE">
              <w:rPr>
                <w:rFonts w:ascii="Calibri" w:hAnsi="Calibri"/>
                <w:b/>
                <w:sz w:val="22"/>
                <w:szCs w:val="22"/>
                <w:lang w:val="es-ES_tradnl"/>
              </w:rPr>
              <w:t>Good Support</w:t>
            </w:r>
          </w:p>
        </w:tc>
      </w:tr>
      <w:tr w:rsidR="009571FA" w:rsidRPr="00D54FB0" w:rsidTr="00D54FB0">
        <w:trPr>
          <w:trHeight w:val="340"/>
          <w:jc w:val="center"/>
        </w:trPr>
        <w:tc>
          <w:tcPr>
            <w:tcW w:w="2233" w:type="dxa"/>
            <w:vMerge/>
            <w:tcBorders>
              <w:top w:val="single" w:sz="4" w:space="0" w:color="auto"/>
              <w:left w:val="single" w:sz="4" w:space="0" w:color="auto"/>
              <w:bottom w:val="single" w:sz="4" w:space="0" w:color="auto"/>
              <w:right w:val="single" w:sz="4" w:space="0" w:color="auto"/>
            </w:tcBorders>
            <w:shd w:val="clear" w:color="auto" w:fill="C6D9F1"/>
            <w:vAlign w:val="center"/>
          </w:tcPr>
          <w:p w:rsidR="009571FA" w:rsidRPr="00E84EFE" w:rsidRDefault="009571FA">
            <w:pPr>
              <w:rPr>
                <w:rFonts w:ascii="Calibri" w:hAnsi="Calibri"/>
                <w:b/>
                <w:sz w:val="22"/>
              </w:rPr>
            </w:pPr>
          </w:p>
        </w:tc>
        <w:tc>
          <w:tcPr>
            <w:tcW w:w="0" w:type="auto"/>
            <w:vMerge/>
            <w:tcBorders>
              <w:top w:val="single" w:sz="4" w:space="0" w:color="auto"/>
              <w:left w:val="single" w:sz="4" w:space="0" w:color="auto"/>
              <w:bottom w:val="single" w:sz="4" w:space="0" w:color="auto"/>
              <w:right w:val="single" w:sz="4" w:space="0" w:color="auto"/>
            </w:tcBorders>
            <w:shd w:val="clear" w:color="auto" w:fill="C6D9F1"/>
            <w:vAlign w:val="center"/>
          </w:tcPr>
          <w:p w:rsidR="009571FA" w:rsidRPr="00E84EFE" w:rsidRDefault="009571FA">
            <w:pPr>
              <w:rPr>
                <w:rFonts w:ascii="Calibri" w:hAnsi="Calibri"/>
                <w:b/>
                <w:sz w:val="22"/>
                <w:lang w:val="es-ES_tradnl"/>
              </w:rPr>
            </w:pPr>
          </w:p>
        </w:tc>
        <w:tc>
          <w:tcPr>
            <w:tcW w:w="603" w:type="dxa"/>
            <w:tcBorders>
              <w:top w:val="single" w:sz="4" w:space="0" w:color="auto"/>
              <w:left w:val="single" w:sz="4" w:space="0" w:color="auto"/>
              <w:bottom w:val="single" w:sz="4" w:space="0" w:color="auto"/>
              <w:right w:val="nil"/>
            </w:tcBorders>
            <w:shd w:val="clear" w:color="auto" w:fill="C6D9F1"/>
            <w:vAlign w:val="center"/>
          </w:tcPr>
          <w:p w:rsidR="009571FA" w:rsidRPr="00E84EFE" w:rsidRDefault="009571FA">
            <w:pPr>
              <w:jc w:val="center"/>
              <w:rPr>
                <w:rFonts w:ascii="Calibri" w:hAnsi="Calibri"/>
                <w:b/>
                <w:sz w:val="22"/>
                <w:lang w:val="es-ES_tradnl"/>
              </w:rPr>
            </w:pPr>
            <w:r w:rsidRPr="00E84EFE">
              <w:rPr>
                <w:rFonts w:ascii="Calibri" w:hAnsi="Calibri"/>
                <w:b/>
                <w:sz w:val="22"/>
                <w:szCs w:val="22"/>
                <w:lang w:val="es-ES_tradnl"/>
              </w:rPr>
              <w:t>n</w:t>
            </w:r>
          </w:p>
        </w:tc>
        <w:tc>
          <w:tcPr>
            <w:tcW w:w="810" w:type="dxa"/>
            <w:tcBorders>
              <w:top w:val="single" w:sz="4" w:space="0" w:color="auto"/>
              <w:left w:val="nil"/>
              <w:bottom w:val="single" w:sz="4" w:space="0" w:color="auto"/>
              <w:right w:val="single" w:sz="4" w:space="0" w:color="auto"/>
            </w:tcBorders>
            <w:shd w:val="clear" w:color="auto" w:fill="C6D9F1"/>
            <w:vAlign w:val="center"/>
          </w:tcPr>
          <w:p w:rsidR="009571FA" w:rsidRPr="00E84EFE" w:rsidRDefault="009571FA">
            <w:pPr>
              <w:jc w:val="center"/>
              <w:rPr>
                <w:rFonts w:ascii="Calibri" w:hAnsi="Calibri"/>
                <w:b/>
                <w:sz w:val="22"/>
                <w:lang w:val="es-ES_tradnl"/>
              </w:rPr>
            </w:pPr>
            <w:r w:rsidRPr="00E84EFE">
              <w:rPr>
                <w:rFonts w:ascii="Calibri" w:hAnsi="Calibri"/>
                <w:b/>
                <w:sz w:val="22"/>
                <w:szCs w:val="22"/>
                <w:lang w:val="es-ES_tradnl"/>
              </w:rPr>
              <w:t>%</w:t>
            </w:r>
          </w:p>
        </w:tc>
        <w:tc>
          <w:tcPr>
            <w:tcW w:w="805" w:type="dxa"/>
            <w:tcBorders>
              <w:top w:val="single" w:sz="4" w:space="0" w:color="auto"/>
              <w:left w:val="single" w:sz="4" w:space="0" w:color="auto"/>
              <w:bottom w:val="single" w:sz="4" w:space="0" w:color="auto"/>
              <w:right w:val="nil"/>
            </w:tcBorders>
            <w:shd w:val="clear" w:color="auto" w:fill="C6D9F1"/>
            <w:vAlign w:val="center"/>
          </w:tcPr>
          <w:p w:rsidR="009571FA" w:rsidRPr="00E84EFE" w:rsidRDefault="009571FA">
            <w:pPr>
              <w:jc w:val="center"/>
              <w:rPr>
                <w:rFonts w:ascii="Calibri" w:hAnsi="Calibri"/>
                <w:b/>
                <w:sz w:val="22"/>
                <w:lang w:val="es-ES_tradnl"/>
              </w:rPr>
            </w:pPr>
            <w:r w:rsidRPr="00E84EFE">
              <w:rPr>
                <w:rFonts w:ascii="Calibri" w:hAnsi="Calibri"/>
                <w:b/>
                <w:sz w:val="22"/>
                <w:szCs w:val="22"/>
                <w:lang w:val="es-ES_tradnl"/>
              </w:rPr>
              <w:t>n</w:t>
            </w:r>
          </w:p>
        </w:tc>
        <w:tc>
          <w:tcPr>
            <w:tcW w:w="905" w:type="dxa"/>
            <w:tcBorders>
              <w:top w:val="single" w:sz="4" w:space="0" w:color="auto"/>
              <w:left w:val="nil"/>
              <w:bottom w:val="single" w:sz="4" w:space="0" w:color="auto"/>
              <w:right w:val="single" w:sz="4" w:space="0" w:color="auto"/>
            </w:tcBorders>
            <w:shd w:val="clear" w:color="auto" w:fill="C6D9F1"/>
            <w:vAlign w:val="center"/>
          </w:tcPr>
          <w:p w:rsidR="009571FA" w:rsidRPr="00E84EFE" w:rsidRDefault="009571FA">
            <w:pPr>
              <w:jc w:val="center"/>
              <w:rPr>
                <w:rFonts w:ascii="Calibri" w:hAnsi="Calibri"/>
                <w:b/>
                <w:sz w:val="22"/>
                <w:lang w:val="es-ES_tradnl"/>
              </w:rPr>
            </w:pPr>
            <w:r w:rsidRPr="00E84EFE">
              <w:rPr>
                <w:rFonts w:ascii="Calibri" w:hAnsi="Calibri"/>
                <w:b/>
                <w:sz w:val="22"/>
                <w:szCs w:val="22"/>
                <w:lang w:val="es-ES_tradnl"/>
              </w:rPr>
              <w:t>%</w:t>
            </w:r>
          </w:p>
        </w:tc>
        <w:tc>
          <w:tcPr>
            <w:tcW w:w="669" w:type="dxa"/>
            <w:tcBorders>
              <w:top w:val="single" w:sz="4" w:space="0" w:color="auto"/>
              <w:left w:val="single" w:sz="4" w:space="0" w:color="auto"/>
              <w:bottom w:val="single" w:sz="4" w:space="0" w:color="auto"/>
              <w:right w:val="nil"/>
            </w:tcBorders>
            <w:shd w:val="clear" w:color="auto" w:fill="C6D9F1"/>
            <w:vAlign w:val="center"/>
          </w:tcPr>
          <w:p w:rsidR="009571FA" w:rsidRPr="00E84EFE" w:rsidRDefault="009571FA">
            <w:pPr>
              <w:jc w:val="center"/>
              <w:rPr>
                <w:rFonts w:ascii="Calibri" w:hAnsi="Calibri"/>
                <w:b/>
                <w:sz w:val="22"/>
                <w:lang w:val="es-ES_tradnl"/>
              </w:rPr>
            </w:pPr>
            <w:r w:rsidRPr="00E84EFE">
              <w:rPr>
                <w:rFonts w:ascii="Calibri" w:hAnsi="Calibri"/>
                <w:b/>
                <w:sz w:val="22"/>
                <w:szCs w:val="22"/>
                <w:lang w:val="es-ES_tradnl"/>
              </w:rPr>
              <w:t>n</w:t>
            </w:r>
          </w:p>
        </w:tc>
        <w:tc>
          <w:tcPr>
            <w:tcW w:w="1114" w:type="dxa"/>
            <w:tcBorders>
              <w:top w:val="single" w:sz="4" w:space="0" w:color="auto"/>
              <w:left w:val="nil"/>
              <w:bottom w:val="single" w:sz="4" w:space="0" w:color="auto"/>
              <w:right w:val="single" w:sz="4" w:space="0" w:color="auto"/>
            </w:tcBorders>
            <w:shd w:val="clear" w:color="auto" w:fill="C6D9F1"/>
            <w:vAlign w:val="center"/>
          </w:tcPr>
          <w:p w:rsidR="009571FA" w:rsidRPr="00E84EFE" w:rsidRDefault="009571FA">
            <w:pPr>
              <w:jc w:val="center"/>
              <w:rPr>
                <w:rFonts w:ascii="Calibri" w:hAnsi="Calibri"/>
                <w:b/>
                <w:sz w:val="22"/>
                <w:lang w:val="es-ES_tradnl"/>
              </w:rPr>
            </w:pPr>
            <w:r w:rsidRPr="00E84EFE">
              <w:rPr>
                <w:rFonts w:ascii="Calibri" w:hAnsi="Calibri"/>
                <w:b/>
                <w:sz w:val="22"/>
                <w:szCs w:val="22"/>
                <w:lang w:val="es-ES_tradnl"/>
              </w:rPr>
              <w:t>%</w:t>
            </w:r>
          </w:p>
        </w:tc>
      </w:tr>
      <w:tr w:rsidR="009571FA" w:rsidTr="00D54FB0">
        <w:trPr>
          <w:trHeight w:val="312"/>
          <w:jc w:val="center"/>
        </w:trPr>
        <w:tc>
          <w:tcPr>
            <w:tcW w:w="2233"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9571FA" w:rsidRPr="00E84EFE" w:rsidRDefault="009571FA">
            <w:pPr>
              <w:tabs>
                <w:tab w:val="left" w:pos="253"/>
              </w:tabs>
              <w:rPr>
                <w:rFonts w:ascii="Calibri" w:hAnsi="Calibri"/>
                <w:b/>
                <w:sz w:val="22"/>
                <w:lang w:val="es-ES_tradnl"/>
              </w:rPr>
            </w:pPr>
            <w:r w:rsidRPr="00E84EFE">
              <w:rPr>
                <w:rFonts w:ascii="Calibri" w:hAnsi="Calibri"/>
                <w:b/>
                <w:sz w:val="22"/>
                <w:szCs w:val="22"/>
                <w:lang w:val="es-ES_tradnl"/>
              </w:rPr>
              <w:t>All AMRO/PAHO Staff</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9571FA" w:rsidRPr="00E84EFE" w:rsidRDefault="009571FA">
            <w:pPr>
              <w:tabs>
                <w:tab w:val="left" w:pos="253"/>
              </w:tabs>
              <w:jc w:val="center"/>
              <w:rPr>
                <w:rFonts w:ascii="Calibri" w:hAnsi="Calibri"/>
                <w:sz w:val="22"/>
                <w:lang w:val="es-ES_tradnl"/>
              </w:rPr>
            </w:pPr>
            <w:r w:rsidRPr="00E84EFE">
              <w:rPr>
                <w:rFonts w:ascii="Calibri" w:hAnsi="Calibri"/>
                <w:sz w:val="22"/>
                <w:szCs w:val="22"/>
                <w:lang w:val="es-ES_tradnl"/>
              </w:rPr>
              <w:t>389</w:t>
            </w:r>
          </w:p>
        </w:tc>
        <w:tc>
          <w:tcPr>
            <w:tcW w:w="603" w:type="dxa"/>
            <w:tcBorders>
              <w:top w:val="single" w:sz="4" w:space="0" w:color="auto"/>
              <w:left w:val="single" w:sz="4" w:space="0" w:color="auto"/>
              <w:bottom w:val="single" w:sz="4" w:space="0" w:color="auto"/>
              <w:right w:val="nil"/>
            </w:tcBorders>
            <w:shd w:val="clear" w:color="auto" w:fill="FFFFFF"/>
            <w:vAlign w:val="center"/>
          </w:tcPr>
          <w:p w:rsidR="009571FA" w:rsidRPr="00E84EFE" w:rsidRDefault="009571FA">
            <w:pPr>
              <w:jc w:val="center"/>
              <w:rPr>
                <w:rFonts w:ascii="Calibri" w:hAnsi="Calibri"/>
                <w:sz w:val="22"/>
                <w:lang w:val="es-ES_tradnl"/>
              </w:rPr>
            </w:pPr>
            <w:r w:rsidRPr="00E84EFE">
              <w:rPr>
                <w:rFonts w:ascii="Calibri" w:hAnsi="Calibri"/>
                <w:sz w:val="22"/>
                <w:szCs w:val="22"/>
                <w:lang w:val="es-ES_tradnl"/>
              </w:rPr>
              <w:t>222</w:t>
            </w:r>
          </w:p>
        </w:tc>
        <w:tc>
          <w:tcPr>
            <w:tcW w:w="810" w:type="dxa"/>
            <w:tcBorders>
              <w:top w:val="nil"/>
              <w:left w:val="nil"/>
              <w:bottom w:val="single" w:sz="4" w:space="0" w:color="auto"/>
              <w:right w:val="single" w:sz="4" w:space="0" w:color="auto"/>
            </w:tcBorders>
            <w:shd w:val="clear" w:color="auto" w:fill="FFFFFF"/>
            <w:vAlign w:val="center"/>
          </w:tcPr>
          <w:p w:rsidR="009571FA" w:rsidRPr="00E84EFE" w:rsidRDefault="009571FA">
            <w:pPr>
              <w:jc w:val="center"/>
              <w:rPr>
                <w:rFonts w:ascii="Calibri" w:hAnsi="Calibri"/>
                <w:sz w:val="22"/>
                <w:lang w:val="es-ES_tradnl"/>
              </w:rPr>
            </w:pPr>
            <w:r w:rsidRPr="00E84EFE">
              <w:rPr>
                <w:rFonts w:ascii="Calibri" w:hAnsi="Calibri"/>
                <w:sz w:val="22"/>
                <w:szCs w:val="22"/>
                <w:lang w:val="es-ES_tradnl"/>
              </w:rPr>
              <w:t>57.1</w:t>
            </w:r>
          </w:p>
        </w:tc>
        <w:tc>
          <w:tcPr>
            <w:tcW w:w="805" w:type="dxa"/>
            <w:tcBorders>
              <w:top w:val="single" w:sz="4" w:space="0" w:color="auto"/>
              <w:left w:val="single" w:sz="4" w:space="0" w:color="auto"/>
              <w:bottom w:val="single" w:sz="4" w:space="0" w:color="auto"/>
              <w:right w:val="nil"/>
            </w:tcBorders>
            <w:shd w:val="clear" w:color="auto" w:fill="FFFFFF"/>
            <w:vAlign w:val="center"/>
          </w:tcPr>
          <w:p w:rsidR="009571FA" w:rsidRPr="00E84EFE" w:rsidRDefault="009571FA">
            <w:pPr>
              <w:jc w:val="center"/>
              <w:rPr>
                <w:rFonts w:ascii="Calibri" w:hAnsi="Calibri"/>
                <w:sz w:val="22"/>
                <w:lang w:val="es-ES_tradnl"/>
              </w:rPr>
            </w:pPr>
            <w:r w:rsidRPr="00E84EFE">
              <w:rPr>
                <w:rFonts w:ascii="Calibri" w:hAnsi="Calibri"/>
                <w:sz w:val="22"/>
                <w:szCs w:val="22"/>
                <w:lang w:val="es-ES_tradnl"/>
              </w:rPr>
              <w:t>107</w:t>
            </w:r>
          </w:p>
        </w:tc>
        <w:tc>
          <w:tcPr>
            <w:tcW w:w="905" w:type="dxa"/>
            <w:tcBorders>
              <w:top w:val="single" w:sz="4" w:space="0" w:color="auto"/>
              <w:left w:val="nil"/>
              <w:bottom w:val="single" w:sz="4" w:space="0" w:color="auto"/>
              <w:right w:val="single" w:sz="4" w:space="0" w:color="auto"/>
            </w:tcBorders>
            <w:shd w:val="clear" w:color="auto" w:fill="FFFFFF"/>
            <w:vAlign w:val="center"/>
          </w:tcPr>
          <w:p w:rsidR="009571FA" w:rsidRPr="00E84EFE" w:rsidRDefault="009571FA">
            <w:pPr>
              <w:jc w:val="center"/>
              <w:rPr>
                <w:rFonts w:ascii="Calibri" w:hAnsi="Calibri"/>
                <w:sz w:val="22"/>
                <w:lang w:val="es-ES_tradnl"/>
              </w:rPr>
            </w:pPr>
            <w:r w:rsidRPr="00E84EFE">
              <w:rPr>
                <w:rFonts w:ascii="Calibri" w:hAnsi="Calibri"/>
                <w:sz w:val="22"/>
                <w:szCs w:val="22"/>
                <w:lang w:val="es-ES_tradnl"/>
              </w:rPr>
              <w:t>27.5</w:t>
            </w:r>
          </w:p>
        </w:tc>
        <w:tc>
          <w:tcPr>
            <w:tcW w:w="669" w:type="dxa"/>
            <w:tcBorders>
              <w:top w:val="single" w:sz="4" w:space="0" w:color="auto"/>
              <w:left w:val="single" w:sz="4" w:space="0" w:color="auto"/>
              <w:bottom w:val="single" w:sz="4" w:space="0" w:color="auto"/>
              <w:right w:val="nil"/>
            </w:tcBorders>
            <w:shd w:val="clear" w:color="auto" w:fill="FFFFFF"/>
            <w:vAlign w:val="center"/>
          </w:tcPr>
          <w:p w:rsidR="009571FA" w:rsidRPr="00E84EFE" w:rsidRDefault="009571FA">
            <w:pPr>
              <w:jc w:val="center"/>
              <w:rPr>
                <w:rFonts w:ascii="Calibri" w:hAnsi="Calibri"/>
                <w:sz w:val="22"/>
                <w:lang w:val="es-ES_tradnl"/>
              </w:rPr>
            </w:pPr>
            <w:r w:rsidRPr="00E84EFE">
              <w:rPr>
                <w:rFonts w:ascii="Calibri" w:hAnsi="Calibri"/>
                <w:sz w:val="22"/>
                <w:szCs w:val="22"/>
                <w:lang w:val="es-ES_tradnl"/>
              </w:rPr>
              <w:t>60</w:t>
            </w:r>
          </w:p>
        </w:tc>
        <w:tc>
          <w:tcPr>
            <w:tcW w:w="1114" w:type="dxa"/>
            <w:tcBorders>
              <w:top w:val="single" w:sz="4" w:space="0" w:color="auto"/>
              <w:left w:val="nil"/>
              <w:bottom w:val="single" w:sz="4" w:space="0" w:color="auto"/>
              <w:right w:val="single" w:sz="4" w:space="0" w:color="auto"/>
            </w:tcBorders>
            <w:shd w:val="clear" w:color="auto" w:fill="FFFFFF"/>
            <w:vAlign w:val="center"/>
          </w:tcPr>
          <w:p w:rsidR="009571FA" w:rsidRPr="00E84EFE" w:rsidRDefault="009571FA">
            <w:pPr>
              <w:jc w:val="center"/>
              <w:rPr>
                <w:rFonts w:ascii="Calibri" w:hAnsi="Calibri"/>
                <w:sz w:val="22"/>
                <w:lang w:val="es-ES_tradnl"/>
              </w:rPr>
            </w:pPr>
            <w:r w:rsidRPr="00E84EFE">
              <w:rPr>
                <w:rFonts w:ascii="Calibri" w:hAnsi="Calibri"/>
                <w:sz w:val="22"/>
                <w:szCs w:val="22"/>
                <w:lang w:val="es-ES_tradnl"/>
              </w:rPr>
              <w:t>15.4</w:t>
            </w:r>
          </w:p>
        </w:tc>
      </w:tr>
      <w:tr w:rsidR="009571FA" w:rsidTr="00470888">
        <w:trPr>
          <w:trHeight w:val="312"/>
          <w:jc w:val="center"/>
        </w:trPr>
        <w:tc>
          <w:tcPr>
            <w:tcW w:w="2233" w:type="dxa"/>
            <w:tcBorders>
              <w:top w:val="single" w:sz="4" w:space="0" w:color="auto"/>
              <w:left w:val="single" w:sz="4" w:space="0" w:color="auto"/>
              <w:bottom w:val="single" w:sz="4" w:space="0" w:color="auto"/>
              <w:right w:val="single" w:sz="4" w:space="0" w:color="auto"/>
            </w:tcBorders>
            <w:shd w:val="clear" w:color="auto" w:fill="C6D6F4"/>
            <w:tcMar>
              <w:top w:w="0" w:type="dxa"/>
              <w:left w:w="28" w:type="dxa"/>
              <w:bottom w:w="0" w:type="dxa"/>
              <w:right w:w="28" w:type="dxa"/>
            </w:tcMar>
            <w:vAlign w:val="center"/>
          </w:tcPr>
          <w:p w:rsidR="009571FA" w:rsidRPr="00E84EFE" w:rsidRDefault="009571FA">
            <w:pPr>
              <w:tabs>
                <w:tab w:val="left" w:pos="253"/>
              </w:tabs>
              <w:rPr>
                <w:rFonts w:ascii="Calibri" w:hAnsi="Calibri"/>
                <w:b/>
                <w:sz w:val="22"/>
                <w:lang w:val="es-ES_tradnl"/>
              </w:rPr>
            </w:pPr>
            <w:r w:rsidRPr="00E84EFE">
              <w:rPr>
                <w:rFonts w:ascii="Calibri" w:hAnsi="Calibri"/>
                <w:b/>
                <w:sz w:val="22"/>
                <w:szCs w:val="22"/>
                <w:lang w:val="es-ES_tradnl"/>
              </w:rPr>
              <w:t>By Sex</w:t>
            </w:r>
          </w:p>
        </w:tc>
        <w:tc>
          <w:tcPr>
            <w:tcW w:w="567" w:type="dxa"/>
            <w:tcBorders>
              <w:top w:val="single" w:sz="4" w:space="0" w:color="auto"/>
              <w:left w:val="single" w:sz="4" w:space="0" w:color="auto"/>
              <w:bottom w:val="single" w:sz="4" w:space="0" w:color="auto"/>
              <w:right w:val="single" w:sz="4" w:space="0" w:color="auto"/>
            </w:tcBorders>
            <w:shd w:val="clear" w:color="auto" w:fill="C6D6F4"/>
            <w:vAlign w:val="center"/>
          </w:tcPr>
          <w:p w:rsidR="009571FA" w:rsidRPr="00E84EFE" w:rsidRDefault="009571FA">
            <w:pPr>
              <w:tabs>
                <w:tab w:val="left" w:pos="253"/>
              </w:tabs>
              <w:jc w:val="center"/>
              <w:rPr>
                <w:rFonts w:ascii="Calibri" w:hAnsi="Calibri"/>
                <w:sz w:val="22"/>
                <w:lang w:val="es-ES_tradnl"/>
              </w:rPr>
            </w:pPr>
          </w:p>
        </w:tc>
        <w:tc>
          <w:tcPr>
            <w:tcW w:w="603" w:type="dxa"/>
            <w:tcBorders>
              <w:top w:val="single" w:sz="4" w:space="0" w:color="auto"/>
              <w:left w:val="single" w:sz="4" w:space="0" w:color="auto"/>
              <w:bottom w:val="single" w:sz="4" w:space="0" w:color="auto"/>
              <w:right w:val="nil"/>
            </w:tcBorders>
            <w:shd w:val="clear" w:color="auto" w:fill="C6D6F4"/>
            <w:vAlign w:val="center"/>
          </w:tcPr>
          <w:p w:rsidR="009571FA" w:rsidRPr="00E84EFE" w:rsidRDefault="009571FA">
            <w:pPr>
              <w:jc w:val="center"/>
              <w:rPr>
                <w:rFonts w:ascii="Calibri" w:hAnsi="Calibri"/>
                <w:sz w:val="22"/>
                <w:lang w:val="es-ES_tradnl"/>
              </w:rPr>
            </w:pPr>
          </w:p>
        </w:tc>
        <w:tc>
          <w:tcPr>
            <w:tcW w:w="810" w:type="dxa"/>
            <w:tcBorders>
              <w:top w:val="single" w:sz="4" w:space="0" w:color="auto"/>
              <w:left w:val="nil"/>
              <w:bottom w:val="single" w:sz="4" w:space="0" w:color="auto"/>
              <w:right w:val="single" w:sz="4" w:space="0" w:color="auto"/>
            </w:tcBorders>
            <w:shd w:val="clear" w:color="auto" w:fill="C6D6F4"/>
            <w:vAlign w:val="center"/>
          </w:tcPr>
          <w:p w:rsidR="009571FA" w:rsidRPr="00E84EFE" w:rsidRDefault="009571FA">
            <w:pPr>
              <w:jc w:val="center"/>
              <w:rPr>
                <w:rFonts w:ascii="Calibri" w:hAnsi="Calibri"/>
                <w:sz w:val="22"/>
                <w:lang w:val="es-ES_tradnl"/>
              </w:rPr>
            </w:pPr>
          </w:p>
        </w:tc>
        <w:tc>
          <w:tcPr>
            <w:tcW w:w="805" w:type="dxa"/>
            <w:tcBorders>
              <w:top w:val="single" w:sz="4" w:space="0" w:color="auto"/>
              <w:left w:val="single" w:sz="4" w:space="0" w:color="auto"/>
              <w:bottom w:val="single" w:sz="4" w:space="0" w:color="auto"/>
              <w:right w:val="nil"/>
            </w:tcBorders>
            <w:shd w:val="clear" w:color="auto" w:fill="C6D6F4"/>
            <w:vAlign w:val="center"/>
          </w:tcPr>
          <w:p w:rsidR="009571FA" w:rsidRPr="00E84EFE" w:rsidRDefault="009571FA">
            <w:pPr>
              <w:jc w:val="center"/>
              <w:rPr>
                <w:rFonts w:ascii="Calibri" w:hAnsi="Calibri"/>
                <w:sz w:val="22"/>
                <w:lang w:val="es-ES_tradnl"/>
              </w:rPr>
            </w:pPr>
          </w:p>
        </w:tc>
        <w:tc>
          <w:tcPr>
            <w:tcW w:w="905" w:type="dxa"/>
            <w:tcBorders>
              <w:top w:val="single" w:sz="4" w:space="0" w:color="auto"/>
              <w:left w:val="nil"/>
              <w:bottom w:val="single" w:sz="4" w:space="0" w:color="auto"/>
              <w:right w:val="single" w:sz="4" w:space="0" w:color="auto"/>
            </w:tcBorders>
            <w:shd w:val="clear" w:color="auto" w:fill="C6D6F4"/>
            <w:vAlign w:val="center"/>
          </w:tcPr>
          <w:p w:rsidR="009571FA" w:rsidRPr="00E84EFE" w:rsidRDefault="009571FA">
            <w:pPr>
              <w:jc w:val="center"/>
              <w:rPr>
                <w:rFonts w:ascii="Calibri" w:hAnsi="Calibri"/>
                <w:sz w:val="22"/>
                <w:lang w:val="es-ES_tradnl"/>
              </w:rPr>
            </w:pPr>
          </w:p>
        </w:tc>
        <w:tc>
          <w:tcPr>
            <w:tcW w:w="669" w:type="dxa"/>
            <w:tcBorders>
              <w:top w:val="single" w:sz="4" w:space="0" w:color="auto"/>
              <w:left w:val="single" w:sz="4" w:space="0" w:color="auto"/>
              <w:bottom w:val="single" w:sz="4" w:space="0" w:color="auto"/>
              <w:right w:val="nil"/>
            </w:tcBorders>
            <w:shd w:val="clear" w:color="auto" w:fill="C6D6F4"/>
            <w:vAlign w:val="center"/>
          </w:tcPr>
          <w:p w:rsidR="009571FA" w:rsidRPr="00E84EFE" w:rsidRDefault="009571FA">
            <w:pPr>
              <w:jc w:val="center"/>
              <w:rPr>
                <w:rFonts w:ascii="Calibri" w:hAnsi="Calibri"/>
                <w:sz w:val="22"/>
                <w:lang w:val="es-ES_tradnl"/>
              </w:rPr>
            </w:pPr>
          </w:p>
        </w:tc>
        <w:tc>
          <w:tcPr>
            <w:tcW w:w="1114" w:type="dxa"/>
            <w:tcBorders>
              <w:top w:val="single" w:sz="4" w:space="0" w:color="auto"/>
              <w:left w:val="nil"/>
              <w:bottom w:val="single" w:sz="4" w:space="0" w:color="auto"/>
              <w:right w:val="single" w:sz="4" w:space="0" w:color="auto"/>
            </w:tcBorders>
            <w:shd w:val="clear" w:color="auto" w:fill="C6D6F4"/>
            <w:vAlign w:val="center"/>
          </w:tcPr>
          <w:p w:rsidR="009571FA" w:rsidRPr="00E84EFE" w:rsidRDefault="009571FA">
            <w:pPr>
              <w:jc w:val="center"/>
              <w:rPr>
                <w:rFonts w:ascii="Calibri" w:hAnsi="Calibri"/>
                <w:sz w:val="22"/>
                <w:lang w:val="es-ES_tradnl"/>
              </w:rPr>
            </w:pPr>
          </w:p>
        </w:tc>
      </w:tr>
      <w:tr w:rsidR="009571FA" w:rsidTr="00470888">
        <w:trPr>
          <w:trHeight w:val="312"/>
          <w:jc w:val="center"/>
        </w:trPr>
        <w:tc>
          <w:tcPr>
            <w:tcW w:w="2233" w:type="dxa"/>
            <w:tcBorders>
              <w:top w:val="single" w:sz="4" w:space="0" w:color="auto"/>
              <w:left w:val="single" w:sz="4" w:space="0" w:color="auto"/>
              <w:bottom w:val="single" w:sz="4" w:space="0" w:color="BFBFBF"/>
              <w:right w:val="single" w:sz="4" w:space="0" w:color="auto"/>
            </w:tcBorders>
            <w:tcMar>
              <w:top w:w="0" w:type="dxa"/>
              <w:left w:w="28" w:type="dxa"/>
              <w:bottom w:w="0" w:type="dxa"/>
              <w:right w:w="28" w:type="dxa"/>
            </w:tcMar>
            <w:vAlign w:val="center"/>
          </w:tcPr>
          <w:p w:rsidR="009571FA" w:rsidRPr="00E84EFE" w:rsidRDefault="009571FA">
            <w:pPr>
              <w:tabs>
                <w:tab w:val="left" w:pos="253"/>
              </w:tabs>
              <w:rPr>
                <w:rFonts w:ascii="Calibri" w:hAnsi="Calibri"/>
                <w:sz w:val="22"/>
                <w:lang w:val="es-ES_tradnl"/>
              </w:rPr>
            </w:pPr>
            <w:r w:rsidRPr="00E84EFE">
              <w:rPr>
                <w:rFonts w:ascii="Calibri" w:hAnsi="Calibri"/>
                <w:sz w:val="22"/>
                <w:szCs w:val="22"/>
                <w:lang w:val="es-ES_tradnl"/>
              </w:rPr>
              <w:tab/>
              <w:t>Male Staff</w:t>
            </w:r>
          </w:p>
        </w:tc>
        <w:tc>
          <w:tcPr>
            <w:tcW w:w="567" w:type="dxa"/>
            <w:tcBorders>
              <w:top w:val="single" w:sz="4" w:space="0" w:color="auto"/>
              <w:left w:val="single" w:sz="4" w:space="0" w:color="auto"/>
              <w:bottom w:val="single" w:sz="4" w:space="0" w:color="BFBFBF"/>
              <w:right w:val="single" w:sz="4" w:space="0" w:color="auto"/>
            </w:tcBorders>
            <w:vAlign w:val="center"/>
          </w:tcPr>
          <w:p w:rsidR="009571FA" w:rsidRPr="00E84EFE" w:rsidRDefault="009571FA">
            <w:pPr>
              <w:tabs>
                <w:tab w:val="left" w:pos="253"/>
              </w:tabs>
              <w:jc w:val="center"/>
              <w:rPr>
                <w:rFonts w:ascii="Calibri" w:hAnsi="Calibri"/>
                <w:sz w:val="22"/>
                <w:lang w:val="es-ES_tradnl"/>
              </w:rPr>
            </w:pPr>
            <w:r w:rsidRPr="00E84EFE">
              <w:rPr>
                <w:rFonts w:ascii="Calibri" w:hAnsi="Calibri"/>
                <w:sz w:val="22"/>
                <w:szCs w:val="22"/>
                <w:lang w:val="es-ES_tradnl"/>
              </w:rPr>
              <w:t>161</w:t>
            </w:r>
          </w:p>
        </w:tc>
        <w:tc>
          <w:tcPr>
            <w:tcW w:w="603" w:type="dxa"/>
            <w:tcBorders>
              <w:top w:val="single" w:sz="4" w:space="0" w:color="auto"/>
              <w:left w:val="single" w:sz="4" w:space="0" w:color="auto"/>
              <w:bottom w:val="single" w:sz="4" w:space="0" w:color="BFBFBF"/>
              <w:right w:val="nil"/>
            </w:tcBorders>
            <w:vAlign w:val="center"/>
          </w:tcPr>
          <w:p w:rsidR="009571FA" w:rsidRPr="00E84EFE" w:rsidRDefault="009571FA">
            <w:pPr>
              <w:jc w:val="center"/>
              <w:rPr>
                <w:rFonts w:ascii="Calibri" w:hAnsi="Calibri"/>
                <w:sz w:val="22"/>
                <w:lang w:val="es-ES_tradnl"/>
              </w:rPr>
            </w:pPr>
            <w:r w:rsidRPr="00E84EFE">
              <w:rPr>
                <w:rFonts w:ascii="Calibri" w:hAnsi="Calibri"/>
                <w:sz w:val="22"/>
                <w:szCs w:val="22"/>
                <w:lang w:val="es-ES_tradnl"/>
              </w:rPr>
              <w:t>77</w:t>
            </w:r>
          </w:p>
        </w:tc>
        <w:tc>
          <w:tcPr>
            <w:tcW w:w="810" w:type="dxa"/>
            <w:tcBorders>
              <w:top w:val="single" w:sz="4" w:space="0" w:color="auto"/>
              <w:left w:val="nil"/>
              <w:bottom w:val="single" w:sz="4" w:space="0" w:color="BFBFBF"/>
              <w:right w:val="single" w:sz="4" w:space="0" w:color="auto"/>
            </w:tcBorders>
            <w:vAlign w:val="center"/>
          </w:tcPr>
          <w:p w:rsidR="009571FA" w:rsidRPr="00E84EFE" w:rsidRDefault="009571FA">
            <w:pPr>
              <w:jc w:val="center"/>
              <w:rPr>
                <w:rFonts w:ascii="Calibri" w:hAnsi="Calibri"/>
                <w:sz w:val="22"/>
                <w:lang w:val="es-ES_tradnl"/>
              </w:rPr>
            </w:pPr>
            <w:r w:rsidRPr="00E84EFE">
              <w:rPr>
                <w:rFonts w:ascii="Calibri" w:hAnsi="Calibri"/>
                <w:sz w:val="22"/>
                <w:szCs w:val="22"/>
                <w:lang w:val="es-ES_tradnl"/>
              </w:rPr>
              <w:t>47.8</w:t>
            </w:r>
          </w:p>
        </w:tc>
        <w:tc>
          <w:tcPr>
            <w:tcW w:w="805" w:type="dxa"/>
            <w:tcBorders>
              <w:top w:val="single" w:sz="4" w:space="0" w:color="auto"/>
              <w:left w:val="single" w:sz="4" w:space="0" w:color="auto"/>
              <w:bottom w:val="single" w:sz="4" w:space="0" w:color="BFBFBF"/>
              <w:right w:val="nil"/>
            </w:tcBorders>
            <w:vAlign w:val="center"/>
          </w:tcPr>
          <w:p w:rsidR="009571FA" w:rsidRPr="00E84EFE" w:rsidRDefault="009571FA">
            <w:pPr>
              <w:jc w:val="center"/>
              <w:rPr>
                <w:rFonts w:ascii="Calibri" w:hAnsi="Calibri"/>
                <w:sz w:val="22"/>
                <w:lang w:val="es-ES_tradnl"/>
              </w:rPr>
            </w:pPr>
            <w:r w:rsidRPr="00E84EFE">
              <w:rPr>
                <w:rFonts w:ascii="Calibri" w:hAnsi="Calibri"/>
                <w:sz w:val="22"/>
                <w:szCs w:val="22"/>
                <w:lang w:val="es-ES_tradnl"/>
              </w:rPr>
              <w:t>50</w:t>
            </w:r>
          </w:p>
        </w:tc>
        <w:tc>
          <w:tcPr>
            <w:tcW w:w="905" w:type="dxa"/>
            <w:tcBorders>
              <w:top w:val="single" w:sz="4" w:space="0" w:color="auto"/>
              <w:left w:val="nil"/>
              <w:bottom w:val="single" w:sz="4" w:space="0" w:color="BFBFBF"/>
              <w:right w:val="single" w:sz="4" w:space="0" w:color="auto"/>
            </w:tcBorders>
            <w:vAlign w:val="center"/>
          </w:tcPr>
          <w:p w:rsidR="009571FA" w:rsidRPr="00E84EFE" w:rsidRDefault="009571FA">
            <w:pPr>
              <w:jc w:val="center"/>
              <w:rPr>
                <w:rFonts w:ascii="Calibri" w:hAnsi="Calibri"/>
                <w:sz w:val="22"/>
                <w:lang w:val="es-ES_tradnl"/>
              </w:rPr>
            </w:pPr>
            <w:r w:rsidRPr="00E84EFE">
              <w:rPr>
                <w:rFonts w:ascii="Calibri" w:hAnsi="Calibri"/>
                <w:sz w:val="22"/>
                <w:szCs w:val="22"/>
                <w:lang w:val="es-ES_tradnl"/>
              </w:rPr>
              <w:t>31.1</w:t>
            </w:r>
          </w:p>
        </w:tc>
        <w:tc>
          <w:tcPr>
            <w:tcW w:w="669" w:type="dxa"/>
            <w:tcBorders>
              <w:top w:val="single" w:sz="4" w:space="0" w:color="auto"/>
              <w:left w:val="single" w:sz="4" w:space="0" w:color="auto"/>
              <w:bottom w:val="single" w:sz="4" w:space="0" w:color="BFBFBF"/>
              <w:right w:val="nil"/>
            </w:tcBorders>
            <w:vAlign w:val="center"/>
          </w:tcPr>
          <w:p w:rsidR="009571FA" w:rsidRPr="00E84EFE" w:rsidRDefault="009571FA">
            <w:pPr>
              <w:jc w:val="center"/>
              <w:rPr>
                <w:rFonts w:ascii="Calibri" w:hAnsi="Calibri"/>
                <w:sz w:val="22"/>
                <w:lang w:val="es-ES_tradnl"/>
              </w:rPr>
            </w:pPr>
            <w:r w:rsidRPr="00E84EFE">
              <w:rPr>
                <w:rFonts w:ascii="Calibri" w:hAnsi="Calibri"/>
                <w:sz w:val="22"/>
                <w:szCs w:val="22"/>
                <w:lang w:val="es-ES_tradnl"/>
              </w:rPr>
              <w:t>34</w:t>
            </w:r>
          </w:p>
        </w:tc>
        <w:tc>
          <w:tcPr>
            <w:tcW w:w="1114" w:type="dxa"/>
            <w:tcBorders>
              <w:top w:val="single" w:sz="4" w:space="0" w:color="auto"/>
              <w:left w:val="nil"/>
              <w:bottom w:val="single" w:sz="4" w:space="0" w:color="BFBFBF"/>
              <w:right w:val="single" w:sz="4" w:space="0" w:color="auto"/>
            </w:tcBorders>
            <w:vAlign w:val="center"/>
          </w:tcPr>
          <w:p w:rsidR="009571FA" w:rsidRPr="00E84EFE" w:rsidRDefault="009571FA">
            <w:pPr>
              <w:jc w:val="center"/>
              <w:rPr>
                <w:rFonts w:ascii="Calibri" w:hAnsi="Calibri"/>
                <w:sz w:val="22"/>
                <w:lang w:val="es-ES_tradnl"/>
              </w:rPr>
            </w:pPr>
            <w:r w:rsidRPr="00E84EFE">
              <w:rPr>
                <w:rFonts w:ascii="Calibri" w:hAnsi="Calibri"/>
                <w:sz w:val="22"/>
                <w:szCs w:val="22"/>
                <w:lang w:val="es-ES_tradnl"/>
              </w:rPr>
              <w:t>21.1</w:t>
            </w:r>
          </w:p>
        </w:tc>
      </w:tr>
      <w:tr w:rsidR="009571FA" w:rsidTr="00470888">
        <w:trPr>
          <w:trHeight w:val="312"/>
          <w:jc w:val="center"/>
        </w:trPr>
        <w:tc>
          <w:tcPr>
            <w:tcW w:w="2233" w:type="dxa"/>
            <w:tcBorders>
              <w:top w:val="single" w:sz="4" w:space="0" w:color="BFBFBF"/>
              <w:left w:val="single" w:sz="4" w:space="0" w:color="auto"/>
              <w:bottom w:val="single" w:sz="4" w:space="0" w:color="auto"/>
              <w:right w:val="single" w:sz="4" w:space="0" w:color="auto"/>
            </w:tcBorders>
            <w:tcMar>
              <w:top w:w="0" w:type="dxa"/>
              <w:left w:w="28" w:type="dxa"/>
              <w:bottom w:w="0" w:type="dxa"/>
              <w:right w:w="28" w:type="dxa"/>
            </w:tcMar>
            <w:vAlign w:val="center"/>
          </w:tcPr>
          <w:p w:rsidR="009571FA" w:rsidRPr="00E84EFE" w:rsidRDefault="009571FA">
            <w:pPr>
              <w:tabs>
                <w:tab w:val="left" w:pos="253"/>
              </w:tabs>
              <w:rPr>
                <w:rFonts w:ascii="Calibri" w:hAnsi="Calibri"/>
                <w:sz w:val="22"/>
                <w:lang w:val="es-ES_tradnl"/>
              </w:rPr>
            </w:pPr>
            <w:r w:rsidRPr="00E84EFE">
              <w:rPr>
                <w:rFonts w:ascii="Calibri" w:hAnsi="Calibri"/>
                <w:sz w:val="22"/>
                <w:szCs w:val="22"/>
                <w:lang w:val="es-ES_tradnl"/>
              </w:rPr>
              <w:tab/>
              <w:t>Female Staff</w:t>
            </w:r>
          </w:p>
        </w:tc>
        <w:tc>
          <w:tcPr>
            <w:tcW w:w="567" w:type="dxa"/>
            <w:tcBorders>
              <w:top w:val="single" w:sz="4" w:space="0" w:color="BFBFBF"/>
              <w:left w:val="single" w:sz="4" w:space="0" w:color="auto"/>
              <w:bottom w:val="single" w:sz="4" w:space="0" w:color="auto"/>
              <w:right w:val="single" w:sz="4" w:space="0" w:color="auto"/>
            </w:tcBorders>
            <w:vAlign w:val="center"/>
          </w:tcPr>
          <w:p w:rsidR="009571FA" w:rsidRPr="00E84EFE" w:rsidRDefault="009571FA">
            <w:pPr>
              <w:tabs>
                <w:tab w:val="left" w:pos="253"/>
              </w:tabs>
              <w:jc w:val="center"/>
              <w:rPr>
                <w:rFonts w:ascii="Calibri" w:hAnsi="Calibri"/>
                <w:sz w:val="22"/>
                <w:lang w:val="es-ES_tradnl"/>
              </w:rPr>
            </w:pPr>
            <w:r w:rsidRPr="00E84EFE">
              <w:rPr>
                <w:rFonts w:ascii="Calibri" w:hAnsi="Calibri"/>
                <w:sz w:val="22"/>
                <w:szCs w:val="22"/>
                <w:lang w:val="es-ES_tradnl"/>
              </w:rPr>
              <w:t>228</w:t>
            </w:r>
          </w:p>
        </w:tc>
        <w:tc>
          <w:tcPr>
            <w:tcW w:w="603" w:type="dxa"/>
            <w:tcBorders>
              <w:top w:val="single" w:sz="4" w:space="0" w:color="BFBFBF"/>
              <w:left w:val="single" w:sz="4" w:space="0" w:color="auto"/>
              <w:bottom w:val="single" w:sz="4" w:space="0" w:color="auto"/>
              <w:right w:val="nil"/>
            </w:tcBorders>
            <w:vAlign w:val="center"/>
          </w:tcPr>
          <w:p w:rsidR="009571FA" w:rsidRPr="00E84EFE" w:rsidRDefault="009571FA">
            <w:pPr>
              <w:jc w:val="center"/>
              <w:rPr>
                <w:rFonts w:ascii="Calibri" w:hAnsi="Calibri"/>
                <w:sz w:val="22"/>
                <w:lang w:val="es-ES_tradnl"/>
              </w:rPr>
            </w:pPr>
            <w:r w:rsidRPr="00E84EFE">
              <w:rPr>
                <w:rFonts w:ascii="Calibri" w:hAnsi="Calibri"/>
                <w:sz w:val="22"/>
                <w:szCs w:val="22"/>
                <w:lang w:val="es-ES_tradnl"/>
              </w:rPr>
              <w:t>145</w:t>
            </w:r>
          </w:p>
        </w:tc>
        <w:tc>
          <w:tcPr>
            <w:tcW w:w="810" w:type="dxa"/>
            <w:tcBorders>
              <w:top w:val="single" w:sz="4" w:space="0" w:color="BFBFBF"/>
              <w:left w:val="nil"/>
              <w:bottom w:val="single" w:sz="4" w:space="0" w:color="auto"/>
              <w:right w:val="single" w:sz="4" w:space="0" w:color="auto"/>
            </w:tcBorders>
            <w:vAlign w:val="center"/>
          </w:tcPr>
          <w:p w:rsidR="009571FA" w:rsidRPr="00E84EFE" w:rsidRDefault="009571FA">
            <w:pPr>
              <w:jc w:val="center"/>
              <w:rPr>
                <w:rFonts w:ascii="Calibri" w:hAnsi="Calibri"/>
                <w:sz w:val="22"/>
                <w:lang w:val="es-ES_tradnl"/>
              </w:rPr>
            </w:pPr>
            <w:r w:rsidRPr="00E84EFE">
              <w:rPr>
                <w:rFonts w:ascii="Calibri" w:hAnsi="Calibri"/>
                <w:sz w:val="22"/>
                <w:szCs w:val="22"/>
                <w:lang w:val="es-ES_tradnl"/>
              </w:rPr>
              <w:t>63.6</w:t>
            </w:r>
          </w:p>
        </w:tc>
        <w:tc>
          <w:tcPr>
            <w:tcW w:w="805" w:type="dxa"/>
            <w:tcBorders>
              <w:top w:val="single" w:sz="4" w:space="0" w:color="BFBFBF"/>
              <w:left w:val="single" w:sz="4" w:space="0" w:color="auto"/>
              <w:bottom w:val="single" w:sz="4" w:space="0" w:color="auto"/>
              <w:right w:val="nil"/>
            </w:tcBorders>
            <w:vAlign w:val="center"/>
          </w:tcPr>
          <w:p w:rsidR="009571FA" w:rsidRPr="00E84EFE" w:rsidRDefault="009571FA">
            <w:pPr>
              <w:jc w:val="center"/>
              <w:rPr>
                <w:rFonts w:ascii="Calibri" w:hAnsi="Calibri"/>
                <w:sz w:val="22"/>
                <w:lang w:val="es-ES_tradnl"/>
              </w:rPr>
            </w:pPr>
            <w:r w:rsidRPr="00E84EFE">
              <w:rPr>
                <w:rFonts w:ascii="Calibri" w:hAnsi="Calibri"/>
                <w:sz w:val="22"/>
                <w:szCs w:val="22"/>
                <w:lang w:val="es-ES_tradnl"/>
              </w:rPr>
              <w:t>57</w:t>
            </w:r>
          </w:p>
        </w:tc>
        <w:tc>
          <w:tcPr>
            <w:tcW w:w="905" w:type="dxa"/>
            <w:tcBorders>
              <w:top w:val="single" w:sz="4" w:space="0" w:color="BFBFBF"/>
              <w:left w:val="nil"/>
              <w:bottom w:val="single" w:sz="4" w:space="0" w:color="auto"/>
              <w:right w:val="single" w:sz="4" w:space="0" w:color="auto"/>
            </w:tcBorders>
            <w:vAlign w:val="center"/>
          </w:tcPr>
          <w:p w:rsidR="009571FA" w:rsidRPr="00E84EFE" w:rsidRDefault="009571FA">
            <w:pPr>
              <w:jc w:val="center"/>
              <w:rPr>
                <w:rFonts w:ascii="Calibri" w:hAnsi="Calibri"/>
                <w:sz w:val="22"/>
                <w:lang w:val="es-ES_tradnl"/>
              </w:rPr>
            </w:pPr>
            <w:r w:rsidRPr="00E84EFE">
              <w:rPr>
                <w:rFonts w:ascii="Calibri" w:hAnsi="Calibri"/>
                <w:sz w:val="22"/>
                <w:szCs w:val="22"/>
                <w:lang w:val="es-ES_tradnl"/>
              </w:rPr>
              <w:t>25.0</w:t>
            </w:r>
          </w:p>
        </w:tc>
        <w:tc>
          <w:tcPr>
            <w:tcW w:w="669" w:type="dxa"/>
            <w:tcBorders>
              <w:top w:val="single" w:sz="4" w:space="0" w:color="BFBFBF"/>
              <w:left w:val="single" w:sz="4" w:space="0" w:color="auto"/>
              <w:bottom w:val="single" w:sz="4" w:space="0" w:color="auto"/>
              <w:right w:val="nil"/>
            </w:tcBorders>
            <w:vAlign w:val="center"/>
          </w:tcPr>
          <w:p w:rsidR="009571FA" w:rsidRPr="00E84EFE" w:rsidRDefault="009571FA">
            <w:pPr>
              <w:jc w:val="center"/>
              <w:rPr>
                <w:rFonts w:ascii="Calibri" w:hAnsi="Calibri"/>
                <w:sz w:val="22"/>
                <w:lang w:val="es-ES_tradnl"/>
              </w:rPr>
            </w:pPr>
            <w:r w:rsidRPr="00E84EFE">
              <w:rPr>
                <w:rFonts w:ascii="Calibri" w:hAnsi="Calibri"/>
                <w:sz w:val="22"/>
                <w:szCs w:val="22"/>
                <w:lang w:val="es-ES_tradnl"/>
              </w:rPr>
              <w:t>26</w:t>
            </w:r>
          </w:p>
        </w:tc>
        <w:tc>
          <w:tcPr>
            <w:tcW w:w="1114" w:type="dxa"/>
            <w:tcBorders>
              <w:top w:val="single" w:sz="4" w:space="0" w:color="BFBFBF"/>
              <w:left w:val="nil"/>
              <w:bottom w:val="single" w:sz="4" w:space="0" w:color="auto"/>
              <w:right w:val="single" w:sz="4" w:space="0" w:color="auto"/>
            </w:tcBorders>
            <w:vAlign w:val="center"/>
          </w:tcPr>
          <w:p w:rsidR="009571FA" w:rsidRPr="00E84EFE" w:rsidRDefault="009571FA">
            <w:pPr>
              <w:jc w:val="center"/>
              <w:rPr>
                <w:rFonts w:ascii="Calibri" w:hAnsi="Calibri"/>
                <w:sz w:val="22"/>
                <w:lang w:val="es-ES_tradnl"/>
              </w:rPr>
            </w:pPr>
            <w:r w:rsidRPr="00E84EFE">
              <w:rPr>
                <w:rFonts w:ascii="Calibri" w:hAnsi="Calibri"/>
                <w:sz w:val="22"/>
                <w:szCs w:val="22"/>
                <w:lang w:val="es-ES_tradnl"/>
              </w:rPr>
              <w:t>11.4</w:t>
            </w:r>
          </w:p>
        </w:tc>
      </w:tr>
      <w:tr w:rsidR="009571FA" w:rsidTr="00470888">
        <w:trPr>
          <w:trHeight w:val="312"/>
          <w:jc w:val="center"/>
        </w:trPr>
        <w:tc>
          <w:tcPr>
            <w:tcW w:w="22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571FA" w:rsidRPr="00E84EFE" w:rsidRDefault="009571FA">
            <w:pPr>
              <w:tabs>
                <w:tab w:val="left" w:pos="253"/>
              </w:tabs>
              <w:rPr>
                <w:rFonts w:ascii="Calibri" w:hAnsi="Calibri"/>
                <w:sz w:val="22"/>
                <w:lang w:val="es-ES_tradnl"/>
              </w:rPr>
            </w:pPr>
            <w:r w:rsidRPr="00E84EFE">
              <w:rPr>
                <w:rFonts w:ascii="Calibri" w:hAnsi="Calibri"/>
                <w:sz w:val="22"/>
                <w:szCs w:val="22"/>
                <w:lang w:val="es-ES_tradnl"/>
              </w:rPr>
              <w:t>p-value</w:t>
            </w:r>
          </w:p>
        </w:tc>
        <w:tc>
          <w:tcPr>
            <w:tcW w:w="567" w:type="dxa"/>
            <w:tcBorders>
              <w:top w:val="single" w:sz="4" w:space="0" w:color="auto"/>
              <w:left w:val="single" w:sz="4" w:space="0" w:color="auto"/>
              <w:bottom w:val="single" w:sz="4" w:space="0" w:color="auto"/>
              <w:right w:val="single" w:sz="4" w:space="0" w:color="auto"/>
            </w:tcBorders>
            <w:vAlign w:val="center"/>
          </w:tcPr>
          <w:p w:rsidR="009571FA" w:rsidRPr="00E84EFE" w:rsidRDefault="009571FA">
            <w:pPr>
              <w:tabs>
                <w:tab w:val="left" w:pos="253"/>
              </w:tabs>
              <w:jc w:val="center"/>
              <w:rPr>
                <w:rFonts w:ascii="Calibri" w:hAnsi="Calibri"/>
                <w:sz w:val="22"/>
                <w:lang w:val="es-ES_tradnl"/>
              </w:rPr>
            </w:pPr>
          </w:p>
        </w:tc>
        <w:tc>
          <w:tcPr>
            <w:tcW w:w="4906" w:type="dxa"/>
            <w:gridSpan w:val="6"/>
            <w:tcBorders>
              <w:top w:val="nil"/>
              <w:left w:val="single" w:sz="4" w:space="0" w:color="auto"/>
              <w:bottom w:val="single" w:sz="4" w:space="0" w:color="auto"/>
              <w:right w:val="single" w:sz="4" w:space="0" w:color="auto"/>
            </w:tcBorders>
            <w:vAlign w:val="center"/>
          </w:tcPr>
          <w:p w:rsidR="009571FA" w:rsidRPr="00E84EFE" w:rsidRDefault="009571FA">
            <w:pPr>
              <w:jc w:val="center"/>
              <w:rPr>
                <w:rFonts w:ascii="Calibri" w:hAnsi="Calibri"/>
                <w:sz w:val="22"/>
                <w:lang w:val="es-ES_tradnl"/>
              </w:rPr>
            </w:pPr>
            <w:r w:rsidRPr="00E84EFE">
              <w:rPr>
                <w:rFonts w:ascii="Calibri" w:hAnsi="Calibri"/>
                <w:sz w:val="22"/>
                <w:szCs w:val="22"/>
                <w:lang w:val="es-ES_tradnl"/>
              </w:rPr>
              <w:t>0.0038</w:t>
            </w:r>
          </w:p>
        </w:tc>
      </w:tr>
      <w:tr w:rsidR="009571FA" w:rsidTr="00470888">
        <w:trPr>
          <w:trHeight w:val="312"/>
          <w:jc w:val="center"/>
        </w:trPr>
        <w:tc>
          <w:tcPr>
            <w:tcW w:w="2233" w:type="dxa"/>
            <w:tcBorders>
              <w:top w:val="single" w:sz="4" w:space="0" w:color="auto"/>
              <w:left w:val="single" w:sz="4" w:space="0" w:color="auto"/>
              <w:bottom w:val="single" w:sz="4" w:space="0" w:color="auto"/>
              <w:right w:val="single" w:sz="4" w:space="0" w:color="auto"/>
            </w:tcBorders>
            <w:shd w:val="clear" w:color="auto" w:fill="C6D6F4"/>
            <w:tcMar>
              <w:top w:w="0" w:type="dxa"/>
              <w:left w:w="28" w:type="dxa"/>
              <w:bottom w:w="0" w:type="dxa"/>
              <w:right w:w="28" w:type="dxa"/>
            </w:tcMar>
            <w:vAlign w:val="center"/>
          </w:tcPr>
          <w:p w:rsidR="009571FA" w:rsidRPr="00E84EFE" w:rsidRDefault="009571FA">
            <w:pPr>
              <w:tabs>
                <w:tab w:val="left" w:pos="253"/>
              </w:tabs>
              <w:rPr>
                <w:rFonts w:ascii="Calibri" w:hAnsi="Calibri"/>
                <w:b/>
                <w:sz w:val="22"/>
                <w:lang w:val="es-ES_tradnl"/>
              </w:rPr>
            </w:pPr>
            <w:r w:rsidRPr="00E84EFE">
              <w:rPr>
                <w:rFonts w:ascii="Calibri" w:hAnsi="Calibri"/>
                <w:b/>
                <w:sz w:val="22"/>
                <w:szCs w:val="22"/>
                <w:lang w:val="es-ES_tradnl"/>
              </w:rPr>
              <w:t>By Grade</w:t>
            </w:r>
          </w:p>
        </w:tc>
        <w:tc>
          <w:tcPr>
            <w:tcW w:w="567" w:type="dxa"/>
            <w:tcBorders>
              <w:top w:val="single" w:sz="4" w:space="0" w:color="auto"/>
              <w:left w:val="single" w:sz="4" w:space="0" w:color="auto"/>
              <w:bottom w:val="single" w:sz="4" w:space="0" w:color="auto"/>
              <w:right w:val="single" w:sz="4" w:space="0" w:color="auto"/>
            </w:tcBorders>
            <w:shd w:val="clear" w:color="auto" w:fill="C6D6F4"/>
            <w:vAlign w:val="center"/>
          </w:tcPr>
          <w:p w:rsidR="009571FA" w:rsidRPr="00E84EFE" w:rsidRDefault="009571FA">
            <w:pPr>
              <w:tabs>
                <w:tab w:val="left" w:pos="253"/>
              </w:tabs>
              <w:jc w:val="center"/>
              <w:rPr>
                <w:rFonts w:ascii="Calibri" w:hAnsi="Calibri"/>
                <w:sz w:val="22"/>
                <w:lang w:val="es-ES_tradnl"/>
              </w:rPr>
            </w:pPr>
          </w:p>
        </w:tc>
        <w:tc>
          <w:tcPr>
            <w:tcW w:w="603" w:type="dxa"/>
            <w:tcBorders>
              <w:top w:val="single" w:sz="4" w:space="0" w:color="auto"/>
              <w:left w:val="single" w:sz="4" w:space="0" w:color="auto"/>
              <w:bottom w:val="single" w:sz="4" w:space="0" w:color="auto"/>
              <w:right w:val="nil"/>
            </w:tcBorders>
            <w:shd w:val="clear" w:color="auto" w:fill="C6D6F4"/>
            <w:vAlign w:val="center"/>
          </w:tcPr>
          <w:p w:rsidR="009571FA" w:rsidRPr="00E84EFE" w:rsidRDefault="009571FA">
            <w:pPr>
              <w:jc w:val="center"/>
              <w:rPr>
                <w:rFonts w:ascii="Calibri" w:hAnsi="Calibri"/>
                <w:sz w:val="22"/>
                <w:lang w:val="es-ES_tradnl"/>
              </w:rPr>
            </w:pPr>
          </w:p>
        </w:tc>
        <w:tc>
          <w:tcPr>
            <w:tcW w:w="810" w:type="dxa"/>
            <w:tcBorders>
              <w:top w:val="single" w:sz="4" w:space="0" w:color="auto"/>
              <w:left w:val="nil"/>
              <w:bottom w:val="single" w:sz="4" w:space="0" w:color="auto"/>
              <w:right w:val="single" w:sz="4" w:space="0" w:color="auto"/>
            </w:tcBorders>
            <w:shd w:val="clear" w:color="auto" w:fill="C6D6F4"/>
            <w:vAlign w:val="center"/>
          </w:tcPr>
          <w:p w:rsidR="009571FA" w:rsidRPr="00E84EFE" w:rsidRDefault="009571FA">
            <w:pPr>
              <w:jc w:val="center"/>
              <w:rPr>
                <w:rFonts w:ascii="Calibri" w:hAnsi="Calibri"/>
                <w:sz w:val="22"/>
                <w:lang w:val="es-ES_tradnl"/>
              </w:rPr>
            </w:pPr>
          </w:p>
        </w:tc>
        <w:tc>
          <w:tcPr>
            <w:tcW w:w="805" w:type="dxa"/>
            <w:tcBorders>
              <w:top w:val="single" w:sz="4" w:space="0" w:color="auto"/>
              <w:left w:val="single" w:sz="4" w:space="0" w:color="auto"/>
              <w:bottom w:val="single" w:sz="4" w:space="0" w:color="auto"/>
              <w:right w:val="nil"/>
            </w:tcBorders>
            <w:shd w:val="clear" w:color="auto" w:fill="C6D6F4"/>
            <w:vAlign w:val="center"/>
          </w:tcPr>
          <w:p w:rsidR="009571FA" w:rsidRPr="00E84EFE" w:rsidRDefault="009571FA">
            <w:pPr>
              <w:jc w:val="center"/>
              <w:rPr>
                <w:rFonts w:ascii="Calibri" w:hAnsi="Calibri"/>
                <w:sz w:val="22"/>
                <w:lang w:val="es-ES_tradnl"/>
              </w:rPr>
            </w:pPr>
          </w:p>
        </w:tc>
        <w:tc>
          <w:tcPr>
            <w:tcW w:w="905" w:type="dxa"/>
            <w:tcBorders>
              <w:top w:val="single" w:sz="4" w:space="0" w:color="auto"/>
              <w:left w:val="nil"/>
              <w:bottom w:val="single" w:sz="4" w:space="0" w:color="auto"/>
              <w:right w:val="single" w:sz="4" w:space="0" w:color="auto"/>
            </w:tcBorders>
            <w:shd w:val="clear" w:color="auto" w:fill="C6D6F4"/>
            <w:vAlign w:val="center"/>
          </w:tcPr>
          <w:p w:rsidR="009571FA" w:rsidRPr="00E84EFE" w:rsidRDefault="009571FA">
            <w:pPr>
              <w:jc w:val="center"/>
              <w:rPr>
                <w:rFonts w:ascii="Calibri" w:hAnsi="Calibri"/>
                <w:sz w:val="22"/>
                <w:lang w:val="es-ES_tradnl"/>
              </w:rPr>
            </w:pPr>
          </w:p>
        </w:tc>
        <w:tc>
          <w:tcPr>
            <w:tcW w:w="669" w:type="dxa"/>
            <w:tcBorders>
              <w:top w:val="single" w:sz="4" w:space="0" w:color="auto"/>
              <w:left w:val="single" w:sz="4" w:space="0" w:color="auto"/>
              <w:bottom w:val="single" w:sz="4" w:space="0" w:color="auto"/>
              <w:right w:val="nil"/>
            </w:tcBorders>
            <w:shd w:val="clear" w:color="auto" w:fill="C6D6F4"/>
            <w:vAlign w:val="center"/>
          </w:tcPr>
          <w:p w:rsidR="009571FA" w:rsidRPr="00E84EFE" w:rsidRDefault="009571FA">
            <w:pPr>
              <w:jc w:val="center"/>
              <w:rPr>
                <w:rFonts w:ascii="Calibri" w:hAnsi="Calibri"/>
                <w:sz w:val="22"/>
                <w:lang w:val="es-ES_tradnl"/>
              </w:rPr>
            </w:pPr>
          </w:p>
        </w:tc>
        <w:tc>
          <w:tcPr>
            <w:tcW w:w="1114" w:type="dxa"/>
            <w:tcBorders>
              <w:top w:val="single" w:sz="4" w:space="0" w:color="auto"/>
              <w:left w:val="nil"/>
              <w:bottom w:val="single" w:sz="4" w:space="0" w:color="auto"/>
              <w:right w:val="single" w:sz="4" w:space="0" w:color="auto"/>
            </w:tcBorders>
            <w:shd w:val="clear" w:color="auto" w:fill="C6D6F4"/>
            <w:vAlign w:val="center"/>
          </w:tcPr>
          <w:p w:rsidR="009571FA" w:rsidRPr="00E84EFE" w:rsidRDefault="009571FA">
            <w:pPr>
              <w:jc w:val="center"/>
              <w:rPr>
                <w:rFonts w:ascii="Calibri" w:hAnsi="Calibri"/>
                <w:sz w:val="22"/>
                <w:lang w:val="es-ES_tradnl"/>
              </w:rPr>
            </w:pPr>
          </w:p>
        </w:tc>
      </w:tr>
      <w:tr w:rsidR="009571FA" w:rsidTr="00470888">
        <w:trPr>
          <w:trHeight w:val="312"/>
          <w:jc w:val="center"/>
        </w:trPr>
        <w:tc>
          <w:tcPr>
            <w:tcW w:w="2233" w:type="dxa"/>
            <w:tcBorders>
              <w:top w:val="single" w:sz="4" w:space="0" w:color="auto"/>
              <w:left w:val="single" w:sz="4" w:space="0" w:color="auto"/>
              <w:bottom w:val="single" w:sz="4" w:space="0" w:color="BFBFBF"/>
              <w:right w:val="single" w:sz="4" w:space="0" w:color="auto"/>
            </w:tcBorders>
            <w:tcMar>
              <w:top w:w="0" w:type="dxa"/>
              <w:left w:w="28" w:type="dxa"/>
              <w:bottom w:w="0" w:type="dxa"/>
              <w:right w:w="28" w:type="dxa"/>
            </w:tcMar>
            <w:vAlign w:val="center"/>
          </w:tcPr>
          <w:p w:rsidR="009571FA" w:rsidRPr="00E84EFE" w:rsidRDefault="009571FA">
            <w:pPr>
              <w:tabs>
                <w:tab w:val="left" w:pos="253"/>
              </w:tabs>
              <w:rPr>
                <w:rFonts w:ascii="Calibri" w:hAnsi="Calibri"/>
                <w:sz w:val="22"/>
                <w:lang w:val="es-ES_tradnl"/>
              </w:rPr>
            </w:pPr>
            <w:r w:rsidRPr="00E84EFE">
              <w:rPr>
                <w:rFonts w:ascii="Calibri" w:hAnsi="Calibri"/>
                <w:sz w:val="22"/>
                <w:szCs w:val="22"/>
                <w:lang w:val="es-ES_tradnl"/>
              </w:rPr>
              <w:tab/>
              <w:t>D</w:t>
            </w:r>
          </w:p>
        </w:tc>
        <w:tc>
          <w:tcPr>
            <w:tcW w:w="567" w:type="dxa"/>
            <w:tcBorders>
              <w:top w:val="single" w:sz="4" w:space="0" w:color="auto"/>
              <w:left w:val="single" w:sz="4" w:space="0" w:color="auto"/>
              <w:bottom w:val="single" w:sz="4" w:space="0" w:color="BFBFBF"/>
              <w:right w:val="single" w:sz="4" w:space="0" w:color="auto"/>
            </w:tcBorders>
            <w:vAlign w:val="center"/>
          </w:tcPr>
          <w:p w:rsidR="009571FA" w:rsidRPr="00E84EFE" w:rsidRDefault="009571FA">
            <w:pPr>
              <w:tabs>
                <w:tab w:val="left" w:pos="253"/>
              </w:tabs>
              <w:jc w:val="center"/>
              <w:rPr>
                <w:rFonts w:ascii="Calibri" w:hAnsi="Calibri"/>
                <w:sz w:val="22"/>
                <w:lang w:val="es-ES_tradnl"/>
              </w:rPr>
            </w:pPr>
            <w:r w:rsidRPr="00E84EFE">
              <w:rPr>
                <w:rFonts w:ascii="Calibri" w:hAnsi="Calibri"/>
                <w:sz w:val="22"/>
                <w:szCs w:val="22"/>
                <w:lang w:val="es-ES_tradnl"/>
              </w:rPr>
              <w:t>10</w:t>
            </w:r>
          </w:p>
        </w:tc>
        <w:tc>
          <w:tcPr>
            <w:tcW w:w="603" w:type="dxa"/>
            <w:tcBorders>
              <w:top w:val="single" w:sz="4" w:space="0" w:color="auto"/>
              <w:left w:val="single" w:sz="4" w:space="0" w:color="auto"/>
              <w:bottom w:val="single" w:sz="4" w:space="0" w:color="BFBFBF"/>
              <w:right w:val="nil"/>
            </w:tcBorders>
            <w:vAlign w:val="center"/>
          </w:tcPr>
          <w:p w:rsidR="009571FA" w:rsidRPr="00E84EFE" w:rsidRDefault="009571FA">
            <w:pPr>
              <w:jc w:val="center"/>
              <w:rPr>
                <w:rFonts w:ascii="Calibri" w:hAnsi="Calibri"/>
                <w:sz w:val="22"/>
                <w:lang w:val="es-ES_tradnl"/>
              </w:rPr>
            </w:pPr>
            <w:r w:rsidRPr="00E84EFE">
              <w:rPr>
                <w:rFonts w:ascii="Calibri" w:hAnsi="Calibri"/>
                <w:sz w:val="22"/>
                <w:szCs w:val="22"/>
                <w:lang w:val="es-ES_tradnl"/>
              </w:rPr>
              <w:t>3</w:t>
            </w:r>
          </w:p>
        </w:tc>
        <w:tc>
          <w:tcPr>
            <w:tcW w:w="810" w:type="dxa"/>
            <w:tcBorders>
              <w:top w:val="nil"/>
              <w:left w:val="nil"/>
              <w:bottom w:val="single" w:sz="4" w:space="0" w:color="BFBFBF"/>
              <w:right w:val="single" w:sz="4" w:space="0" w:color="auto"/>
            </w:tcBorders>
            <w:vAlign w:val="center"/>
          </w:tcPr>
          <w:p w:rsidR="009571FA" w:rsidRPr="00E84EFE" w:rsidRDefault="009571FA">
            <w:pPr>
              <w:jc w:val="center"/>
              <w:rPr>
                <w:rFonts w:ascii="Calibri" w:hAnsi="Calibri"/>
                <w:sz w:val="22"/>
                <w:lang w:val="es-ES_tradnl"/>
              </w:rPr>
            </w:pPr>
            <w:r w:rsidRPr="00E84EFE">
              <w:rPr>
                <w:rFonts w:ascii="Calibri" w:hAnsi="Calibri"/>
                <w:sz w:val="22"/>
                <w:szCs w:val="22"/>
                <w:lang w:val="es-ES_tradnl"/>
              </w:rPr>
              <w:t>30.0</w:t>
            </w:r>
          </w:p>
        </w:tc>
        <w:tc>
          <w:tcPr>
            <w:tcW w:w="805" w:type="dxa"/>
            <w:tcBorders>
              <w:top w:val="single" w:sz="4" w:space="0" w:color="auto"/>
              <w:left w:val="single" w:sz="4" w:space="0" w:color="auto"/>
              <w:bottom w:val="single" w:sz="4" w:space="0" w:color="BFBFBF"/>
              <w:right w:val="nil"/>
            </w:tcBorders>
            <w:vAlign w:val="center"/>
          </w:tcPr>
          <w:p w:rsidR="009571FA" w:rsidRPr="00E84EFE" w:rsidRDefault="009571FA">
            <w:pPr>
              <w:jc w:val="center"/>
              <w:rPr>
                <w:rFonts w:ascii="Calibri" w:hAnsi="Calibri"/>
                <w:sz w:val="22"/>
                <w:lang w:val="es-ES_tradnl"/>
              </w:rPr>
            </w:pPr>
            <w:r w:rsidRPr="00E84EFE">
              <w:rPr>
                <w:rFonts w:ascii="Calibri" w:hAnsi="Calibri"/>
                <w:sz w:val="22"/>
                <w:szCs w:val="22"/>
                <w:lang w:val="es-ES_tradnl"/>
              </w:rPr>
              <w:t>5</w:t>
            </w:r>
          </w:p>
        </w:tc>
        <w:tc>
          <w:tcPr>
            <w:tcW w:w="905" w:type="dxa"/>
            <w:tcBorders>
              <w:top w:val="single" w:sz="4" w:space="0" w:color="auto"/>
              <w:left w:val="nil"/>
              <w:bottom w:val="single" w:sz="4" w:space="0" w:color="BFBFBF"/>
              <w:right w:val="single" w:sz="4" w:space="0" w:color="auto"/>
            </w:tcBorders>
            <w:vAlign w:val="center"/>
          </w:tcPr>
          <w:p w:rsidR="009571FA" w:rsidRPr="00E84EFE" w:rsidRDefault="009571FA">
            <w:pPr>
              <w:jc w:val="center"/>
              <w:rPr>
                <w:rFonts w:ascii="Calibri" w:hAnsi="Calibri"/>
                <w:sz w:val="22"/>
                <w:lang w:val="es-ES_tradnl"/>
              </w:rPr>
            </w:pPr>
            <w:r w:rsidRPr="00E84EFE">
              <w:rPr>
                <w:rFonts w:ascii="Calibri" w:hAnsi="Calibri"/>
                <w:sz w:val="22"/>
                <w:szCs w:val="22"/>
                <w:lang w:val="es-ES_tradnl"/>
              </w:rPr>
              <w:t>50.0</w:t>
            </w:r>
          </w:p>
        </w:tc>
        <w:tc>
          <w:tcPr>
            <w:tcW w:w="669" w:type="dxa"/>
            <w:tcBorders>
              <w:top w:val="single" w:sz="4" w:space="0" w:color="auto"/>
              <w:left w:val="single" w:sz="4" w:space="0" w:color="auto"/>
              <w:bottom w:val="single" w:sz="4" w:space="0" w:color="BFBFBF"/>
              <w:right w:val="nil"/>
            </w:tcBorders>
            <w:vAlign w:val="center"/>
          </w:tcPr>
          <w:p w:rsidR="009571FA" w:rsidRPr="00E84EFE" w:rsidRDefault="009571FA">
            <w:pPr>
              <w:jc w:val="center"/>
              <w:rPr>
                <w:rFonts w:ascii="Calibri" w:hAnsi="Calibri"/>
                <w:sz w:val="22"/>
                <w:lang w:val="es-ES_tradnl"/>
              </w:rPr>
            </w:pPr>
            <w:r w:rsidRPr="00E84EFE">
              <w:rPr>
                <w:rFonts w:ascii="Calibri" w:hAnsi="Calibri"/>
                <w:sz w:val="22"/>
                <w:szCs w:val="22"/>
                <w:lang w:val="es-ES_tradnl"/>
              </w:rPr>
              <w:t>2</w:t>
            </w:r>
          </w:p>
        </w:tc>
        <w:tc>
          <w:tcPr>
            <w:tcW w:w="1114" w:type="dxa"/>
            <w:tcBorders>
              <w:top w:val="single" w:sz="4" w:space="0" w:color="auto"/>
              <w:left w:val="nil"/>
              <w:bottom w:val="single" w:sz="4" w:space="0" w:color="BFBFBF"/>
              <w:right w:val="single" w:sz="4" w:space="0" w:color="auto"/>
            </w:tcBorders>
            <w:vAlign w:val="center"/>
          </w:tcPr>
          <w:p w:rsidR="009571FA" w:rsidRPr="00E84EFE" w:rsidRDefault="009571FA">
            <w:pPr>
              <w:jc w:val="center"/>
              <w:rPr>
                <w:rFonts w:ascii="Calibri" w:hAnsi="Calibri"/>
                <w:sz w:val="22"/>
                <w:lang w:val="es-ES_tradnl"/>
              </w:rPr>
            </w:pPr>
            <w:r w:rsidRPr="00E84EFE">
              <w:rPr>
                <w:rFonts w:ascii="Calibri" w:hAnsi="Calibri"/>
                <w:sz w:val="22"/>
                <w:szCs w:val="22"/>
                <w:lang w:val="es-ES_tradnl"/>
              </w:rPr>
              <w:t>20.0</w:t>
            </w:r>
          </w:p>
        </w:tc>
      </w:tr>
      <w:tr w:rsidR="009571FA" w:rsidTr="00470888">
        <w:trPr>
          <w:trHeight w:val="312"/>
          <w:jc w:val="center"/>
        </w:trPr>
        <w:tc>
          <w:tcPr>
            <w:tcW w:w="2233" w:type="dxa"/>
            <w:tcBorders>
              <w:top w:val="single" w:sz="4" w:space="0" w:color="BFBFBF"/>
              <w:left w:val="single" w:sz="4" w:space="0" w:color="auto"/>
              <w:bottom w:val="single" w:sz="4" w:space="0" w:color="BFBFBF"/>
              <w:right w:val="single" w:sz="4" w:space="0" w:color="auto"/>
            </w:tcBorders>
            <w:tcMar>
              <w:top w:w="0" w:type="dxa"/>
              <w:left w:w="28" w:type="dxa"/>
              <w:bottom w:w="0" w:type="dxa"/>
              <w:right w:w="28" w:type="dxa"/>
            </w:tcMar>
            <w:vAlign w:val="center"/>
          </w:tcPr>
          <w:p w:rsidR="009571FA" w:rsidRPr="00E84EFE" w:rsidRDefault="009571FA">
            <w:pPr>
              <w:tabs>
                <w:tab w:val="left" w:pos="253"/>
              </w:tabs>
              <w:rPr>
                <w:rFonts w:ascii="Calibri" w:hAnsi="Calibri"/>
                <w:sz w:val="22"/>
                <w:lang w:val="es-ES_tradnl"/>
              </w:rPr>
            </w:pPr>
            <w:r w:rsidRPr="00E84EFE">
              <w:rPr>
                <w:rFonts w:ascii="Calibri" w:hAnsi="Calibri"/>
                <w:sz w:val="22"/>
                <w:szCs w:val="22"/>
                <w:lang w:val="es-ES_tradnl"/>
              </w:rPr>
              <w:tab/>
              <w:t>P</w:t>
            </w:r>
          </w:p>
        </w:tc>
        <w:tc>
          <w:tcPr>
            <w:tcW w:w="567" w:type="dxa"/>
            <w:tcBorders>
              <w:top w:val="single" w:sz="4" w:space="0" w:color="BFBFBF"/>
              <w:left w:val="single" w:sz="4" w:space="0" w:color="auto"/>
              <w:bottom w:val="single" w:sz="4" w:space="0" w:color="BFBFBF"/>
              <w:right w:val="single" w:sz="4" w:space="0" w:color="auto"/>
            </w:tcBorders>
            <w:vAlign w:val="center"/>
          </w:tcPr>
          <w:p w:rsidR="009571FA" w:rsidRPr="00E84EFE" w:rsidRDefault="009571FA">
            <w:pPr>
              <w:tabs>
                <w:tab w:val="left" w:pos="253"/>
              </w:tabs>
              <w:jc w:val="center"/>
              <w:rPr>
                <w:rFonts w:ascii="Calibri" w:hAnsi="Calibri"/>
                <w:sz w:val="22"/>
                <w:lang w:val="es-ES_tradnl"/>
              </w:rPr>
            </w:pPr>
            <w:r w:rsidRPr="00E84EFE">
              <w:rPr>
                <w:rFonts w:ascii="Calibri" w:hAnsi="Calibri"/>
                <w:sz w:val="22"/>
                <w:szCs w:val="22"/>
                <w:lang w:val="es-ES_tradnl"/>
              </w:rPr>
              <w:t>261</w:t>
            </w:r>
          </w:p>
        </w:tc>
        <w:tc>
          <w:tcPr>
            <w:tcW w:w="603" w:type="dxa"/>
            <w:tcBorders>
              <w:top w:val="single" w:sz="4" w:space="0" w:color="BFBFBF"/>
              <w:left w:val="single" w:sz="4" w:space="0" w:color="auto"/>
              <w:bottom w:val="single" w:sz="4" w:space="0" w:color="BFBFBF"/>
              <w:right w:val="nil"/>
            </w:tcBorders>
            <w:vAlign w:val="center"/>
          </w:tcPr>
          <w:p w:rsidR="009571FA" w:rsidRPr="00E84EFE" w:rsidRDefault="009571FA">
            <w:pPr>
              <w:jc w:val="center"/>
              <w:rPr>
                <w:rFonts w:ascii="Calibri" w:hAnsi="Calibri"/>
                <w:sz w:val="22"/>
                <w:lang w:val="es-ES_tradnl"/>
              </w:rPr>
            </w:pPr>
            <w:r w:rsidRPr="00E84EFE">
              <w:rPr>
                <w:rFonts w:ascii="Calibri" w:hAnsi="Calibri"/>
                <w:sz w:val="22"/>
                <w:szCs w:val="22"/>
                <w:lang w:val="es-ES_tradnl"/>
              </w:rPr>
              <w:t>128</w:t>
            </w:r>
          </w:p>
        </w:tc>
        <w:tc>
          <w:tcPr>
            <w:tcW w:w="810" w:type="dxa"/>
            <w:tcBorders>
              <w:top w:val="single" w:sz="4" w:space="0" w:color="BFBFBF"/>
              <w:left w:val="nil"/>
              <w:bottom w:val="single" w:sz="4" w:space="0" w:color="BFBFBF"/>
              <w:right w:val="single" w:sz="4" w:space="0" w:color="auto"/>
            </w:tcBorders>
            <w:vAlign w:val="center"/>
          </w:tcPr>
          <w:p w:rsidR="009571FA" w:rsidRPr="00E84EFE" w:rsidRDefault="009571FA">
            <w:pPr>
              <w:jc w:val="center"/>
              <w:rPr>
                <w:rFonts w:ascii="Calibri" w:hAnsi="Calibri"/>
                <w:sz w:val="22"/>
                <w:lang w:val="es-ES_tradnl"/>
              </w:rPr>
            </w:pPr>
            <w:r w:rsidRPr="00E84EFE">
              <w:rPr>
                <w:rFonts w:ascii="Calibri" w:hAnsi="Calibri"/>
                <w:sz w:val="22"/>
                <w:szCs w:val="22"/>
                <w:lang w:val="es-ES_tradnl"/>
              </w:rPr>
              <w:t>49.0</w:t>
            </w:r>
          </w:p>
        </w:tc>
        <w:tc>
          <w:tcPr>
            <w:tcW w:w="805" w:type="dxa"/>
            <w:tcBorders>
              <w:top w:val="single" w:sz="4" w:space="0" w:color="BFBFBF"/>
              <w:left w:val="single" w:sz="4" w:space="0" w:color="auto"/>
              <w:bottom w:val="single" w:sz="4" w:space="0" w:color="BFBFBF"/>
              <w:right w:val="nil"/>
            </w:tcBorders>
            <w:vAlign w:val="center"/>
          </w:tcPr>
          <w:p w:rsidR="009571FA" w:rsidRPr="00E84EFE" w:rsidRDefault="009571FA">
            <w:pPr>
              <w:jc w:val="center"/>
              <w:rPr>
                <w:rFonts w:ascii="Calibri" w:hAnsi="Calibri"/>
                <w:sz w:val="22"/>
                <w:lang w:val="es-ES_tradnl"/>
              </w:rPr>
            </w:pPr>
            <w:r w:rsidRPr="00E84EFE">
              <w:rPr>
                <w:rFonts w:ascii="Calibri" w:hAnsi="Calibri"/>
                <w:sz w:val="22"/>
                <w:szCs w:val="22"/>
                <w:lang w:val="es-ES_tradnl"/>
              </w:rPr>
              <w:t>81</w:t>
            </w:r>
          </w:p>
        </w:tc>
        <w:tc>
          <w:tcPr>
            <w:tcW w:w="905" w:type="dxa"/>
            <w:tcBorders>
              <w:top w:val="single" w:sz="4" w:space="0" w:color="BFBFBF"/>
              <w:left w:val="nil"/>
              <w:bottom w:val="single" w:sz="4" w:space="0" w:color="BFBFBF"/>
              <w:right w:val="single" w:sz="4" w:space="0" w:color="auto"/>
            </w:tcBorders>
            <w:vAlign w:val="center"/>
          </w:tcPr>
          <w:p w:rsidR="009571FA" w:rsidRPr="00E84EFE" w:rsidRDefault="009571FA">
            <w:pPr>
              <w:jc w:val="center"/>
              <w:rPr>
                <w:rFonts w:ascii="Calibri" w:hAnsi="Calibri"/>
                <w:sz w:val="22"/>
                <w:lang w:val="es-ES_tradnl"/>
              </w:rPr>
            </w:pPr>
            <w:r w:rsidRPr="00E84EFE">
              <w:rPr>
                <w:rFonts w:ascii="Calibri" w:hAnsi="Calibri"/>
                <w:sz w:val="22"/>
                <w:szCs w:val="22"/>
                <w:lang w:val="es-ES_tradnl"/>
              </w:rPr>
              <w:t>31.0</w:t>
            </w:r>
          </w:p>
        </w:tc>
        <w:tc>
          <w:tcPr>
            <w:tcW w:w="669" w:type="dxa"/>
            <w:tcBorders>
              <w:top w:val="single" w:sz="4" w:space="0" w:color="BFBFBF"/>
              <w:left w:val="single" w:sz="4" w:space="0" w:color="auto"/>
              <w:bottom w:val="single" w:sz="4" w:space="0" w:color="BFBFBF"/>
              <w:right w:val="nil"/>
            </w:tcBorders>
            <w:vAlign w:val="center"/>
          </w:tcPr>
          <w:p w:rsidR="009571FA" w:rsidRPr="00E84EFE" w:rsidRDefault="009571FA">
            <w:pPr>
              <w:jc w:val="center"/>
              <w:rPr>
                <w:rFonts w:ascii="Calibri" w:hAnsi="Calibri"/>
                <w:sz w:val="22"/>
                <w:lang w:val="es-ES_tradnl"/>
              </w:rPr>
            </w:pPr>
            <w:r w:rsidRPr="00E84EFE">
              <w:rPr>
                <w:rFonts w:ascii="Calibri" w:hAnsi="Calibri"/>
                <w:sz w:val="22"/>
                <w:szCs w:val="22"/>
                <w:lang w:val="es-ES_tradnl"/>
              </w:rPr>
              <w:t>52</w:t>
            </w:r>
          </w:p>
        </w:tc>
        <w:tc>
          <w:tcPr>
            <w:tcW w:w="1114" w:type="dxa"/>
            <w:tcBorders>
              <w:top w:val="single" w:sz="4" w:space="0" w:color="BFBFBF"/>
              <w:left w:val="nil"/>
              <w:bottom w:val="single" w:sz="4" w:space="0" w:color="BFBFBF"/>
              <w:right w:val="single" w:sz="4" w:space="0" w:color="auto"/>
            </w:tcBorders>
            <w:vAlign w:val="center"/>
          </w:tcPr>
          <w:p w:rsidR="009571FA" w:rsidRPr="00E84EFE" w:rsidRDefault="009571FA">
            <w:pPr>
              <w:jc w:val="center"/>
              <w:rPr>
                <w:rFonts w:ascii="Calibri" w:hAnsi="Calibri"/>
                <w:sz w:val="22"/>
                <w:lang w:val="es-ES_tradnl"/>
              </w:rPr>
            </w:pPr>
            <w:r w:rsidRPr="00E84EFE">
              <w:rPr>
                <w:rFonts w:ascii="Calibri" w:hAnsi="Calibri"/>
                <w:sz w:val="22"/>
                <w:szCs w:val="22"/>
                <w:lang w:val="es-ES_tradnl"/>
              </w:rPr>
              <w:t>19.9</w:t>
            </w:r>
          </w:p>
        </w:tc>
      </w:tr>
      <w:tr w:rsidR="009571FA" w:rsidTr="00470888">
        <w:trPr>
          <w:trHeight w:val="312"/>
          <w:jc w:val="center"/>
        </w:trPr>
        <w:tc>
          <w:tcPr>
            <w:tcW w:w="2233" w:type="dxa"/>
            <w:tcBorders>
              <w:top w:val="single" w:sz="4" w:space="0" w:color="BFBFBF"/>
              <w:left w:val="single" w:sz="4" w:space="0" w:color="auto"/>
              <w:bottom w:val="single" w:sz="4" w:space="0" w:color="BFBFBF"/>
              <w:right w:val="single" w:sz="4" w:space="0" w:color="auto"/>
            </w:tcBorders>
            <w:tcMar>
              <w:top w:w="0" w:type="dxa"/>
              <w:left w:w="28" w:type="dxa"/>
              <w:bottom w:w="0" w:type="dxa"/>
              <w:right w:w="28" w:type="dxa"/>
            </w:tcMar>
            <w:vAlign w:val="center"/>
          </w:tcPr>
          <w:p w:rsidR="009571FA" w:rsidRPr="00E84EFE" w:rsidRDefault="009571FA">
            <w:pPr>
              <w:tabs>
                <w:tab w:val="left" w:pos="253"/>
              </w:tabs>
              <w:rPr>
                <w:rFonts w:ascii="Calibri" w:hAnsi="Calibri"/>
                <w:sz w:val="22"/>
                <w:lang w:val="es-ES_tradnl"/>
              </w:rPr>
            </w:pPr>
            <w:r w:rsidRPr="00E84EFE">
              <w:rPr>
                <w:rFonts w:ascii="Calibri" w:hAnsi="Calibri"/>
                <w:sz w:val="22"/>
                <w:szCs w:val="22"/>
                <w:lang w:val="es-ES_tradnl"/>
              </w:rPr>
              <w:tab/>
              <w:t>G</w:t>
            </w:r>
          </w:p>
        </w:tc>
        <w:tc>
          <w:tcPr>
            <w:tcW w:w="567" w:type="dxa"/>
            <w:tcBorders>
              <w:top w:val="single" w:sz="4" w:space="0" w:color="BFBFBF"/>
              <w:left w:val="single" w:sz="4" w:space="0" w:color="auto"/>
              <w:bottom w:val="single" w:sz="4" w:space="0" w:color="BFBFBF"/>
              <w:right w:val="single" w:sz="4" w:space="0" w:color="auto"/>
            </w:tcBorders>
            <w:vAlign w:val="center"/>
          </w:tcPr>
          <w:p w:rsidR="009571FA" w:rsidRPr="00E84EFE" w:rsidRDefault="009571FA">
            <w:pPr>
              <w:tabs>
                <w:tab w:val="left" w:pos="253"/>
              </w:tabs>
              <w:jc w:val="center"/>
              <w:rPr>
                <w:rFonts w:ascii="Calibri" w:hAnsi="Calibri"/>
                <w:sz w:val="22"/>
                <w:lang w:val="es-ES_tradnl"/>
              </w:rPr>
            </w:pPr>
            <w:r w:rsidRPr="00E84EFE">
              <w:rPr>
                <w:rFonts w:ascii="Calibri" w:hAnsi="Calibri"/>
                <w:sz w:val="22"/>
                <w:szCs w:val="22"/>
                <w:lang w:val="es-ES_tradnl"/>
              </w:rPr>
              <w:t>104</w:t>
            </w:r>
          </w:p>
        </w:tc>
        <w:tc>
          <w:tcPr>
            <w:tcW w:w="603" w:type="dxa"/>
            <w:tcBorders>
              <w:top w:val="single" w:sz="4" w:space="0" w:color="BFBFBF"/>
              <w:left w:val="single" w:sz="4" w:space="0" w:color="auto"/>
              <w:bottom w:val="single" w:sz="4" w:space="0" w:color="BFBFBF"/>
              <w:right w:val="nil"/>
            </w:tcBorders>
            <w:vAlign w:val="center"/>
          </w:tcPr>
          <w:p w:rsidR="009571FA" w:rsidRPr="00E84EFE" w:rsidRDefault="009571FA">
            <w:pPr>
              <w:jc w:val="center"/>
              <w:rPr>
                <w:rFonts w:ascii="Calibri" w:hAnsi="Calibri"/>
                <w:sz w:val="22"/>
                <w:lang w:val="es-ES_tradnl"/>
              </w:rPr>
            </w:pPr>
            <w:r w:rsidRPr="00E84EFE">
              <w:rPr>
                <w:rFonts w:ascii="Calibri" w:hAnsi="Calibri"/>
                <w:sz w:val="22"/>
                <w:szCs w:val="22"/>
                <w:lang w:val="es-ES_tradnl"/>
              </w:rPr>
              <w:t>83</w:t>
            </w:r>
          </w:p>
        </w:tc>
        <w:tc>
          <w:tcPr>
            <w:tcW w:w="810" w:type="dxa"/>
            <w:tcBorders>
              <w:top w:val="single" w:sz="4" w:space="0" w:color="BFBFBF"/>
              <w:left w:val="nil"/>
              <w:bottom w:val="single" w:sz="4" w:space="0" w:color="BFBFBF"/>
              <w:right w:val="single" w:sz="4" w:space="0" w:color="auto"/>
            </w:tcBorders>
            <w:vAlign w:val="center"/>
          </w:tcPr>
          <w:p w:rsidR="009571FA" w:rsidRPr="00E84EFE" w:rsidRDefault="009571FA">
            <w:pPr>
              <w:jc w:val="center"/>
              <w:rPr>
                <w:rFonts w:ascii="Calibri" w:hAnsi="Calibri"/>
                <w:sz w:val="22"/>
                <w:lang w:val="es-ES_tradnl"/>
              </w:rPr>
            </w:pPr>
            <w:r w:rsidRPr="00E84EFE">
              <w:rPr>
                <w:rFonts w:ascii="Calibri" w:hAnsi="Calibri"/>
                <w:sz w:val="22"/>
                <w:szCs w:val="22"/>
                <w:lang w:val="es-ES_tradnl"/>
              </w:rPr>
              <w:t>79.8</w:t>
            </w:r>
          </w:p>
        </w:tc>
        <w:tc>
          <w:tcPr>
            <w:tcW w:w="805" w:type="dxa"/>
            <w:tcBorders>
              <w:top w:val="single" w:sz="4" w:space="0" w:color="BFBFBF"/>
              <w:left w:val="single" w:sz="4" w:space="0" w:color="auto"/>
              <w:bottom w:val="single" w:sz="4" w:space="0" w:color="BFBFBF"/>
              <w:right w:val="nil"/>
            </w:tcBorders>
            <w:vAlign w:val="center"/>
          </w:tcPr>
          <w:p w:rsidR="009571FA" w:rsidRPr="00E84EFE" w:rsidRDefault="009571FA">
            <w:pPr>
              <w:jc w:val="center"/>
              <w:rPr>
                <w:rFonts w:ascii="Calibri" w:hAnsi="Calibri"/>
                <w:sz w:val="22"/>
                <w:lang w:val="es-ES_tradnl"/>
              </w:rPr>
            </w:pPr>
            <w:r w:rsidRPr="00E84EFE">
              <w:rPr>
                <w:rFonts w:ascii="Calibri" w:hAnsi="Calibri"/>
                <w:sz w:val="22"/>
                <w:szCs w:val="22"/>
                <w:lang w:val="es-ES_tradnl"/>
              </w:rPr>
              <w:t>17</w:t>
            </w:r>
          </w:p>
        </w:tc>
        <w:tc>
          <w:tcPr>
            <w:tcW w:w="905" w:type="dxa"/>
            <w:tcBorders>
              <w:top w:val="single" w:sz="4" w:space="0" w:color="BFBFBF"/>
              <w:left w:val="nil"/>
              <w:bottom w:val="single" w:sz="4" w:space="0" w:color="BFBFBF"/>
              <w:right w:val="single" w:sz="4" w:space="0" w:color="auto"/>
            </w:tcBorders>
            <w:vAlign w:val="center"/>
          </w:tcPr>
          <w:p w:rsidR="009571FA" w:rsidRPr="00E84EFE" w:rsidRDefault="009571FA">
            <w:pPr>
              <w:jc w:val="center"/>
              <w:rPr>
                <w:rFonts w:ascii="Calibri" w:hAnsi="Calibri"/>
                <w:sz w:val="22"/>
                <w:lang w:val="es-ES_tradnl"/>
              </w:rPr>
            </w:pPr>
            <w:r w:rsidRPr="00E84EFE">
              <w:rPr>
                <w:rFonts w:ascii="Calibri" w:hAnsi="Calibri"/>
                <w:sz w:val="22"/>
                <w:szCs w:val="22"/>
                <w:lang w:val="es-ES_tradnl"/>
              </w:rPr>
              <w:t>16.3</w:t>
            </w:r>
          </w:p>
        </w:tc>
        <w:tc>
          <w:tcPr>
            <w:tcW w:w="669" w:type="dxa"/>
            <w:tcBorders>
              <w:top w:val="single" w:sz="4" w:space="0" w:color="BFBFBF"/>
              <w:left w:val="single" w:sz="4" w:space="0" w:color="auto"/>
              <w:bottom w:val="single" w:sz="4" w:space="0" w:color="BFBFBF"/>
              <w:right w:val="nil"/>
            </w:tcBorders>
            <w:vAlign w:val="center"/>
          </w:tcPr>
          <w:p w:rsidR="009571FA" w:rsidRPr="00E84EFE" w:rsidRDefault="009571FA">
            <w:pPr>
              <w:jc w:val="center"/>
              <w:rPr>
                <w:rFonts w:ascii="Calibri" w:hAnsi="Calibri"/>
                <w:sz w:val="22"/>
                <w:lang w:val="es-ES_tradnl"/>
              </w:rPr>
            </w:pPr>
            <w:r w:rsidRPr="00E84EFE">
              <w:rPr>
                <w:rFonts w:ascii="Calibri" w:hAnsi="Calibri"/>
                <w:sz w:val="22"/>
                <w:szCs w:val="22"/>
                <w:lang w:val="es-ES_tradnl"/>
              </w:rPr>
              <w:t>4</w:t>
            </w:r>
          </w:p>
        </w:tc>
        <w:tc>
          <w:tcPr>
            <w:tcW w:w="1114" w:type="dxa"/>
            <w:tcBorders>
              <w:top w:val="single" w:sz="4" w:space="0" w:color="BFBFBF"/>
              <w:left w:val="nil"/>
              <w:bottom w:val="single" w:sz="4" w:space="0" w:color="BFBFBF"/>
              <w:right w:val="single" w:sz="4" w:space="0" w:color="auto"/>
            </w:tcBorders>
            <w:vAlign w:val="center"/>
          </w:tcPr>
          <w:p w:rsidR="009571FA" w:rsidRPr="00E84EFE" w:rsidRDefault="009571FA">
            <w:pPr>
              <w:jc w:val="center"/>
              <w:rPr>
                <w:rFonts w:ascii="Calibri" w:hAnsi="Calibri"/>
                <w:sz w:val="22"/>
                <w:lang w:val="es-ES_tradnl"/>
              </w:rPr>
            </w:pPr>
            <w:r w:rsidRPr="00E84EFE">
              <w:rPr>
                <w:rFonts w:ascii="Calibri" w:hAnsi="Calibri"/>
                <w:sz w:val="22"/>
                <w:szCs w:val="22"/>
                <w:lang w:val="es-ES_tradnl"/>
              </w:rPr>
              <w:t>3.9</w:t>
            </w:r>
          </w:p>
        </w:tc>
      </w:tr>
      <w:tr w:rsidR="009571FA" w:rsidTr="00470888">
        <w:trPr>
          <w:trHeight w:val="312"/>
          <w:jc w:val="center"/>
        </w:trPr>
        <w:tc>
          <w:tcPr>
            <w:tcW w:w="2233" w:type="dxa"/>
            <w:tcBorders>
              <w:top w:val="single" w:sz="4" w:space="0" w:color="BFBFBF"/>
              <w:left w:val="single" w:sz="4" w:space="0" w:color="auto"/>
              <w:bottom w:val="single" w:sz="4" w:space="0" w:color="auto"/>
              <w:right w:val="single" w:sz="4" w:space="0" w:color="auto"/>
            </w:tcBorders>
            <w:tcMar>
              <w:top w:w="0" w:type="dxa"/>
              <w:left w:w="28" w:type="dxa"/>
              <w:bottom w:w="0" w:type="dxa"/>
              <w:right w:w="28" w:type="dxa"/>
            </w:tcMar>
            <w:vAlign w:val="center"/>
          </w:tcPr>
          <w:p w:rsidR="009571FA" w:rsidRPr="00E84EFE" w:rsidRDefault="009571FA">
            <w:pPr>
              <w:tabs>
                <w:tab w:val="left" w:pos="253"/>
              </w:tabs>
              <w:rPr>
                <w:rFonts w:ascii="Calibri" w:hAnsi="Calibri"/>
                <w:sz w:val="22"/>
                <w:lang w:val="es-ES_tradnl"/>
              </w:rPr>
            </w:pPr>
            <w:r w:rsidRPr="00E84EFE">
              <w:rPr>
                <w:rFonts w:ascii="Calibri" w:hAnsi="Calibri"/>
                <w:sz w:val="22"/>
                <w:szCs w:val="22"/>
                <w:lang w:val="es-ES_tradnl"/>
              </w:rPr>
              <w:tab/>
              <w:t>Other</w:t>
            </w:r>
          </w:p>
        </w:tc>
        <w:tc>
          <w:tcPr>
            <w:tcW w:w="567" w:type="dxa"/>
            <w:tcBorders>
              <w:top w:val="single" w:sz="4" w:space="0" w:color="BFBFBF"/>
              <w:left w:val="single" w:sz="4" w:space="0" w:color="auto"/>
              <w:bottom w:val="single" w:sz="4" w:space="0" w:color="auto"/>
              <w:right w:val="single" w:sz="4" w:space="0" w:color="auto"/>
            </w:tcBorders>
            <w:vAlign w:val="center"/>
          </w:tcPr>
          <w:p w:rsidR="009571FA" w:rsidRPr="00E84EFE" w:rsidRDefault="009571FA">
            <w:pPr>
              <w:tabs>
                <w:tab w:val="left" w:pos="253"/>
              </w:tabs>
              <w:jc w:val="center"/>
              <w:rPr>
                <w:rFonts w:ascii="Calibri" w:hAnsi="Calibri"/>
                <w:sz w:val="22"/>
                <w:lang w:val="es-ES_tradnl"/>
              </w:rPr>
            </w:pPr>
            <w:r w:rsidRPr="00E84EFE">
              <w:rPr>
                <w:rFonts w:ascii="Calibri" w:hAnsi="Calibri"/>
                <w:sz w:val="22"/>
                <w:szCs w:val="22"/>
                <w:lang w:val="es-ES_tradnl"/>
              </w:rPr>
              <w:t>14</w:t>
            </w:r>
          </w:p>
        </w:tc>
        <w:tc>
          <w:tcPr>
            <w:tcW w:w="603" w:type="dxa"/>
            <w:tcBorders>
              <w:top w:val="single" w:sz="4" w:space="0" w:color="BFBFBF"/>
              <w:left w:val="single" w:sz="4" w:space="0" w:color="auto"/>
              <w:bottom w:val="single" w:sz="4" w:space="0" w:color="auto"/>
              <w:right w:val="nil"/>
            </w:tcBorders>
            <w:vAlign w:val="center"/>
          </w:tcPr>
          <w:p w:rsidR="009571FA" w:rsidRPr="00E84EFE" w:rsidRDefault="009571FA">
            <w:pPr>
              <w:jc w:val="center"/>
              <w:rPr>
                <w:rFonts w:ascii="Calibri" w:hAnsi="Calibri"/>
                <w:sz w:val="22"/>
                <w:lang w:val="es-ES_tradnl"/>
              </w:rPr>
            </w:pPr>
            <w:r w:rsidRPr="00E84EFE">
              <w:rPr>
                <w:rFonts w:ascii="Calibri" w:hAnsi="Calibri"/>
                <w:sz w:val="22"/>
                <w:szCs w:val="22"/>
                <w:lang w:val="es-ES_tradnl"/>
              </w:rPr>
              <w:t>8</w:t>
            </w:r>
          </w:p>
        </w:tc>
        <w:tc>
          <w:tcPr>
            <w:tcW w:w="810" w:type="dxa"/>
            <w:tcBorders>
              <w:top w:val="single" w:sz="4" w:space="0" w:color="BFBFBF"/>
              <w:left w:val="nil"/>
              <w:bottom w:val="single" w:sz="4" w:space="0" w:color="auto"/>
              <w:right w:val="single" w:sz="4" w:space="0" w:color="auto"/>
            </w:tcBorders>
            <w:vAlign w:val="center"/>
          </w:tcPr>
          <w:p w:rsidR="009571FA" w:rsidRPr="00E84EFE" w:rsidRDefault="009571FA">
            <w:pPr>
              <w:jc w:val="center"/>
              <w:rPr>
                <w:rFonts w:ascii="Calibri" w:hAnsi="Calibri"/>
                <w:sz w:val="22"/>
                <w:lang w:val="es-ES_tradnl"/>
              </w:rPr>
            </w:pPr>
            <w:r w:rsidRPr="00E84EFE">
              <w:rPr>
                <w:rFonts w:ascii="Calibri" w:hAnsi="Calibri"/>
                <w:sz w:val="22"/>
                <w:szCs w:val="22"/>
                <w:lang w:val="es-ES_tradnl"/>
              </w:rPr>
              <w:t>57.1</w:t>
            </w:r>
          </w:p>
        </w:tc>
        <w:tc>
          <w:tcPr>
            <w:tcW w:w="805" w:type="dxa"/>
            <w:tcBorders>
              <w:top w:val="single" w:sz="4" w:space="0" w:color="BFBFBF"/>
              <w:left w:val="single" w:sz="4" w:space="0" w:color="auto"/>
              <w:bottom w:val="single" w:sz="4" w:space="0" w:color="auto"/>
              <w:right w:val="nil"/>
            </w:tcBorders>
            <w:vAlign w:val="center"/>
          </w:tcPr>
          <w:p w:rsidR="009571FA" w:rsidRPr="00E84EFE" w:rsidRDefault="009571FA">
            <w:pPr>
              <w:jc w:val="center"/>
              <w:rPr>
                <w:rFonts w:ascii="Calibri" w:hAnsi="Calibri"/>
                <w:sz w:val="22"/>
                <w:lang w:val="es-ES_tradnl"/>
              </w:rPr>
            </w:pPr>
            <w:r w:rsidRPr="00E84EFE">
              <w:rPr>
                <w:rFonts w:ascii="Calibri" w:hAnsi="Calibri"/>
                <w:sz w:val="22"/>
                <w:szCs w:val="22"/>
                <w:lang w:val="es-ES_tradnl"/>
              </w:rPr>
              <w:t>4</w:t>
            </w:r>
          </w:p>
        </w:tc>
        <w:tc>
          <w:tcPr>
            <w:tcW w:w="905" w:type="dxa"/>
            <w:tcBorders>
              <w:top w:val="single" w:sz="4" w:space="0" w:color="BFBFBF"/>
              <w:left w:val="nil"/>
              <w:bottom w:val="single" w:sz="4" w:space="0" w:color="auto"/>
              <w:right w:val="single" w:sz="4" w:space="0" w:color="auto"/>
            </w:tcBorders>
            <w:vAlign w:val="center"/>
          </w:tcPr>
          <w:p w:rsidR="009571FA" w:rsidRPr="00E84EFE" w:rsidRDefault="009571FA">
            <w:pPr>
              <w:jc w:val="center"/>
              <w:rPr>
                <w:rFonts w:ascii="Calibri" w:hAnsi="Calibri"/>
                <w:sz w:val="22"/>
                <w:lang w:val="es-ES_tradnl"/>
              </w:rPr>
            </w:pPr>
            <w:r w:rsidRPr="00E84EFE">
              <w:rPr>
                <w:rFonts w:ascii="Calibri" w:hAnsi="Calibri"/>
                <w:sz w:val="22"/>
                <w:szCs w:val="22"/>
                <w:lang w:val="es-ES_tradnl"/>
              </w:rPr>
              <w:t>28.6</w:t>
            </w:r>
          </w:p>
        </w:tc>
        <w:tc>
          <w:tcPr>
            <w:tcW w:w="669" w:type="dxa"/>
            <w:tcBorders>
              <w:top w:val="single" w:sz="4" w:space="0" w:color="BFBFBF"/>
              <w:left w:val="single" w:sz="4" w:space="0" w:color="auto"/>
              <w:bottom w:val="single" w:sz="4" w:space="0" w:color="auto"/>
              <w:right w:val="nil"/>
            </w:tcBorders>
            <w:vAlign w:val="center"/>
          </w:tcPr>
          <w:p w:rsidR="009571FA" w:rsidRPr="00E84EFE" w:rsidRDefault="009571FA">
            <w:pPr>
              <w:jc w:val="center"/>
              <w:rPr>
                <w:rFonts w:ascii="Calibri" w:hAnsi="Calibri"/>
                <w:sz w:val="22"/>
                <w:lang w:val="es-ES_tradnl"/>
              </w:rPr>
            </w:pPr>
            <w:r w:rsidRPr="00E84EFE">
              <w:rPr>
                <w:rFonts w:ascii="Calibri" w:hAnsi="Calibri"/>
                <w:sz w:val="22"/>
                <w:szCs w:val="22"/>
                <w:lang w:val="es-ES_tradnl"/>
              </w:rPr>
              <w:t>2</w:t>
            </w:r>
          </w:p>
        </w:tc>
        <w:tc>
          <w:tcPr>
            <w:tcW w:w="1114" w:type="dxa"/>
            <w:tcBorders>
              <w:top w:val="single" w:sz="4" w:space="0" w:color="BFBFBF"/>
              <w:left w:val="nil"/>
              <w:bottom w:val="single" w:sz="4" w:space="0" w:color="auto"/>
              <w:right w:val="single" w:sz="4" w:space="0" w:color="auto"/>
            </w:tcBorders>
            <w:vAlign w:val="center"/>
          </w:tcPr>
          <w:p w:rsidR="009571FA" w:rsidRPr="00E84EFE" w:rsidRDefault="009571FA">
            <w:pPr>
              <w:jc w:val="center"/>
              <w:rPr>
                <w:rFonts w:ascii="Calibri" w:hAnsi="Calibri"/>
                <w:sz w:val="22"/>
                <w:lang w:val="es-ES_tradnl"/>
              </w:rPr>
            </w:pPr>
            <w:r w:rsidRPr="00E84EFE">
              <w:rPr>
                <w:rFonts w:ascii="Calibri" w:hAnsi="Calibri"/>
                <w:sz w:val="22"/>
                <w:szCs w:val="22"/>
                <w:lang w:val="es-ES_tradnl"/>
              </w:rPr>
              <w:t>14.3</w:t>
            </w:r>
          </w:p>
        </w:tc>
      </w:tr>
      <w:tr w:rsidR="009571FA" w:rsidTr="004538C3">
        <w:trPr>
          <w:trHeight w:val="312"/>
          <w:jc w:val="center"/>
        </w:trPr>
        <w:tc>
          <w:tcPr>
            <w:tcW w:w="2233" w:type="dxa"/>
            <w:tcBorders>
              <w:top w:val="nil"/>
              <w:left w:val="single" w:sz="4" w:space="0" w:color="auto"/>
              <w:bottom w:val="nil"/>
              <w:right w:val="single" w:sz="4" w:space="0" w:color="auto"/>
            </w:tcBorders>
            <w:tcMar>
              <w:top w:w="0" w:type="dxa"/>
              <w:left w:w="28" w:type="dxa"/>
              <w:bottom w:w="0" w:type="dxa"/>
              <w:right w:w="28" w:type="dxa"/>
            </w:tcMar>
            <w:vAlign w:val="center"/>
          </w:tcPr>
          <w:p w:rsidR="009571FA" w:rsidRPr="00E84EFE" w:rsidRDefault="009571FA">
            <w:pPr>
              <w:tabs>
                <w:tab w:val="left" w:pos="253"/>
              </w:tabs>
              <w:rPr>
                <w:rFonts w:ascii="Calibri" w:hAnsi="Calibri"/>
                <w:sz w:val="22"/>
                <w:lang w:val="es-ES_tradnl"/>
              </w:rPr>
            </w:pPr>
            <w:r w:rsidRPr="00E84EFE">
              <w:rPr>
                <w:rFonts w:ascii="Calibri" w:hAnsi="Calibri"/>
                <w:sz w:val="22"/>
                <w:szCs w:val="22"/>
                <w:lang w:val="es-ES_tradnl"/>
              </w:rPr>
              <w:t>p-value</w:t>
            </w:r>
          </w:p>
        </w:tc>
        <w:tc>
          <w:tcPr>
            <w:tcW w:w="567" w:type="dxa"/>
            <w:tcBorders>
              <w:top w:val="nil"/>
              <w:left w:val="single" w:sz="4" w:space="0" w:color="auto"/>
              <w:bottom w:val="nil"/>
              <w:right w:val="single" w:sz="4" w:space="0" w:color="auto"/>
            </w:tcBorders>
            <w:vAlign w:val="center"/>
          </w:tcPr>
          <w:p w:rsidR="009571FA" w:rsidRPr="00E84EFE" w:rsidRDefault="009571FA">
            <w:pPr>
              <w:tabs>
                <w:tab w:val="left" w:pos="253"/>
              </w:tabs>
              <w:jc w:val="center"/>
              <w:rPr>
                <w:rFonts w:ascii="Calibri" w:hAnsi="Calibri"/>
                <w:sz w:val="22"/>
                <w:lang w:val="es-ES_tradnl"/>
              </w:rPr>
            </w:pPr>
          </w:p>
        </w:tc>
        <w:tc>
          <w:tcPr>
            <w:tcW w:w="4906" w:type="dxa"/>
            <w:gridSpan w:val="6"/>
            <w:tcBorders>
              <w:top w:val="nil"/>
              <w:left w:val="single" w:sz="4" w:space="0" w:color="auto"/>
              <w:bottom w:val="nil"/>
              <w:right w:val="single" w:sz="4" w:space="0" w:color="auto"/>
            </w:tcBorders>
            <w:vAlign w:val="center"/>
          </w:tcPr>
          <w:p w:rsidR="009571FA" w:rsidRPr="00E84EFE" w:rsidRDefault="009571FA">
            <w:pPr>
              <w:jc w:val="center"/>
              <w:rPr>
                <w:rFonts w:ascii="Calibri" w:hAnsi="Calibri"/>
                <w:sz w:val="22"/>
                <w:lang w:val="es-ES_tradnl"/>
              </w:rPr>
            </w:pPr>
            <w:r w:rsidRPr="00E84EFE">
              <w:rPr>
                <w:rFonts w:ascii="Calibri" w:hAnsi="Calibri"/>
                <w:sz w:val="22"/>
                <w:szCs w:val="22"/>
                <w:lang w:val="es-ES_tradnl"/>
              </w:rPr>
              <w:t>&lt; 0.0001</w:t>
            </w:r>
          </w:p>
        </w:tc>
      </w:tr>
      <w:tr w:rsidR="009571FA" w:rsidTr="00DE555F">
        <w:trPr>
          <w:trHeight w:val="73"/>
          <w:jc w:val="center"/>
        </w:trPr>
        <w:tc>
          <w:tcPr>
            <w:tcW w:w="2233"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9571FA" w:rsidRPr="00DE555F" w:rsidRDefault="009571FA">
            <w:pPr>
              <w:tabs>
                <w:tab w:val="left" w:pos="253"/>
              </w:tabs>
              <w:rPr>
                <w:rFonts w:ascii="Calibri" w:hAnsi="Calibri"/>
                <w:sz w:val="2"/>
                <w:lang w:val="es-ES_tradnl"/>
              </w:rPr>
            </w:pPr>
          </w:p>
          <w:p w:rsidR="009571FA" w:rsidRPr="00DE555F" w:rsidRDefault="009571FA">
            <w:pPr>
              <w:tabs>
                <w:tab w:val="left" w:pos="253"/>
              </w:tabs>
              <w:rPr>
                <w:rFonts w:ascii="Calibri" w:hAnsi="Calibri"/>
                <w:sz w:val="2"/>
                <w:lang w:val="es-ES_tradnl"/>
              </w:rPr>
            </w:pPr>
          </w:p>
        </w:tc>
        <w:tc>
          <w:tcPr>
            <w:tcW w:w="567" w:type="dxa"/>
            <w:tcBorders>
              <w:top w:val="nil"/>
              <w:left w:val="single" w:sz="4" w:space="0" w:color="auto"/>
              <w:bottom w:val="single" w:sz="4" w:space="0" w:color="auto"/>
              <w:right w:val="single" w:sz="4" w:space="0" w:color="auto"/>
            </w:tcBorders>
            <w:vAlign w:val="center"/>
          </w:tcPr>
          <w:p w:rsidR="009571FA" w:rsidRPr="00DE555F" w:rsidRDefault="009571FA">
            <w:pPr>
              <w:tabs>
                <w:tab w:val="left" w:pos="253"/>
              </w:tabs>
              <w:jc w:val="center"/>
              <w:rPr>
                <w:rFonts w:ascii="Calibri" w:hAnsi="Calibri"/>
                <w:sz w:val="16"/>
                <w:lang w:val="es-ES_tradnl"/>
              </w:rPr>
            </w:pPr>
          </w:p>
        </w:tc>
        <w:tc>
          <w:tcPr>
            <w:tcW w:w="4906" w:type="dxa"/>
            <w:gridSpan w:val="6"/>
            <w:tcBorders>
              <w:top w:val="nil"/>
              <w:left w:val="single" w:sz="4" w:space="0" w:color="auto"/>
              <w:bottom w:val="single" w:sz="4" w:space="0" w:color="auto"/>
              <w:right w:val="single" w:sz="4" w:space="0" w:color="auto"/>
            </w:tcBorders>
            <w:vAlign w:val="center"/>
          </w:tcPr>
          <w:p w:rsidR="009571FA" w:rsidRPr="00DE555F" w:rsidRDefault="009571FA">
            <w:pPr>
              <w:jc w:val="center"/>
              <w:rPr>
                <w:rFonts w:ascii="Calibri" w:hAnsi="Calibri"/>
                <w:sz w:val="2"/>
                <w:lang w:val="es-ES_tradnl"/>
              </w:rPr>
            </w:pPr>
          </w:p>
        </w:tc>
      </w:tr>
    </w:tbl>
    <w:p w:rsidR="00DE30BA" w:rsidRDefault="00DE30BA" w:rsidP="00581596">
      <w:pPr>
        <w:numPr>
          <w:ilvl w:val="0"/>
          <w:numId w:val="61"/>
        </w:numPr>
        <w:jc w:val="both"/>
        <w:rPr>
          <w:i/>
          <w:color w:val="000000"/>
          <w:sz w:val="22"/>
        </w:rPr>
      </w:pPr>
      <w:r>
        <w:rPr>
          <w:i/>
          <w:color w:val="000000"/>
          <w:sz w:val="22"/>
        </w:rPr>
        <w:t>Differentials by sex and grade</w:t>
      </w:r>
    </w:p>
    <w:p w:rsidR="00DE30BA" w:rsidRPr="00DE30BA" w:rsidRDefault="00DE30BA" w:rsidP="00DE30BA">
      <w:pPr>
        <w:ind w:left="360"/>
        <w:jc w:val="both"/>
        <w:rPr>
          <w:i/>
          <w:color w:val="000000"/>
          <w:sz w:val="14"/>
        </w:rPr>
      </w:pPr>
    </w:p>
    <w:p w:rsidR="00DE30BA" w:rsidRPr="00DE30BA" w:rsidRDefault="00DE30BA" w:rsidP="00DE30BA">
      <w:pPr>
        <w:jc w:val="both"/>
        <w:rPr>
          <w:color w:val="000000"/>
          <w:sz w:val="22"/>
        </w:rPr>
      </w:pPr>
      <w:r w:rsidRPr="00DE30BA">
        <w:rPr>
          <w:color w:val="000000"/>
          <w:sz w:val="22"/>
        </w:rPr>
        <w:t xml:space="preserve">A higher proportion of men (53%) than women (36%) reportedly had received “some” to “good” institutional support for gender mainstreaming (Table 6), and the difference was statistically significant at the 0.004 level. Reported institutional support clearly varied with grade. </w:t>
      </w:r>
      <w:r w:rsidRPr="00DE30BA">
        <w:rPr>
          <w:b/>
          <w:color w:val="000000"/>
          <w:sz w:val="22"/>
        </w:rPr>
        <w:t>Seven</w:t>
      </w:r>
      <w:r w:rsidRPr="00DE30BA">
        <w:rPr>
          <w:color w:val="000000"/>
          <w:sz w:val="22"/>
        </w:rPr>
        <w:t xml:space="preserve"> out of ten directors,</w:t>
      </w:r>
      <w:r w:rsidRPr="00DE30BA">
        <w:rPr>
          <w:b/>
          <w:color w:val="000000"/>
          <w:sz w:val="22"/>
        </w:rPr>
        <w:t xml:space="preserve"> five</w:t>
      </w:r>
      <w:r w:rsidRPr="00DE30BA">
        <w:rPr>
          <w:color w:val="000000"/>
          <w:sz w:val="22"/>
        </w:rPr>
        <w:t xml:space="preserve"> of every ten professionals, and </w:t>
      </w:r>
      <w:r w:rsidRPr="00DE30BA">
        <w:rPr>
          <w:b/>
          <w:color w:val="000000"/>
          <w:sz w:val="22"/>
        </w:rPr>
        <w:t>two</w:t>
      </w:r>
      <w:r w:rsidRPr="00DE30BA">
        <w:rPr>
          <w:color w:val="000000"/>
          <w:sz w:val="22"/>
        </w:rPr>
        <w:t xml:space="preserve"> of every ten general service staff members reported having obtained “some” to “good” institutional support for gender mainstreaming. This difference was statistically significant at the 0.0001 level. It bears noting that the reporting of “good” support was five times higher among Ps than among Gs, further suggesting the existence of a corresponding institutional gap which was corroborated by the fact that the official PAHO guidelines for planning and monitoring the 2008-2009 BWP, excluded administrative entities from integrating crosscutting issues into their work (See SD3 findings, section 3.4 in this report). </w:t>
      </w:r>
    </w:p>
    <w:p w:rsidR="006B4CD0" w:rsidRPr="00DE30BA" w:rsidRDefault="006B4CD0" w:rsidP="00A82705">
      <w:pPr>
        <w:ind w:left="720"/>
        <w:rPr>
          <w:b/>
          <w:sz w:val="8"/>
        </w:rPr>
      </w:pPr>
    </w:p>
    <w:p w:rsidR="003E791B" w:rsidRPr="00E265C4" w:rsidRDefault="003E791B" w:rsidP="003E791B">
      <w:pPr>
        <w:ind w:left="720"/>
        <w:rPr>
          <w:b/>
          <w:color w:val="000000"/>
          <w:sz w:val="18"/>
        </w:rPr>
      </w:pPr>
    </w:p>
    <w:p w:rsidR="003E791B" w:rsidRDefault="003E791B" w:rsidP="00581596">
      <w:pPr>
        <w:numPr>
          <w:ilvl w:val="0"/>
          <w:numId w:val="8"/>
        </w:numPr>
        <w:rPr>
          <w:i/>
          <w:sz w:val="22"/>
        </w:rPr>
      </w:pPr>
      <w:r>
        <w:rPr>
          <w:i/>
          <w:sz w:val="22"/>
        </w:rPr>
        <w:t>Differentials by WHO Region</w:t>
      </w:r>
    </w:p>
    <w:p w:rsidR="003E791B" w:rsidRPr="00E265C4" w:rsidRDefault="003E791B" w:rsidP="003E791B">
      <w:pPr>
        <w:ind w:left="360"/>
        <w:rPr>
          <w:i/>
          <w:sz w:val="10"/>
        </w:rPr>
      </w:pPr>
    </w:p>
    <w:p w:rsidR="003E791B" w:rsidRDefault="003E791B" w:rsidP="003E791B">
      <w:pPr>
        <w:jc w:val="both"/>
        <w:rPr>
          <w:color w:val="000000"/>
          <w:sz w:val="22"/>
        </w:rPr>
      </w:pPr>
      <w:r>
        <w:rPr>
          <w:color w:val="000000"/>
          <w:sz w:val="22"/>
        </w:rPr>
        <w:t>PAHO exceeded the WHO average on percentage of staff reporting having received institutional support for gender mainstreaming. As Figure 5 indicates, PAHO with 43%, ranked first among all regions on this indicator, being followed by SEARO (39%) and EMRO (35%). This regional difference was statistically significant at the 0.0001 level.</w:t>
      </w:r>
    </w:p>
    <w:p w:rsidR="006B4CD0" w:rsidRDefault="006B4CD0" w:rsidP="00A82705">
      <w:pPr>
        <w:ind w:left="720"/>
        <w:rPr>
          <w:b/>
          <w:sz w:val="22"/>
        </w:rPr>
      </w:pPr>
    </w:p>
    <w:p w:rsidR="006B4CD0" w:rsidRDefault="006B4CD0" w:rsidP="00A82705">
      <w:pPr>
        <w:ind w:left="720"/>
        <w:rPr>
          <w:b/>
          <w:sz w:val="22"/>
        </w:rPr>
      </w:pPr>
    </w:p>
    <w:p w:rsidR="009571FA" w:rsidRDefault="009571FA" w:rsidP="00A82705">
      <w:pPr>
        <w:ind w:left="720"/>
        <w:rPr>
          <w:b/>
        </w:rPr>
      </w:pPr>
      <w:r w:rsidRPr="00F803F2">
        <w:rPr>
          <w:b/>
          <w:sz w:val="22"/>
        </w:rPr>
        <w:t>Figure 5.</w:t>
      </w:r>
      <w:r w:rsidRPr="00A447EE">
        <w:rPr>
          <w:sz w:val="22"/>
        </w:rPr>
        <w:t xml:space="preserve"> Percentage of WHO staff reporting some to good institutional support for gender integration into their work</w:t>
      </w:r>
      <w:r>
        <w:rPr>
          <w:sz w:val="22"/>
        </w:rPr>
        <w:t>, by WHO Region. 2008.</w:t>
      </w:r>
    </w:p>
    <w:p w:rsidR="009571FA" w:rsidRDefault="00BD4C31" w:rsidP="0073119B">
      <w:pPr>
        <w:jc w:val="center"/>
        <w:rPr>
          <w:b/>
        </w:rPr>
      </w:pPr>
      <w:r w:rsidRPr="00BD4C31">
        <w:rPr>
          <w:b/>
        </w:rPr>
      </w:r>
      <w:r>
        <w:rPr>
          <w:b/>
        </w:rPr>
        <w:pict>
          <v:group id="_x0000_s1161" editas="canvas" style="width:430.55pt;height:224.25pt;mso-position-horizontal-relative:char;mso-position-vertical-relative:line" coordsize="8611,4485">
            <o:lock v:ext="edit" aspectratio="t"/>
            <v:shape id="_x0000_s1162" type="#_x0000_t75" style="position:absolute;width:8611;height:4485" o:preferrelative="f">
              <v:fill o:detectmouseclick="t"/>
              <v:path o:extrusionok="t" o:connecttype="none"/>
              <o:lock v:ext="edit" text="t"/>
            </v:shape>
            <v:rect id="_x0000_s1163" style="position:absolute;width:8459;height:4124" stroked="f"/>
            <v:rect id="_x0000_s1164" style="position:absolute;left:600;top:540;width:7829;height:2699" fillcolor="#ffc" stroked="f"/>
            <v:rect id="_x0000_s1165" style="position:absolute;left:555;top:540;width:7829;height:2699" filled="f" strokecolor="gray" strokeweight="42e-5mm"/>
            <v:rect id="_x0000_s1166" style="position:absolute;left:885;top:930;width:465;height:2309" fillcolor="#ccf" strokeweight="42e-5mm"/>
            <v:rect id="_x0000_s1167" style="position:absolute;left:2010;top:1125;width:450;height:2114" fillcolor="#ccf" strokeweight="42e-5mm"/>
            <v:rect id="_x0000_s1168" style="position:absolute;left:3120;top:1335;width:464;height:1904" fillcolor="#ccf" strokeweight="42e-5mm"/>
            <v:rect id="_x0000_s1169" style="position:absolute;left:4244;top:1590;width:450;height:1649" fillcolor="#ccf" strokeweight="42e-5mm"/>
            <v:rect id="_x0000_s1170" style="position:absolute;left:5354;top:1620;width:465;height:1619" fillcolor="#ccf" strokeweight="42e-5mm"/>
            <v:rect id="_x0000_s1171" style="position:absolute;left:6479;top:1755;width:450;height:1484" fillcolor="#ccf" strokeweight="42e-5mm"/>
            <v:rect id="_x0000_s1172" style="position:absolute;left:7589;top:1995;width:465;height:1244" fillcolor="#ccf" strokeweight="42e-5mm"/>
            <v:line id="_x0000_s1173" style="position:absolute" from="555,540" to="556,3239" strokeweight="0"/>
            <v:line id="_x0000_s1174" style="position:absolute" from="510,3239" to="600,3240" strokeweight="0"/>
            <v:line id="_x0000_s1175" style="position:absolute" from="510,2699" to="600,2700" strokeweight="0"/>
            <v:line id="_x0000_s1176" style="position:absolute" from="510,2159" to="600,2160" strokeweight="0"/>
            <v:line id="_x0000_s1177" style="position:absolute" from="510,1620" to="600,1621" strokeweight="0"/>
            <v:line id="_x0000_s1178" style="position:absolute" from="510,1080" to="600,1081" strokeweight="0"/>
            <v:line id="_x0000_s1179" style="position:absolute" from="510,540" to="600,541" strokeweight="0"/>
            <v:line id="_x0000_s1180" style="position:absolute" from="555,3239" to="8384,3240" strokeweight="0"/>
            <v:line id="_x0000_s1181" style="position:absolute;flip:y" from="555,3194" to="556,3284" strokeweight="0"/>
            <v:line id="_x0000_s1182" style="position:absolute;flip:y" from="1680,3194" to="1681,3284" strokeweight="0"/>
            <v:line id="_x0000_s1183" style="position:absolute;flip:y" from="2790,3194" to="2791,3284" strokeweight="0"/>
            <v:line id="_x0000_s1184" style="position:absolute;flip:y" from="3914,3194" to="3915,3284" strokeweight="0"/>
            <v:line id="_x0000_s1185" style="position:absolute;flip:y" from="5024,3194" to="5025,3284" strokeweight="0"/>
            <v:line id="_x0000_s1186" style="position:absolute;flip:y" from="6149,3194" to="6150,3284" strokeweight="0"/>
            <v:line id="_x0000_s1187" style="position:absolute;flip:y" from="7259,3194" to="7260,3284" strokeweight="0"/>
            <v:line id="_x0000_s1188" style="position:absolute;flip:y" from="8384,3194" to="8385,3284" strokeweight="0"/>
            <v:shape id="_x0000_s1189" style="position:absolute;left:1110;top:1515;width:6719;height:1" coordsize="448,0" path="m,l75,r74,l224,r75,l373,r75,e" filled="f" strokecolor="navy" strokeweight=".00125mm">
              <v:path arrowok="t"/>
            </v:shape>
            <v:rect id="_x0000_s1190" style="position:absolute;left:175;top:75;width:710;height:184" filled="f" stroked="f">
              <v:textbox style="mso-fit-shape-to-text:t" inset="0,0,0,0">
                <w:txbxContent>
                  <w:p w:rsidR="00D345DF" w:rsidRPr="00A82705" w:rsidRDefault="00D345DF">
                    <w:pPr>
                      <w:rPr>
                        <w:lang w:val="en-US"/>
                      </w:rPr>
                    </w:pPr>
                    <w:r>
                      <w:rPr>
                        <w:rFonts w:cs="Arial"/>
                        <w:color w:val="000000"/>
                        <w:sz w:val="16"/>
                        <w:szCs w:val="16"/>
                      </w:rPr>
                      <w:t>%</w:t>
                    </w:r>
                  </w:p>
                </w:txbxContent>
              </v:textbox>
            </v:rect>
            <v:rect id="_x0000_s1191" style="position:absolute;left:960;top:630;width:312;height:184;mso-wrap-style:none" filled="f" stroked="f">
              <v:textbox style="mso-fit-shape-to-text:t" inset="0,0,0,0">
                <w:txbxContent>
                  <w:p w:rsidR="00D345DF" w:rsidRDefault="00D345DF">
                    <w:r>
                      <w:rPr>
                        <w:rFonts w:cs="Arial"/>
                        <w:color w:val="000000"/>
                        <w:sz w:val="16"/>
                        <w:szCs w:val="16"/>
                      </w:rPr>
                      <w:t>42.9</w:t>
                    </w:r>
                  </w:p>
                </w:txbxContent>
              </v:textbox>
            </v:rect>
            <v:rect id="_x0000_s1192" style="position:absolute;left:2085;top:825;width:312;height:184;mso-wrap-style:none" filled="f" stroked="f">
              <v:textbox style="mso-fit-shape-to-text:t" inset="0,0,0,0">
                <w:txbxContent>
                  <w:p w:rsidR="00D345DF" w:rsidRDefault="00D345DF">
                    <w:r>
                      <w:rPr>
                        <w:rFonts w:cs="Arial"/>
                        <w:color w:val="000000"/>
                        <w:sz w:val="16"/>
                        <w:szCs w:val="16"/>
                      </w:rPr>
                      <w:t>39.3</w:t>
                    </w:r>
                  </w:p>
                </w:txbxContent>
              </v:textbox>
            </v:rect>
            <v:rect id="_x0000_s1193" style="position:absolute;left:3195;top:1035;width:312;height:184;mso-wrap-style:none" filled="f" stroked="f">
              <v:textbox style="mso-fit-shape-to-text:t" inset="0,0,0,0">
                <w:txbxContent>
                  <w:p w:rsidR="00D345DF" w:rsidRDefault="00D345DF">
                    <w:r>
                      <w:rPr>
                        <w:rFonts w:cs="Arial"/>
                        <w:color w:val="000000"/>
                        <w:sz w:val="16"/>
                        <w:szCs w:val="16"/>
                      </w:rPr>
                      <w:t>35.3</w:t>
                    </w:r>
                  </w:p>
                </w:txbxContent>
              </v:textbox>
            </v:rect>
            <v:rect id="_x0000_s1194" style="position:absolute;left:7664;top:2055;width:312;height:184;mso-wrap-style:none" filled="f" stroked="f">
              <v:textbox style="mso-fit-shape-to-text:t" inset="0,0,0,0">
                <w:txbxContent>
                  <w:p w:rsidR="00D345DF" w:rsidRDefault="00D345DF">
                    <w:r>
                      <w:rPr>
                        <w:rFonts w:cs="Arial"/>
                        <w:color w:val="000000"/>
                        <w:sz w:val="16"/>
                        <w:szCs w:val="16"/>
                      </w:rPr>
                      <w:t>23.0</w:t>
                    </w:r>
                  </w:p>
                </w:txbxContent>
              </v:textbox>
            </v:rect>
            <v:rect id="_x0000_s1195" style="position:absolute;left:6554;top:1830;width:312;height:184;mso-wrap-style:none" filled="f" stroked="f">
              <v:textbox style="mso-fit-shape-to-text:t" inset="0,0,0,0">
                <w:txbxContent>
                  <w:p w:rsidR="00D345DF" w:rsidRDefault="00D345DF">
                    <w:r>
                      <w:rPr>
                        <w:rFonts w:cs="Arial"/>
                        <w:color w:val="000000"/>
                        <w:sz w:val="16"/>
                        <w:szCs w:val="16"/>
                      </w:rPr>
                      <w:t>27.4</w:t>
                    </w:r>
                  </w:p>
                </w:txbxContent>
              </v:textbox>
            </v:rect>
            <v:rect id="_x0000_s1196" style="position:absolute;left:5429;top:1680;width:312;height:184;mso-wrap-style:none" filled="f" stroked="f">
              <v:textbox style="mso-fit-shape-to-text:t" inset="0,0,0,0">
                <w:txbxContent>
                  <w:p w:rsidR="00D345DF" w:rsidRDefault="00D345DF">
                    <w:r>
                      <w:rPr>
                        <w:rFonts w:cs="Arial"/>
                        <w:color w:val="000000"/>
                        <w:sz w:val="16"/>
                        <w:szCs w:val="16"/>
                      </w:rPr>
                      <w:t>30.0</w:t>
                    </w:r>
                  </w:p>
                </w:txbxContent>
              </v:textbox>
            </v:rect>
            <v:rect id="_x0000_s1197" style="position:absolute;left:4319;top:1680;width:312;height:184;mso-wrap-style:none" filled="f" stroked="f">
              <v:textbox style="mso-fit-shape-to-text:t" inset="0,0,0,0">
                <w:txbxContent>
                  <w:p w:rsidR="00D345DF" w:rsidRDefault="00D345DF">
                    <w:r>
                      <w:rPr>
                        <w:rFonts w:cs="Arial"/>
                        <w:color w:val="000000"/>
                        <w:sz w:val="16"/>
                        <w:szCs w:val="16"/>
                      </w:rPr>
                      <w:t>30.5</w:t>
                    </w:r>
                  </w:p>
                </w:txbxContent>
              </v:textbox>
            </v:rect>
            <v:rect id="_x0000_s1198" style="position:absolute;left:7964;top:1410;width:312;height:184;mso-wrap-style:none" filled="f" stroked="f">
              <v:textbox style="mso-fit-shape-to-text:t" inset="0,0,0,0">
                <w:txbxContent>
                  <w:p w:rsidR="00D345DF" w:rsidRDefault="00D345DF">
                    <w:r>
                      <w:rPr>
                        <w:rFonts w:cs="Arial"/>
                        <w:b/>
                        <w:bCs/>
                        <w:color w:val="000080"/>
                        <w:sz w:val="16"/>
                        <w:szCs w:val="16"/>
                      </w:rPr>
                      <w:t>31.9</w:t>
                    </w:r>
                  </w:p>
                </w:txbxContent>
              </v:textbox>
            </v:rect>
            <v:rect id="_x0000_s1199" style="position:absolute;left:345;top:3134;width:89;height:184;mso-wrap-style:none" filled="f" stroked="f">
              <v:textbox style="mso-fit-shape-to-text:t" inset="0,0,0,0">
                <w:txbxContent>
                  <w:p w:rsidR="00D345DF" w:rsidRDefault="00D345DF">
                    <w:r>
                      <w:rPr>
                        <w:rFonts w:cs="Arial"/>
                        <w:color w:val="000000"/>
                        <w:sz w:val="16"/>
                        <w:szCs w:val="16"/>
                      </w:rPr>
                      <w:t>0</w:t>
                    </w:r>
                  </w:p>
                </w:txbxContent>
              </v:textbox>
            </v:rect>
            <v:rect id="_x0000_s1200" style="position:absolute;left:255;top:2594;width:178;height:184;mso-wrap-style:none" filled="f" stroked="f">
              <v:textbox style="mso-fit-shape-to-text:t" inset="0,0,0,0">
                <w:txbxContent>
                  <w:p w:rsidR="00D345DF" w:rsidRDefault="00D345DF">
                    <w:r>
                      <w:rPr>
                        <w:rFonts w:cs="Arial"/>
                        <w:color w:val="000000"/>
                        <w:sz w:val="16"/>
                        <w:szCs w:val="16"/>
                      </w:rPr>
                      <w:t>10</w:t>
                    </w:r>
                  </w:p>
                </w:txbxContent>
              </v:textbox>
            </v:rect>
            <v:rect id="_x0000_s1201" style="position:absolute;left:255;top:2055;width:178;height:184;mso-wrap-style:none" filled="f" stroked="f">
              <v:textbox style="mso-fit-shape-to-text:t" inset="0,0,0,0">
                <w:txbxContent>
                  <w:p w:rsidR="00D345DF" w:rsidRDefault="00D345DF">
                    <w:r>
                      <w:rPr>
                        <w:rFonts w:cs="Arial"/>
                        <w:color w:val="000000"/>
                        <w:sz w:val="16"/>
                        <w:szCs w:val="16"/>
                      </w:rPr>
                      <w:t>20</w:t>
                    </w:r>
                  </w:p>
                </w:txbxContent>
              </v:textbox>
            </v:rect>
            <v:rect id="_x0000_s1202" style="position:absolute;left:255;top:1515;width:178;height:184;mso-wrap-style:none" filled="f" stroked="f">
              <v:textbox style="mso-fit-shape-to-text:t" inset="0,0,0,0">
                <w:txbxContent>
                  <w:p w:rsidR="00D345DF" w:rsidRDefault="00D345DF">
                    <w:r>
                      <w:rPr>
                        <w:rFonts w:cs="Arial"/>
                        <w:color w:val="000000"/>
                        <w:sz w:val="16"/>
                        <w:szCs w:val="16"/>
                      </w:rPr>
                      <w:t>30</w:t>
                    </w:r>
                  </w:p>
                </w:txbxContent>
              </v:textbox>
            </v:rect>
            <v:rect id="_x0000_s1203" style="position:absolute;left:255;top:975;width:178;height:184;mso-wrap-style:none" filled="f" stroked="f">
              <v:textbox style="mso-fit-shape-to-text:t" inset="0,0,0,0">
                <w:txbxContent>
                  <w:p w:rsidR="00D345DF" w:rsidRDefault="00D345DF">
                    <w:r>
                      <w:rPr>
                        <w:rFonts w:cs="Arial"/>
                        <w:color w:val="000000"/>
                        <w:sz w:val="16"/>
                        <w:szCs w:val="16"/>
                      </w:rPr>
                      <w:t>40</w:t>
                    </w:r>
                  </w:p>
                </w:txbxContent>
              </v:textbox>
            </v:rect>
            <v:rect id="_x0000_s1204" style="position:absolute;left:255;top:435;width:178;height:184;mso-wrap-style:none" filled="f" stroked="f">
              <v:textbox style="mso-fit-shape-to-text:t" inset="0,0,0,0">
                <w:txbxContent>
                  <w:p w:rsidR="00D345DF" w:rsidRDefault="00D345DF">
                    <w:r>
                      <w:rPr>
                        <w:rFonts w:cs="Arial"/>
                        <w:color w:val="000000"/>
                        <w:sz w:val="16"/>
                        <w:szCs w:val="16"/>
                      </w:rPr>
                      <w:t>50</w:t>
                    </w:r>
                  </w:p>
                </w:txbxContent>
              </v:textbox>
            </v:rect>
            <v:rect id="_x0000_s1205" style="position:absolute;left:645;top:3374;width:978;height:184;mso-wrap-style:none" filled="f" stroked="f">
              <v:textbox style="mso-fit-shape-to-text:t" inset="0,0,0,0">
                <w:txbxContent>
                  <w:p w:rsidR="00D345DF" w:rsidRDefault="00D345DF">
                    <w:r>
                      <w:rPr>
                        <w:rFonts w:cs="Arial"/>
                        <w:color w:val="000000"/>
                        <w:sz w:val="16"/>
                        <w:szCs w:val="16"/>
                      </w:rPr>
                      <w:t>AMRO/PAHO</w:t>
                    </w:r>
                  </w:p>
                </w:txbxContent>
              </v:textbox>
            </v:rect>
            <v:rect id="_x0000_s1206" style="position:absolute;left:1965;top:3374;width:561;height:184;mso-wrap-style:none" filled="f" stroked="f">
              <v:textbox style="mso-fit-shape-to-text:t" inset="0,0,0,0">
                <w:txbxContent>
                  <w:p w:rsidR="00D345DF" w:rsidRDefault="00D345DF">
                    <w:r>
                      <w:rPr>
                        <w:rFonts w:cs="Arial"/>
                        <w:color w:val="000000"/>
                        <w:sz w:val="16"/>
                        <w:szCs w:val="16"/>
                      </w:rPr>
                      <w:t>SEARO</w:t>
                    </w:r>
                  </w:p>
                </w:txbxContent>
              </v:textbox>
            </v:rect>
            <v:rect id="_x0000_s1207" style="position:absolute;left:3105;top:3374;width:481;height:184;mso-wrap-style:none" filled="f" stroked="f">
              <v:textbox style="mso-fit-shape-to-text:t" inset="0,0,0,0">
                <w:txbxContent>
                  <w:p w:rsidR="00D345DF" w:rsidRDefault="00D345DF">
                    <w:r>
                      <w:rPr>
                        <w:rFonts w:cs="Arial"/>
                        <w:color w:val="000000"/>
                        <w:sz w:val="16"/>
                        <w:szCs w:val="16"/>
                      </w:rPr>
                      <w:t xml:space="preserve">EMRO </w:t>
                    </w:r>
                  </w:p>
                </w:txbxContent>
              </v:textbox>
            </v:rect>
            <v:rect id="_x0000_s1208" style="position:absolute;left:4244;top:3374;width:498;height:184;mso-wrap-style:none" filled="f" stroked="f">
              <v:textbox style="mso-fit-shape-to-text:t" inset="0,0,0,0">
                <w:txbxContent>
                  <w:p w:rsidR="00D345DF" w:rsidRDefault="00D345DF">
                    <w:r>
                      <w:rPr>
                        <w:rFonts w:cs="Arial"/>
                        <w:color w:val="000000"/>
                        <w:sz w:val="16"/>
                        <w:szCs w:val="16"/>
                      </w:rPr>
                      <w:t>WPRO</w:t>
                    </w:r>
                  </w:p>
                </w:txbxContent>
              </v:textbox>
            </v:rect>
            <v:rect id="_x0000_s1209" style="position:absolute;left:5384;top:3374;width:445;height:184;mso-wrap-style:none" filled="f" stroked="f">
              <v:textbox style="mso-fit-shape-to-text:t" inset="0,0,0,0">
                <w:txbxContent>
                  <w:p w:rsidR="00D345DF" w:rsidRDefault="00D345DF">
                    <w:r>
                      <w:rPr>
                        <w:rFonts w:cs="Arial"/>
                        <w:color w:val="000000"/>
                        <w:sz w:val="16"/>
                        <w:szCs w:val="16"/>
                      </w:rPr>
                      <w:t>AFRO</w:t>
                    </w:r>
                  </w:p>
                </w:txbxContent>
              </v:textbox>
            </v:rect>
            <v:rect id="_x0000_s1210" style="position:absolute;left:6389;top:3374;width:676;height:184;mso-wrap-style:none" filled="f" stroked="f">
              <v:textbox style="mso-fit-shape-to-text:t" inset="0,0,0,0">
                <w:txbxContent>
                  <w:p w:rsidR="00D345DF" w:rsidRDefault="00D345DF">
                    <w:r>
                      <w:rPr>
                        <w:rFonts w:cs="Arial"/>
                        <w:color w:val="000000"/>
                        <w:sz w:val="16"/>
                        <w:szCs w:val="16"/>
                      </w:rPr>
                      <w:t>WHO/HQ</w:t>
                    </w:r>
                  </w:p>
                </w:txbxContent>
              </v:textbox>
            </v:rect>
            <v:rect id="_x0000_s1211" style="position:absolute;left:7619;top:3374;width:463;height:184;mso-wrap-style:none" filled="f" stroked="f">
              <v:textbox style="mso-fit-shape-to-text:t" inset="0,0,0,0">
                <w:txbxContent>
                  <w:p w:rsidR="00D345DF" w:rsidRDefault="00D345DF">
                    <w:r>
                      <w:rPr>
                        <w:rFonts w:cs="Arial"/>
                        <w:color w:val="000000"/>
                        <w:sz w:val="16"/>
                        <w:szCs w:val="16"/>
                      </w:rPr>
                      <w:t>EURO</w:t>
                    </w:r>
                  </w:p>
                </w:txbxContent>
              </v:textbox>
            </v:rect>
            <v:rect id="_x0000_s1212" style="position:absolute;left:3135;top:3809;width:2609;height:315" strokeweight="0"/>
            <v:rect id="_x0000_s1213" style="position:absolute;left:3195;top:3914;width:389;height:90" fillcolor="#ccf" strokeweight="42e-5mm"/>
            <v:rect id="_x0000_s1214" style="position:absolute;left:3644;top:3854;width:508;height:184;mso-wrap-style:none" filled="f" stroked="f">
              <v:textbox style="mso-fit-shape-to-text:t" inset="0,0,0,0">
                <w:txbxContent>
                  <w:p w:rsidR="00D345DF" w:rsidRDefault="00D345DF">
                    <w:r>
                      <w:rPr>
                        <w:rFonts w:cs="Arial"/>
                        <w:color w:val="000000"/>
                        <w:sz w:val="16"/>
                        <w:szCs w:val="16"/>
                      </w:rPr>
                      <w:t>Region</w:t>
                    </w:r>
                  </w:p>
                </w:txbxContent>
              </v:textbox>
            </v:rect>
            <v:line id="_x0000_s1215" style="position:absolute" from="4214,3944" to="4619,3945" strokecolor="navy" strokeweight=".00125mm"/>
            <v:rect id="_x0000_s1216" style="position:absolute;left:4664;top:3854;width:987;height:184;mso-wrap-style:none" filled="f" stroked="f">
              <v:textbox style="mso-fit-shape-to-text:t" inset="0,0,0,0">
                <w:txbxContent>
                  <w:p w:rsidR="00D345DF" w:rsidRDefault="00D345DF">
                    <w:r>
                      <w:rPr>
                        <w:rFonts w:cs="Arial"/>
                        <w:color w:val="000000"/>
                        <w:sz w:val="16"/>
                        <w:szCs w:val="16"/>
                      </w:rPr>
                      <w:t>All WHO Staff</w:t>
                    </w:r>
                  </w:p>
                </w:txbxContent>
              </v:textbox>
            </v:rect>
            <w10:wrap type="none"/>
            <w10:anchorlock/>
          </v:group>
        </w:pict>
      </w:r>
    </w:p>
    <w:p w:rsidR="0081362A" w:rsidRDefault="009571FA" w:rsidP="00EE5F2E">
      <w:pPr>
        <w:jc w:val="both"/>
        <w:rPr>
          <w:b/>
          <w:color w:val="000000"/>
          <w:sz w:val="24"/>
        </w:rPr>
      </w:pPr>
      <w:r>
        <w:rPr>
          <w:b/>
          <w:color w:val="000000"/>
          <w:sz w:val="24"/>
        </w:rPr>
        <w:t xml:space="preserve">           </w:t>
      </w:r>
    </w:p>
    <w:p w:rsidR="009571FA" w:rsidRDefault="009571FA" w:rsidP="00EE5F2E">
      <w:pPr>
        <w:jc w:val="both"/>
        <w:rPr>
          <w:color w:val="000000"/>
          <w:sz w:val="22"/>
        </w:rPr>
      </w:pPr>
      <w:r>
        <w:rPr>
          <w:b/>
          <w:color w:val="000000"/>
          <w:sz w:val="24"/>
        </w:rPr>
        <w:t xml:space="preserve">4. </w:t>
      </w:r>
      <w:r w:rsidR="007C65A5">
        <w:rPr>
          <w:b/>
          <w:color w:val="000000"/>
          <w:sz w:val="24"/>
        </w:rPr>
        <w:t xml:space="preserve">    </w:t>
      </w:r>
      <w:r>
        <w:rPr>
          <w:b/>
          <w:color w:val="000000"/>
          <w:sz w:val="24"/>
        </w:rPr>
        <w:t>Facilitating factors for gender integration</w:t>
      </w:r>
      <w:r w:rsidRPr="00EE5F2E">
        <w:rPr>
          <w:color w:val="000000"/>
          <w:sz w:val="22"/>
        </w:rPr>
        <w:t xml:space="preserve"> </w:t>
      </w:r>
    </w:p>
    <w:p w:rsidR="009571FA" w:rsidRPr="004538C3" w:rsidRDefault="009571FA" w:rsidP="00EE5F2E">
      <w:pPr>
        <w:jc w:val="both"/>
        <w:rPr>
          <w:color w:val="000000"/>
          <w:sz w:val="10"/>
        </w:rPr>
      </w:pPr>
    </w:p>
    <w:p w:rsidR="009571FA" w:rsidRDefault="009571FA" w:rsidP="00EE5F2E">
      <w:pPr>
        <w:jc w:val="both"/>
        <w:rPr>
          <w:color w:val="000000"/>
          <w:sz w:val="22"/>
        </w:rPr>
      </w:pPr>
      <w:r>
        <w:rPr>
          <w:color w:val="000000"/>
          <w:sz w:val="22"/>
        </w:rPr>
        <w:t>The factors that PAHO staff members most often identified as facilitators of gender integration into their work were, in order of frequency, the following</w:t>
      </w:r>
      <w:r w:rsidR="00EC3B13">
        <w:rPr>
          <w:color w:val="000000"/>
          <w:sz w:val="22"/>
        </w:rPr>
        <w:t xml:space="preserve"> (See Table 7)</w:t>
      </w:r>
      <w:r>
        <w:rPr>
          <w:color w:val="000000"/>
          <w:sz w:val="22"/>
        </w:rPr>
        <w:t xml:space="preserve">: </w:t>
      </w:r>
    </w:p>
    <w:p w:rsidR="00EC3B13" w:rsidRDefault="00EC3B13" w:rsidP="00EC3B13">
      <w:pPr>
        <w:pStyle w:val="Heading2"/>
        <w:spacing w:before="0"/>
        <w:ind w:left="720"/>
        <w:jc w:val="both"/>
        <w:rPr>
          <w:rFonts w:ascii="Arial" w:hAnsi="Arial" w:cs="Arial"/>
          <w:b w:val="0"/>
          <w:color w:val="auto"/>
          <w:sz w:val="22"/>
        </w:rPr>
      </w:pPr>
      <w:r>
        <w:rPr>
          <w:rFonts w:ascii="Arial" w:hAnsi="Arial" w:cs="Arial"/>
          <w:b w:val="0"/>
          <w:color w:val="auto"/>
          <w:sz w:val="22"/>
        </w:rPr>
        <w:t>1</w:t>
      </w:r>
      <w:r>
        <w:rPr>
          <w:rFonts w:ascii="Arial" w:hAnsi="Arial" w:cs="Arial"/>
          <w:b w:val="0"/>
          <w:color w:val="auto"/>
          <w:sz w:val="22"/>
          <w:vertAlign w:val="superscript"/>
        </w:rPr>
        <w:t>st</w:t>
      </w:r>
      <w:r>
        <w:rPr>
          <w:rFonts w:ascii="Arial" w:hAnsi="Arial" w:cs="Arial"/>
          <w:b w:val="0"/>
          <w:color w:val="auto"/>
          <w:sz w:val="22"/>
        </w:rPr>
        <w:t>:    Colleagues with gender expertise to collaborate ……….……………………..39%</w:t>
      </w:r>
    </w:p>
    <w:p w:rsidR="00EC3B13" w:rsidRDefault="00EC3B13" w:rsidP="00EC3B13">
      <w:pPr>
        <w:pStyle w:val="Heading2"/>
        <w:spacing w:before="0"/>
        <w:ind w:left="720"/>
        <w:jc w:val="both"/>
        <w:rPr>
          <w:rFonts w:ascii="Arial" w:hAnsi="Arial" w:cs="Arial"/>
          <w:b w:val="0"/>
          <w:color w:val="auto"/>
          <w:sz w:val="22"/>
        </w:rPr>
      </w:pPr>
      <w:r>
        <w:rPr>
          <w:rFonts w:ascii="Arial" w:hAnsi="Arial" w:cs="Arial"/>
          <w:b w:val="0"/>
          <w:color w:val="auto"/>
          <w:sz w:val="22"/>
        </w:rPr>
        <w:t>2</w:t>
      </w:r>
      <w:r>
        <w:rPr>
          <w:rFonts w:ascii="Arial" w:hAnsi="Arial" w:cs="Arial"/>
          <w:b w:val="0"/>
          <w:color w:val="auto"/>
          <w:sz w:val="22"/>
          <w:vertAlign w:val="superscript"/>
        </w:rPr>
        <w:t>nd</w:t>
      </w:r>
      <w:r>
        <w:rPr>
          <w:rFonts w:ascii="Arial" w:hAnsi="Arial" w:cs="Arial"/>
          <w:b w:val="0"/>
          <w:color w:val="auto"/>
          <w:sz w:val="22"/>
        </w:rPr>
        <w:t xml:space="preserve">    Discussions on gender in one’s area of work during office-staff meetings… 32%</w:t>
      </w:r>
    </w:p>
    <w:p w:rsidR="00EC3B13" w:rsidRDefault="00EC3B13" w:rsidP="00EC3B13">
      <w:pPr>
        <w:ind w:left="720"/>
        <w:jc w:val="both"/>
        <w:rPr>
          <w:rFonts w:cs="Arial"/>
          <w:sz w:val="22"/>
          <w:lang w:val="en-US"/>
        </w:rPr>
      </w:pPr>
      <w:r>
        <w:rPr>
          <w:rFonts w:cs="Arial"/>
          <w:sz w:val="22"/>
          <w:lang w:val="en-US"/>
        </w:rPr>
        <w:t>3</w:t>
      </w:r>
      <w:r>
        <w:rPr>
          <w:rFonts w:cs="Arial"/>
          <w:sz w:val="22"/>
          <w:vertAlign w:val="superscript"/>
          <w:lang w:val="en-US"/>
        </w:rPr>
        <w:t xml:space="preserve">rd       </w:t>
      </w:r>
      <w:r>
        <w:rPr>
          <w:rFonts w:cs="Arial"/>
          <w:sz w:val="22"/>
        </w:rPr>
        <w:t>Information sharing on gender in one’s area of work......................................31%</w:t>
      </w:r>
    </w:p>
    <w:p w:rsidR="00EC3B13" w:rsidRDefault="00EC3B13" w:rsidP="00EC3B13">
      <w:pPr>
        <w:ind w:left="720"/>
        <w:jc w:val="both"/>
        <w:rPr>
          <w:rFonts w:cs="Arial"/>
          <w:sz w:val="22"/>
          <w:lang w:val="en-US"/>
        </w:rPr>
      </w:pPr>
      <w:r>
        <w:rPr>
          <w:rFonts w:cs="Arial"/>
          <w:sz w:val="22"/>
          <w:lang w:val="en-US"/>
        </w:rPr>
        <w:t>4</w:t>
      </w:r>
      <w:r>
        <w:rPr>
          <w:rFonts w:cs="Arial"/>
          <w:sz w:val="22"/>
          <w:vertAlign w:val="superscript"/>
          <w:lang w:val="en-US"/>
        </w:rPr>
        <w:t>th</w:t>
      </w:r>
      <w:r>
        <w:rPr>
          <w:rFonts w:cs="Arial"/>
          <w:sz w:val="22"/>
          <w:lang w:val="en-US"/>
        </w:rPr>
        <w:t xml:space="preserve">     Having designated Gender Focal Points………………………………………..29%.</w:t>
      </w:r>
    </w:p>
    <w:p w:rsidR="009571FA" w:rsidRPr="00612899" w:rsidRDefault="009571FA" w:rsidP="00EE5F2E">
      <w:pPr>
        <w:jc w:val="both"/>
        <w:rPr>
          <w:color w:val="000000"/>
          <w:sz w:val="12"/>
        </w:rPr>
      </w:pPr>
    </w:p>
    <w:p w:rsidR="009571FA" w:rsidRDefault="009571FA" w:rsidP="00EE5F2E">
      <w:pPr>
        <w:ind w:left="1440"/>
        <w:jc w:val="both"/>
        <w:rPr>
          <w:b/>
          <w:color w:val="000000"/>
          <w:sz w:val="12"/>
        </w:rPr>
      </w:pPr>
    </w:p>
    <w:p w:rsidR="009571FA" w:rsidRPr="00833DB8" w:rsidRDefault="009571FA" w:rsidP="00833DB8">
      <w:pPr>
        <w:pStyle w:val="Heading2"/>
        <w:spacing w:before="0" w:after="200"/>
        <w:ind w:left="288"/>
        <w:rPr>
          <w:rFonts w:ascii="Arial" w:hAnsi="Arial" w:cs="Arial"/>
          <w:b w:val="0"/>
          <w:color w:val="auto"/>
          <w:sz w:val="20"/>
          <w:szCs w:val="22"/>
        </w:rPr>
      </w:pPr>
      <w:r w:rsidRPr="00833DB8">
        <w:rPr>
          <w:rFonts w:ascii="Arial" w:hAnsi="Arial" w:cs="Arial"/>
          <w:color w:val="auto"/>
          <w:sz w:val="20"/>
          <w:szCs w:val="22"/>
        </w:rPr>
        <w:t xml:space="preserve">Table 7. </w:t>
      </w:r>
      <w:r w:rsidRPr="00833DB8">
        <w:rPr>
          <w:rFonts w:ascii="Arial" w:hAnsi="Arial" w:cs="Arial"/>
          <w:b w:val="0"/>
          <w:color w:val="auto"/>
          <w:sz w:val="20"/>
          <w:szCs w:val="22"/>
        </w:rPr>
        <w:t>Facilitating factors for gender integration as identified by WHO/PAHO staff members. 2008</w:t>
      </w:r>
    </w:p>
    <w:tbl>
      <w:tblPr>
        <w:tblW w:w="0" w:type="auto"/>
        <w:jc w:val="center"/>
        <w:tblInd w:w="-3501" w:type="dxa"/>
        <w:tblBorders>
          <w:top w:val="single" w:sz="4" w:space="0" w:color="auto"/>
          <w:left w:val="single" w:sz="4" w:space="0" w:color="auto"/>
          <w:bottom w:val="single" w:sz="4" w:space="0" w:color="auto"/>
          <w:right w:val="single" w:sz="4" w:space="0" w:color="auto"/>
          <w:insideH w:val="single" w:sz="4" w:space="0" w:color="BFBFBF"/>
          <w:insideV w:val="single" w:sz="4" w:space="0" w:color="BFBFBF"/>
        </w:tblBorders>
        <w:tblLook w:val="00BF"/>
      </w:tblPr>
      <w:tblGrid>
        <w:gridCol w:w="5345"/>
        <w:gridCol w:w="551"/>
        <w:gridCol w:w="607"/>
        <w:gridCol w:w="691"/>
        <w:gridCol w:w="756"/>
      </w:tblGrid>
      <w:tr w:rsidR="009571FA" w:rsidRPr="00EC3B13" w:rsidTr="006528DC">
        <w:trPr>
          <w:trHeight w:val="312"/>
          <w:jc w:val="center"/>
        </w:trPr>
        <w:tc>
          <w:tcPr>
            <w:tcW w:w="5345" w:type="dxa"/>
            <w:vMerge w:val="restart"/>
            <w:tcBorders>
              <w:top w:val="single" w:sz="4" w:space="0" w:color="auto"/>
              <w:bottom w:val="single" w:sz="4" w:space="0" w:color="auto"/>
              <w:right w:val="single" w:sz="4" w:space="0" w:color="auto"/>
            </w:tcBorders>
            <w:shd w:val="clear" w:color="auto" w:fill="C6D9F1"/>
            <w:tcMar>
              <w:top w:w="0" w:type="dxa"/>
              <w:left w:w="28" w:type="dxa"/>
              <w:bottom w:w="0" w:type="dxa"/>
              <w:right w:w="28" w:type="dxa"/>
            </w:tcMar>
            <w:vAlign w:val="center"/>
          </w:tcPr>
          <w:p w:rsidR="009571FA" w:rsidRPr="00EC3B13" w:rsidRDefault="009571FA">
            <w:pPr>
              <w:spacing w:line="276" w:lineRule="auto"/>
              <w:rPr>
                <w:rFonts w:ascii="Calibri" w:hAnsi="Calibri"/>
                <w:b/>
              </w:rPr>
            </w:pPr>
            <w:r w:rsidRPr="00EC3B13">
              <w:rPr>
                <w:rFonts w:ascii="Calibri" w:hAnsi="Calibri"/>
                <w:b/>
                <w:szCs w:val="22"/>
              </w:rPr>
              <w:t>Facilitating Factors or Opportunities</w:t>
            </w:r>
          </w:p>
        </w:tc>
        <w:tc>
          <w:tcPr>
            <w:tcW w:w="1158" w:type="dxa"/>
            <w:gridSpan w:val="2"/>
            <w:tcBorders>
              <w:top w:val="single" w:sz="4" w:space="0" w:color="auto"/>
              <w:left w:val="single" w:sz="4" w:space="0" w:color="auto"/>
              <w:right w:val="single" w:sz="4" w:space="0" w:color="auto"/>
            </w:tcBorders>
            <w:shd w:val="clear" w:color="auto" w:fill="C6D9F1"/>
            <w:vAlign w:val="center"/>
          </w:tcPr>
          <w:p w:rsidR="009571FA" w:rsidRPr="00EC3B13" w:rsidRDefault="009571FA">
            <w:pPr>
              <w:spacing w:line="276" w:lineRule="auto"/>
              <w:jc w:val="center"/>
              <w:rPr>
                <w:rFonts w:ascii="Calibri" w:hAnsi="Calibri"/>
                <w:b/>
              </w:rPr>
            </w:pPr>
            <w:r w:rsidRPr="00EC3B13">
              <w:rPr>
                <w:rFonts w:ascii="Calibri" w:hAnsi="Calibri"/>
                <w:b/>
                <w:szCs w:val="22"/>
              </w:rPr>
              <w:t>All WHO</w:t>
            </w:r>
          </w:p>
        </w:tc>
        <w:tc>
          <w:tcPr>
            <w:tcW w:w="1447" w:type="dxa"/>
            <w:gridSpan w:val="2"/>
            <w:tcBorders>
              <w:top w:val="single" w:sz="4" w:space="0" w:color="auto"/>
              <w:left w:val="single" w:sz="4" w:space="0" w:color="auto"/>
            </w:tcBorders>
            <w:shd w:val="clear" w:color="auto" w:fill="C6D9F1"/>
            <w:vAlign w:val="center"/>
          </w:tcPr>
          <w:p w:rsidR="009571FA" w:rsidRPr="00EC3B13" w:rsidRDefault="009571FA">
            <w:pPr>
              <w:spacing w:line="276" w:lineRule="auto"/>
              <w:jc w:val="center"/>
              <w:rPr>
                <w:rFonts w:ascii="Calibri" w:hAnsi="Calibri"/>
                <w:b/>
              </w:rPr>
            </w:pPr>
            <w:r w:rsidRPr="00EC3B13">
              <w:rPr>
                <w:rFonts w:ascii="Calibri" w:hAnsi="Calibri"/>
                <w:b/>
                <w:szCs w:val="22"/>
              </w:rPr>
              <w:t>AMRO/PAHO</w:t>
            </w:r>
          </w:p>
        </w:tc>
      </w:tr>
      <w:tr w:rsidR="009571FA" w:rsidRPr="00EC3B13" w:rsidTr="006528DC">
        <w:trPr>
          <w:trHeight w:val="312"/>
          <w:jc w:val="center"/>
        </w:trPr>
        <w:tc>
          <w:tcPr>
            <w:tcW w:w="0" w:type="auto"/>
            <w:vMerge/>
            <w:tcBorders>
              <w:top w:val="single" w:sz="4" w:space="0" w:color="auto"/>
              <w:bottom w:val="single" w:sz="4" w:space="0" w:color="auto"/>
              <w:right w:val="single" w:sz="4" w:space="0" w:color="auto"/>
            </w:tcBorders>
            <w:vAlign w:val="center"/>
          </w:tcPr>
          <w:p w:rsidR="009571FA" w:rsidRPr="00EC3B13" w:rsidRDefault="009571FA">
            <w:pPr>
              <w:rPr>
                <w:rFonts w:ascii="Calibri" w:hAnsi="Calibri"/>
                <w:b/>
              </w:rPr>
            </w:pPr>
          </w:p>
        </w:tc>
        <w:tc>
          <w:tcPr>
            <w:tcW w:w="551" w:type="dxa"/>
            <w:tcBorders>
              <w:left w:val="single" w:sz="4" w:space="0" w:color="auto"/>
              <w:bottom w:val="single" w:sz="4" w:space="0" w:color="auto"/>
            </w:tcBorders>
            <w:shd w:val="clear" w:color="auto" w:fill="C6D9F1"/>
            <w:vAlign w:val="center"/>
          </w:tcPr>
          <w:p w:rsidR="009571FA" w:rsidRPr="00EC3B13" w:rsidRDefault="009571FA">
            <w:pPr>
              <w:spacing w:line="276" w:lineRule="auto"/>
              <w:jc w:val="center"/>
              <w:rPr>
                <w:rFonts w:ascii="Calibri" w:hAnsi="Calibri"/>
                <w:b/>
              </w:rPr>
            </w:pPr>
            <w:r w:rsidRPr="00EC3B13">
              <w:rPr>
                <w:rFonts w:ascii="Calibri" w:hAnsi="Calibri"/>
                <w:b/>
                <w:szCs w:val="22"/>
              </w:rPr>
              <w:t>n</w:t>
            </w:r>
          </w:p>
        </w:tc>
        <w:tc>
          <w:tcPr>
            <w:tcW w:w="607" w:type="dxa"/>
            <w:tcBorders>
              <w:bottom w:val="single" w:sz="4" w:space="0" w:color="auto"/>
              <w:right w:val="single" w:sz="4" w:space="0" w:color="auto"/>
            </w:tcBorders>
            <w:shd w:val="clear" w:color="auto" w:fill="C6D9F1"/>
            <w:vAlign w:val="center"/>
          </w:tcPr>
          <w:p w:rsidR="009571FA" w:rsidRPr="00EC3B13" w:rsidRDefault="009571FA">
            <w:pPr>
              <w:spacing w:line="276" w:lineRule="auto"/>
              <w:jc w:val="center"/>
              <w:rPr>
                <w:rFonts w:ascii="Calibri" w:hAnsi="Calibri"/>
                <w:b/>
              </w:rPr>
            </w:pPr>
            <w:r w:rsidRPr="00EC3B13">
              <w:rPr>
                <w:rFonts w:ascii="Calibri" w:hAnsi="Calibri"/>
                <w:b/>
                <w:szCs w:val="22"/>
              </w:rPr>
              <w:t>%</w:t>
            </w:r>
          </w:p>
        </w:tc>
        <w:tc>
          <w:tcPr>
            <w:tcW w:w="691" w:type="dxa"/>
            <w:tcBorders>
              <w:left w:val="single" w:sz="4" w:space="0" w:color="auto"/>
              <w:bottom w:val="single" w:sz="4" w:space="0" w:color="auto"/>
            </w:tcBorders>
            <w:shd w:val="clear" w:color="auto" w:fill="C6D9F1"/>
            <w:vAlign w:val="center"/>
          </w:tcPr>
          <w:p w:rsidR="009571FA" w:rsidRPr="00EC3B13" w:rsidRDefault="009571FA">
            <w:pPr>
              <w:spacing w:line="276" w:lineRule="auto"/>
              <w:jc w:val="center"/>
              <w:rPr>
                <w:rFonts w:ascii="Calibri" w:hAnsi="Calibri"/>
                <w:b/>
              </w:rPr>
            </w:pPr>
            <w:r w:rsidRPr="00EC3B13">
              <w:rPr>
                <w:rFonts w:ascii="Calibri" w:hAnsi="Calibri"/>
                <w:b/>
                <w:szCs w:val="22"/>
              </w:rPr>
              <w:t>n</w:t>
            </w:r>
          </w:p>
        </w:tc>
        <w:tc>
          <w:tcPr>
            <w:tcW w:w="756" w:type="dxa"/>
            <w:tcBorders>
              <w:bottom w:val="single" w:sz="4" w:space="0" w:color="auto"/>
            </w:tcBorders>
            <w:shd w:val="clear" w:color="auto" w:fill="C6D9F1"/>
            <w:vAlign w:val="center"/>
          </w:tcPr>
          <w:p w:rsidR="009571FA" w:rsidRPr="00EC3B13" w:rsidRDefault="009571FA">
            <w:pPr>
              <w:spacing w:line="276" w:lineRule="auto"/>
              <w:jc w:val="center"/>
              <w:rPr>
                <w:rFonts w:ascii="Calibri" w:hAnsi="Calibri"/>
                <w:b/>
              </w:rPr>
            </w:pPr>
            <w:r w:rsidRPr="00EC3B13">
              <w:rPr>
                <w:rFonts w:ascii="Calibri" w:hAnsi="Calibri"/>
                <w:b/>
                <w:szCs w:val="22"/>
              </w:rPr>
              <w:t>%</w:t>
            </w:r>
          </w:p>
        </w:tc>
      </w:tr>
      <w:tr w:rsidR="009571FA" w:rsidRPr="00EC3B13" w:rsidTr="006528DC">
        <w:trPr>
          <w:trHeight w:val="432"/>
          <w:jc w:val="center"/>
        </w:trPr>
        <w:tc>
          <w:tcPr>
            <w:tcW w:w="5345" w:type="dxa"/>
            <w:tcBorders>
              <w:top w:val="single" w:sz="4" w:space="0" w:color="auto"/>
              <w:right w:val="single" w:sz="4" w:space="0" w:color="auto"/>
            </w:tcBorders>
            <w:shd w:val="clear" w:color="auto" w:fill="EEECE1"/>
            <w:vAlign w:val="center"/>
          </w:tcPr>
          <w:p w:rsidR="009571FA" w:rsidRPr="00EC3B13" w:rsidRDefault="009571FA" w:rsidP="00C05423">
            <w:pPr>
              <w:spacing w:line="276" w:lineRule="auto"/>
              <w:rPr>
                <w:rFonts w:ascii="Calibri" w:hAnsi="Calibri"/>
                <w:szCs w:val="20"/>
              </w:rPr>
            </w:pPr>
            <w:r w:rsidRPr="00EC3B13">
              <w:rPr>
                <w:rFonts w:ascii="Calibri" w:hAnsi="Calibri"/>
                <w:szCs w:val="20"/>
              </w:rPr>
              <w:t>Colleagues with gender expertise to collaborate with</w:t>
            </w:r>
          </w:p>
        </w:tc>
        <w:tc>
          <w:tcPr>
            <w:tcW w:w="551" w:type="dxa"/>
            <w:tcBorders>
              <w:top w:val="single" w:sz="4" w:space="0" w:color="auto"/>
              <w:left w:val="single" w:sz="4" w:space="0" w:color="auto"/>
            </w:tcBorders>
            <w:shd w:val="clear" w:color="auto" w:fill="EEECE1"/>
            <w:vAlign w:val="center"/>
          </w:tcPr>
          <w:p w:rsidR="009571FA" w:rsidRPr="00EC3B13" w:rsidRDefault="009571FA" w:rsidP="00C05423">
            <w:pPr>
              <w:spacing w:line="276" w:lineRule="auto"/>
              <w:jc w:val="center"/>
              <w:rPr>
                <w:rFonts w:ascii="Calibri" w:hAnsi="Calibri"/>
                <w:szCs w:val="20"/>
                <w:lang w:val="es-ES_tradnl"/>
              </w:rPr>
            </w:pPr>
            <w:r w:rsidRPr="00EC3B13">
              <w:rPr>
                <w:rFonts w:ascii="Calibri" w:hAnsi="Calibri"/>
                <w:szCs w:val="20"/>
                <w:lang w:val="es-ES_tradnl"/>
              </w:rPr>
              <w:t>610</w:t>
            </w:r>
          </w:p>
        </w:tc>
        <w:tc>
          <w:tcPr>
            <w:tcW w:w="607" w:type="dxa"/>
            <w:tcBorders>
              <w:top w:val="single" w:sz="4" w:space="0" w:color="auto"/>
              <w:right w:val="single" w:sz="4" w:space="0" w:color="auto"/>
            </w:tcBorders>
            <w:shd w:val="clear" w:color="auto" w:fill="EEECE1"/>
            <w:vAlign w:val="center"/>
          </w:tcPr>
          <w:p w:rsidR="009571FA" w:rsidRPr="00EC3B13" w:rsidRDefault="009571FA" w:rsidP="00C05423">
            <w:pPr>
              <w:spacing w:line="276" w:lineRule="auto"/>
              <w:jc w:val="center"/>
              <w:rPr>
                <w:rFonts w:ascii="Calibri" w:hAnsi="Calibri"/>
                <w:szCs w:val="20"/>
                <w:lang w:val="es-ES_tradnl"/>
              </w:rPr>
            </w:pPr>
            <w:r w:rsidRPr="00EC3B13">
              <w:rPr>
                <w:rFonts w:ascii="Calibri" w:hAnsi="Calibri"/>
                <w:szCs w:val="20"/>
                <w:lang w:val="es-ES_tradnl"/>
              </w:rPr>
              <w:t>28.2</w:t>
            </w:r>
          </w:p>
        </w:tc>
        <w:tc>
          <w:tcPr>
            <w:tcW w:w="691" w:type="dxa"/>
            <w:tcBorders>
              <w:top w:val="single" w:sz="4" w:space="0" w:color="auto"/>
              <w:left w:val="single" w:sz="4" w:space="0" w:color="auto"/>
            </w:tcBorders>
            <w:shd w:val="clear" w:color="auto" w:fill="EEECE1"/>
            <w:vAlign w:val="center"/>
          </w:tcPr>
          <w:p w:rsidR="009571FA" w:rsidRPr="00EC3B13" w:rsidRDefault="009571FA" w:rsidP="00C05423">
            <w:pPr>
              <w:spacing w:line="276" w:lineRule="auto"/>
              <w:jc w:val="center"/>
              <w:rPr>
                <w:rFonts w:ascii="Calibri" w:hAnsi="Calibri"/>
                <w:szCs w:val="20"/>
                <w:lang w:val="es-ES_tradnl"/>
              </w:rPr>
            </w:pPr>
            <w:r w:rsidRPr="00EC3B13">
              <w:rPr>
                <w:rFonts w:ascii="Calibri" w:hAnsi="Calibri"/>
                <w:szCs w:val="20"/>
                <w:lang w:val="es-ES_tradnl"/>
              </w:rPr>
              <w:t>151</w:t>
            </w:r>
          </w:p>
        </w:tc>
        <w:tc>
          <w:tcPr>
            <w:tcW w:w="756" w:type="dxa"/>
            <w:tcBorders>
              <w:top w:val="single" w:sz="4" w:space="0" w:color="auto"/>
            </w:tcBorders>
            <w:shd w:val="clear" w:color="auto" w:fill="EEECE1"/>
            <w:vAlign w:val="center"/>
          </w:tcPr>
          <w:p w:rsidR="009571FA" w:rsidRPr="00EC3B13" w:rsidRDefault="009571FA" w:rsidP="00C05423">
            <w:pPr>
              <w:spacing w:line="276" w:lineRule="auto"/>
              <w:jc w:val="center"/>
              <w:rPr>
                <w:rFonts w:ascii="Calibri" w:hAnsi="Calibri"/>
                <w:szCs w:val="20"/>
                <w:lang w:val="es-ES_tradnl"/>
              </w:rPr>
            </w:pPr>
            <w:r w:rsidRPr="00EC3B13">
              <w:rPr>
                <w:rFonts w:ascii="Calibri" w:hAnsi="Calibri"/>
                <w:szCs w:val="20"/>
                <w:lang w:val="es-ES_tradnl"/>
              </w:rPr>
              <w:t>38.7</w:t>
            </w:r>
          </w:p>
        </w:tc>
      </w:tr>
      <w:tr w:rsidR="009571FA" w:rsidRPr="00EC3B13" w:rsidTr="006528DC">
        <w:trPr>
          <w:trHeight w:val="432"/>
          <w:jc w:val="center"/>
        </w:trPr>
        <w:tc>
          <w:tcPr>
            <w:tcW w:w="5345" w:type="dxa"/>
            <w:tcBorders>
              <w:top w:val="single" w:sz="4" w:space="0" w:color="auto"/>
              <w:right w:val="single" w:sz="4" w:space="0" w:color="auto"/>
            </w:tcBorders>
            <w:shd w:val="clear" w:color="auto" w:fill="EEECE1"/>
            <w:vAlign w:val="center"/>
          </w:tcPr>
          <w:p w:rsidR="009571FA" w:rsidRPr="00EC3B13" w:rsidRDefault="009571FA" w:rsidP="00C05423">
            <w:pPr>
              <w:spacing w:line="276" w:lineRule="auto"/>
              <w:rPr>
                <w:rFonts w:ascii="Calibri" w:hAnsi="Calibri"/>
                <w:szCs w:val="20"/>
              </w:rPr>
            </w:pPr>
            <w:r w:rsidRPr="00EC3B13">
              <w:rPr>
                <w:rFonts w:ascii="Calibri" w:hAnsi="Calibri"/>
                <w:szCs w:val="20"/>
              </w:rPr>
              <w:t>Information sharing on gender in your area of work</w:t>
            </w:r>
          </w:p>
        </w:tc>
        <w:tc>
          <w:tcPr>
            <w:tcW w:w="551" w:type="dxa"/>
            <w:tcBorders>
              <w:top w:val="single" w:sz="4" w:space="0" w:color="auto"/>
              <w:left w:val="single" w:sz="4" w:space="0" w:color="auto"/>
            </w:tcBorders>
            <w:shd w:val="clear" w:color="auto" w:fill="EEECE1"/>
            <w:vAlign w:val="center"/>
          </w:tcPr>
          <w:p w:rsidR="009571FA" w:rsidRPr="00EC3B13" w:rsidRDefault="009571FA" w:rsidP="00C05423">
            <w:pPr>
              <w:spacing w:line="276" w:lineRule="auto"/>
              <w:jc w:val="center"/>
              <w:rPr>
                <w:rFonts w:ascii="Calibri" w:hAnsi="Calibri"/>
                <w:szCs w:val="20"/>
                <w:lang w:val="es-ES_tradnl"/>
              </w:rPr>
            </w:pPr>
            <w:r w:rsidRPr="00EC3B13">
              <w:rPr>
                <w:rFonts w:ascii="Calibri" w:hAnsi="Calibri"/>
                <w:szCs w:val="20"/>
                <w:lang w:val="es-ES_tradnl"/>
              </w:rPr>
              <w:t>630</w:t>
            </w:r>
          </w:p>
        </w:tc>
        <w:tc>
          <w:tcPr>
            <w:tcW w:w="607" w:type="dxa"/>
            <w:tcBorders>
              <w:top w:val="single" w:sz="4" w:space="0" w:color="auto"/>
              <w:right w:val="single" w:sz="4" w:space="0" w:color="auto"/>
            </w:tcBorders>
            <w:shd w:val="clear" w:color="auto" w:fill="EEECE1"/>
            <w:vAlign w:val="center"/>
          </w:tcPr>
          <w:p w:rsidR="009571FA" w:rsidRPr="00EC3B13" w:rsidRDefault="009571FA" w:rsidP="00C05423">
            <w:pPr>
              <w:spacing w:line="276" w:lineRule="auto"/>
              <w:jc w:val="center"/>
              <w:rPr>
                <w:rFonts w:ascii="Calibri" w:hAnsi="Calibri"/>
                <w:szCs w:val="20"/>
                <w:lang w:val="es-ES_tradnl"/>
              </w:rPr>
            </w:pPr>
            <w:r w:rsidRPr="00EC3B13">
              <w:rPr>
                <w:rFonts w:ascii="Calibri" w:hAnsi="Calibri"/>
                <w:szCs w:val="20"/>
                <w:lang w:val="es-ES_tradnl"/>
              </w:rPr>
              <w:t>29.2</w:t>
            </w:r>
          </w:p>
        </w:tc>
        <w:tc>
          <w:tcPr>
            <w:tcW w:w="691" w:type="dxa"/>
            <w:tcBorders>
              <w:top w:val="single" w:sz="4" w:space="0" w:color="auto"/>
              <w:left w:val="single" w:sz="4" w:space="0" w:color="auto"/>
            </w:tcBorders>
            <w:shd w:val="clear" w:color="auto" w:fill="EEECE1"/>
            <w:vAlign w:val="center"/>
          </w:tcPr>
          <w:p w:rsidR="009571FA" w:rsidRPr="00EC3B13" w:rsidRDefault="009571FA" w:rsidP="00C05423">
            <w:pPr>
              <w:spacing w:line="276" w:lineRule="auto"/>
              <w:jc w:val="center"/>
              <w:rPr>
                <w:rFonts w:ascii="Calibri" w:hAnsi="Calibri"/>
                <w:szCs w:val="20"/>
                <w:lang w:val="es-ES_tradnl"/>
              </w:rPr>
            </w:pPr>
            <w:r w:rsidRPr="00EC3B13">
              <w:rPr>
                <w:rFonts w:ascii="Calibri" w:hAnsi="Calibri"/>
                <w:szCs w:val="20"/>
                <w:lang w:val="es-ES_tradnl"/>
              </w:rPr>
              <w:t>125</w:t>
            </w:r>
          </w:p>
        </w:tc>
        <w:tc>
          <w:tcPr>
            <w:tcW w:w="756" w:type="dxa"/>
            <w:tcBorders>
              <w:top w:val="single" w:sz="4" w:space="0" w:color="auto"/>
            </w:tcBorders>
            <w:shd w:val="clear" w:color="auto" w:fill="EEECE1"/>
            <w:vAlign w:val="center"/>
          </w:tcPr>
          <w:p w:rsidR="009571FA" w:rsidRPr="00EC3B13" w:rsidRDefault="009571FA" w:rsidP="00C05423">
            <w:pPr>
              <w:spacing w:line="276" w:lineRule="auto"/>
              <w:jc w:val="center"/>
              <w:rPr>
                <w:rFonts w:ascii="Calibri" w:hAnsi="Calibri"/>
                <w:szCs w:val="20"/>
                <w:lang w:val="es-ES_tradnl"/>
              </w:rPr>
            </w:pPr>
            <w:r w:rsidRPr="00EC3B13">
              <w:rPr>
                <w:rFonts w:ascii="Calibri" w:hAnsi="Calibri"/>
                <w:szCs w:val="20"/>
                <w:lang w:val="es-ES_tradnl"/>
              </w:rPr>
              <w:t>32.1</w:t>
            </w:r>
          </w:p>
        </w:tc>
      </w:tr>
      <w:tr w:rsidR="009571FA" w:rsidRPr="00EC3B13" w:rsidTr="006528DC">
        <w:trPr>
          <w:trHeight w:val="432"/>
          <w:jc w:val="center"/>
        </w:trPr>
        <w:tc>
          <w:tcPr>
            <w:tcW w:w="5345" w:type="dxa"/>
            <w:tcBorders>
              <w:top w:val="single" w:sz="4" w:space="0" w:color="auto"/>
              <w:right w:val="single" w:sz="4" w:space="0" w:color="auto"/>
            </w:tcBorders>
            <w:shd w:val="clear" w:color="auto" w:fill="EEECE1"/>
            <w:vAlign w:val="center"/>
          </w:tcPr>
          <w:p w:rsidR="009571FA" w:rsidRPr="00EC3B13" w:rsidRDefault="009571FA" w:rsidP="00C05423">
            <w:pPr>
              <w:spacing w:line="276" w:lineRule="auto"/>
              <w:rPr>
                <w:rFonts w:ascii="Calibri" w:hAnsi="Calibri"/>
                <w:szCs w:val="20"/>
              </w:rPr>
            </w:pPr>
            <w:r w:rsidRPr="00EC3B13">
              <w:rPr>
                <w:rFonts w:ascii="Calibri" w:hAnsi="Calibri"/>
                <w:szCs w:val="20"/>
              </w:rPr>
              <w:t>Discussions on gender in your area of work in office staff meetings</w:t>
            </w:r>
          </w:p>
        </w:tc>
        <w:tc>
          <w:tcPr>
            <w:tcW w:w="551" w:type="dxa"/>
            <w:tcBorders>
              <w:top w:val="single" w:sz="4" w:space="0" w:color="auto"/>
              <w:left w:val="single" w:sz="4" w:space="0" w:color="auto"/>
            </w:tcBorders>
            <w:shd w:val="clear" w:color="auto" w:fill="EEECE1"/>
            <w:vAlign w:val="center"/>
          </w:tcPr>
          <w:p w:rsidR="009571FA" w:rsidRPr="00EC3B13" w:rsidRDefault="009571FA" w:rsidP="00C05423">
            <w:pPr>
              <w:spacing w:line="276" w:lineRule="auto"/>
              <w:jc w:val="center"/>
              <w:rPr>
                <w:rFonts w:ascii="Calibri" w:hAnsi="Calibri"/>
                <w:szCs w:val="20"/>
                <w:lang w:val="es-ES_tradnl"/>
              </w:rPr>
            </w:pPr>
            <w:r w:rsidRPr="00EC3B13">
              <w:rPr>
                <w:rFonts w:ascii="Calibri" w:hAnsi="Calibri"/>
                <w:szCs w:val="20"/>
                <w:lang w:val="es-ES_tradnl"/>
              </w:rPr>
              <w:t>551</w:t>
            </w:r>
          </w:p>
        </w:tc>
        <w:tc>
          <w:tcPr>
            <w:tcW w:w="607" w:type="dxa"/>
            <w:tcBorders>
              <w:top w:val="single" w:sz="4" w:space="0" w:color="auto"/>
              <w:right w:val="single" w:sz="4" w:space="0" w:color="auto"/>
            </w:tcBorders>
            <w:shd w:val="clear" w:color="auto" w:fill="EEECE1"/>
            <w:vAlign w:val="center"/>
          </w:tcPr>
          <w:p w:rsidR="009571FA" w:rsidRPr="00EC3B13" w:rsidRDefault="009571FA" w:rsidP="00C05423">
            <w:pPr>
              <w:spacing w:line="276" w:lineRule="auto"/>
              <w:jc w:val="center"/>
              <w:rPr>
                <w:rFonts w:ascii="Calibri" w:hAnsi="Calibri"/>
                <w:szCs w:val="20"/>
                <w:lang w:val="es-ES_tradnl"/>
              </w:rPr>
            </w:pPr>
            <w:r w:rsidRPr="00EC3B13">
              <w:rPr>
                <w:rFonts w:ascii="Calibri" w:hAnsi="Calibri"/>
                <w:szCs w:val="20"/>
                <w:lang w:val="es-ES_tradnl"/>
              </w:rPr>
              <w:t>25.5</w:t>
            </w:r>
          </w:p>
        </w:tc>
        <w:tc>
          <w:tcPr>
            <w:tcW w:w="691" w:type="dxa"/>
            <w:tcBorders>
              <w:top w:val="single" w:sz="4" w:space="0" w:color="auto"/>
              <w:left w:val="single" w:sz="4" w:space="0" w:color="auto"/>
            </w:tcBorders>
            <w:shd w:val="clear" w:color="auto" w:fill="EEECE1"/>
            <w:vAlign w:val="center"/>
          </w:tcPr>
          <w:p w:rsidR="009571FA" w:rsidRPr="00EC3B13" w:rsidRDefault="009571FA" w:rsidP="00C05423">
            <w:pPr>
              <w:spacing w:line="276" w:lineRule="auto"/>
              <w:jc w:val="center"/>
              <w:rPr>
                <w:rFonts w:ascii="Calibri" w:hAnsi="Calibri"/>
                <w:szCs w:val="20"/>
                <w:lang w:val="es-ES_tradnl"/>
              </w:rPr>
            </w:pPr>
            <w:r w:rsidRPr="00EC3B13">
              <w:rPr>
                <w:rFonts w:ascii="Calibri" w:hAnsi="Calibri"/>
                <w:szCs w:val="20"/>
                <w:lang w:val="es-ES_tradnl"/>
              </w:rPr>
              <w:t>120</w:t>
            </w:r>
          </w:p>
        </w:tc>
        <w:tc>
          <w:tcPr>
            <w:tcW w:w="756" w:type="dxa"/>
            <w:tcBorders>
              <w:top w:val="single" w:sz="4" w:space="0" w:color="auto"/>
            </w:tcBorders>
            <w:shd w:val="clear" w:color="auto" w:fill="EEECE1"/>
            <w:vAlign w:val="center"/>
          </w:tcPr>
          <w:p w:rsidR="009571FA" w:rsidRPr="00EC3B13" w:rsidRDefault="009571FA" w:rsidP="00C05423">
            <w:pPr>
              <w:spacing w:line="276" w:lineRule="auto"/>
              <w:jc w:val="center"/>
              <w:rPr>
                <w:rFonts w:ascii="Calibri" w:hAnsi="Calibri"/>
                <w:szCs w:val="20"/>
                <w:lang w:val="es-ES_tradnl"/>
              </w:rPr>
            </w:pPr>
            <w:r w:rsidRPr="00EC3B13">
              <w:rPr>
                <w:rFonts w:ascii="Calibri" w:hAnsi="Calibri"/>
                <w:szCs w:val="20"/>
                <w:lang w:val="es-ES_tradnl"/>
              </w:rPr>
              <w:t>30.8</w:t>
            </w:r>
          </w:p>
        </w:tc>
      </w:tr>
      <w:tr w:rsidR="009571FA" w:rsidRPr="00EC3B13" w:rsidTr="00B90A47">
        <w:trPr>
          <w:trHeight w:val="432"/>
          <w:jc w:val="center"/>
        </w:trPr>
        <w:tc>
          <w:tcPr>
            <w:tcW w:w="5345" w:type="dxa"/>
            <w:tcBorders>
              <w:top w:val="single" w:sz="4" w:space="0" w:color="auto"/>
              <w:right w:val="single" w:sz="4" w:space="0" w:color="auto"/>
            </w:tcBorders>
            <w:shd w:val="clear" w:color="auto" w:fill="F2F2F2"/>
            <w:vAlign w:val="center"/>
          </w:tcPr>
          <w:p w:rsidR="009571FA" w:rsidRPr="00EC3B13" w:rsidRDefault="009571FA">
            <w:pPr>
              <w:spacing w:line="276" w:lineRule="auto"/>
              <w:rPr>
                <w:rFonts w:ascii="Calibri" w:hAnsi="Calibri"/>
                <w:sz w:val="18"/>
                <w:szCs w:val="20"/>
              </w:rPr>
            </w:pPr>
            <w:r w:rsidRPr="00EC3B13">
              <w:rPr>
                <w:rFonts w:ascii="Calibri" w:hAnsi="Calibri"/>
                <w:sz w:val="18"/>
                <w:szCs w:val="20"/>
              </w:rPr>
              <w:t>Designated Gender Focal Point</w:t>
            </w:r>
          </w:p>
        </w:tc>
        <w:tc>
          <w:tcPr>
            <w:tcW w:w="551" w:type="dxa"/>
            <w:tcBorders>
              <w:top w:val="single" w:sz="4" w:space="0" w:color="auto"/>
              <w:left w:val="single" w:sz="4" w:space="0" w:color="auto"/>
            </w:tcBorders>
            <w:shd w:val="clear" w:color="auto" w:fill="F2F2F2"/>
            <w:vAlign w:val="center"/>
          </w:tcPr>
          <w:p w:rsidR="009571FA" w:rsidRPr="00EC3B13" w:rsidRDefault="009571FA">
            <w:pPr>
              <w:spacing w:line="276" w:lineRule="auto"/>
              <w:jc w:val="center"/>
              <w:rPr>
                <w:rFonts w:ascii="Calibri" w:hAnsi="Calibri"/>
                <w:sz w:val="18"/>
                <w:szCs w:val="20"/>
              </w:rPr>
            </w:pPr>
            <w:r w:rsidRPr="00EC3B13">
              <w:rPr>
                <w:rFonts w:ascii="Calibri" w:hAnsi="Calibri"/>
                <w:sz w:val="18"/>
                <w:szCs w:val="20"/>
              </w:rPr>
              <w:t>466</w:t>
            </w:r>
          </w:p>
        </w:tc>
        <w:tc>
          <w:tcPr>
            <w:tcW w:w="607" w:type="dxa"/>
            <w:tcBorders>
              <w:top w:val="single" w:sz="4" w:space="0" w:color="auto"/>
              <w:right w:val="single" w:sz="4" w:space="0" w:color="auto"/>
            </w:tcBorders>
            <w:shd w:val="clear" w:color="auto" w:fill="F2F2F2"/>
            <w:vAlign w:val="center"/>
          </w:tcPr>
          <w:p w:rsidR="009571FA" w:rsidRPr="00EC3B13" w:rsidRDefault="009571FA">
            <w:pPr>
              <w:spacing w:line="276" w:lineRule="auto"/>
              <w:jc w:val="center"/>
              <w:rPr>
                <w:rFonts w:ascii="Calibri" w:hAnsi="Calibri"/>
                <w:sz w:val="18"/>
                <w:szCs w:val="20"/>
              </w:rPr>
            </w:pPr>
            <w:r w:rsidRPr="00EC3B13">
              <w:rPr>
                <w:rFonts w:ascii="Calibri" w:hAnsi="Calibri"/>
                <w:sz w:val="18"/>
                <w:szCs w:val="20"/>
              </w:rPr>
              <w:t>21.6</w:t>
            </w:r>
          </w:p>
        </w:tc>
        <w:tc>
          <w:tcPr>
            <w:tcW w:w="691" w:type="dxa"/>
            <w:tcBorders>
              <w:top w:val="single" w:sz="4" w:space="0" w:color="auto"/>
              <w:left w:val="single" w:sz="4" w:space="0" w:color="auto"/>
            </w:tcBorders>
            <w:shd w:val="clear" w:color="auto" w:fill="F2F2F2"/>
            <w:vAlign w:val="center"/>
          </w:tcPr>
          <w:p w:rsidR="009571FA" w:rsidRPr="00EC3B13" w:rsidRDefault="009571FA">
            <w:pPr>
              <w:spacing w:line="276" w:lineRule="auto"/>
              <w:jc w:val="center"/>
              <w:rPr>
                <w:rFonts w:ascii="Calibri" w:hAnsi="Calibri"/>
                <w:sz w:val="18"/>
                <w:szCs w:val="20"/>
              </w:rPr>
            </w:pPr>
            <w:r w:rsidRPr="00EC3B13">
              <w:rPr>
                <w:rFonts w:ascii="Calibri" w:hAnsi="Calibri"/>
                <w:sz w:val="18"/>
                <w:szCs w:val="20"/>
              </w:rPr>
              <w:t>114</w:t>
            </w:r>
          </w:p>
        </w:tc>
        <w:tc>
          <w:tcPr>
            <w:tcW w:w="756" w:type="dxa"/>
            <w:tcBorders>
              <w:top w:val="single" w:sz="4" w:space="0" w:color="auto"/>
            </w:tcBorders>
            <w:shd w:val="clear" w:color="auto" w:fill="F2F2F2"/>
            <w:vAlign w:val="center"/>
          </w:tcPr>
          <w:p w:rsidR="009571FA" w:rsidRPr="00EC3B13" w:rsidRDefault="009571FA">
            <w:pPr>
              <w:spacing w:line="276" w:lineRule="auto"/>
              <w:jc w:val="center"/>
              <w:rPr>
                <w:rFonts w:ascii="Calibri" w:hAnsi="Calibri"/>
                <w:sz w:val="18"/>
                <w:szCs w:val="20"/>
                <w:lang w:val="es-ES_tradnl"/>
              </w:rPr>
            </w:pPr>
            <w:r w:rsidRPr="00EC3B13">
              <w:rPr>
                <w:rFonts w:ascii="Calibri" w:hAnsi="Calibri"/>
                <w:sz w:val="18"/>
                <w:szCs w:val="20"/>
              </w:rPr>
              <w:t>29</w:t>
            </w:r>
            <w:r w:rsidRPr="00EC3B13">
              <w:rPr>
                <w:rFonts w:ascii="Calibri" w:hAnsi="Calibri"/>
                <w:sz w:val="18"/>
                <w:szCs w:val="20"/>
                <w:lang w:val="es-ES_tradnl"/>
              </w:rPr>
              <w:t>.2</w:t>
            </w:r>
          </w:p>
        </w:tc>
      </w:tr>
      <w:tr w:rsidR="009571FA" w:rsidRPr="00EC3B13" w:rsidTr="006528DC">
        <w:trPr>
          <w:trHeight w:val="432"/>
          <w:jc w:val="center"/>
        </w:trPr>
        <w:tc>
          <w:tcPr>
            <w:tcW w:w="5345" w:type="dxa"/>
            <w:tcBorders>
              <w:right w:val="single" w:sz="4" w:space="0" w:color="auto"/>
            </w:tcBorders>
            <w:vAlign w:val="center"/>
          </w:tcPr>
          <w:p w:rsidR="009571FA" w:rsidRPr="00EC3B13" w:rsidRDefault="009571FA">
            <w:pPr>
              <w:spacing w:line="276" w:lineRule="auto"/>
              <w:rPr>
                <w:rFonts w:ascii="Calibri" w:hAnsi="Calibri"/>
                <w:sz w:val="18"/>
                <w:szCs w:val="20"/>
              </w:rPr>
            </w:pPr>
            <w:r w:rsidRPr="00EC3B13">
              <w:rPr>
                <w:rFonts w:ascii="Calibri" w:hAnsi="Calibri"/>
                <w:sz w:val="18"/>
                <w:szCs w:val="20"/>
              </w:rPr>
              <w:t>Linkages with Countries/Regional/HQ Gender Focal Points/Units</w:t>
            </w:r>
          </w:p>
        </w:tc>
        <w:tc>
          <w:tcPr>
            <w:tcW w:w="551" w:type="dxa"/>
            <w:tcBorders>
              <w:left w:val="single" w:sz="4" w:space="0" w:color="auto"/>
            </w:tcBorders>
            <w:vAlign w:val="center"/>
          </w:tcPr>
          <w:p w:rsidR="009571FA" w:rsidRPr="00EC3B13" w:rsidRDefault="009571FA">
            <w:pPr>
              <w:spacing w:line="276" w:lineRule="auto"/>
              <w:jc w:val="center"/>
              <w:rPr>
                <w:rFonts w:ascii="Calibri" w:hAnsi="Calibri"/>
                <w:sz w:val="18"/>
                <w:szCs w:val="20"/>
                <w:lang w:val="es-ES_tradnl"/>
              </w:rPr>
            </w:pPr>
            <w:r w:rsidRPr="00EC3B13">
              <w:rPr>
                <w:rFonts w:ascii="Calibri" w:hAnsi="Calibri"/>
                <w:sz w:val="18"/>
                <w:szCs w:val="20"/>
                <w:lang w:val="es-ES_tradnl"/>
              </w:rPr>
              <w:t>339</w:t>
            </w:r>
          </w:p>
        </w:tc>
        <w:tc>
          <w:tcPr>
            <w:tcW w:w="607" w:type="dxa"/>
            <w:tcBorders>
              <w:right w:val="single" w:sz="4" w:space="0" w:color="auto"/>
            </w:tcBorders>
            <w:vAlign w:val="center"/>
          </w:tcPr>
          <w:p w:rsidR="009571FA" w:rsidRPr="00EC3B13" w:rsidRDefault="009571FA">
            <w:pPr>
              <w:spacing w:line="276" w:lineRule="auto"/>
              <w:jc w:val="center"/>
              <w:rPr>
                <w:rFonts w:ascii="Calibri" w:hAnsi="Calibri"/>
                <w:sz w:val="18"/>
                <w:szCs w:val="20"/>
                <w:lang w:val="es-ES_tradnl"/>
              </w:rPr>
            </w:pPr>
            <w:r w:rsidRPr="00EC3B13">
              <w:rPr>
                <w:rFonts w:ascii="Calibri" w:hAnsi="Calibri"/>
                <w:sz w:val="18"/>
                <w:szCs w:val="20"/>
                <w:lang w:val="es-ES_tradnl"/>
              </w:rPr>
              <w:t>15.7</w:t>
            </w:r>
          </w:p>
        </w:tc>
        <w:tc>
          <w:tcPr>
            <w:tcW w:w="691" w:type="dxa"/>
            <w:tcBorders>
              <w:left w:val="single" w:sz="4" w:space="0" w:color="auto"/>
            </w:tcBorders>
            <w:vAlign w:val="center"/>
          </w:tcPr>
          <w:p w:rsidR="009571FA" w:rsidRPr="00EC3B13" w:rsidRDefault="009571FA">
            <w:pPr>
              <w:spacing w:line="276" w:lineRule="auto"/>
              <w:jc w:val="center"/>
              <w:rPr>
                <w:rFonts w:ascii="Calibri" w:hAnsi="Calibri"/>
                <w:sz w:val="18"/>
                <w:szCs w:val="20"/>
                <w:lang w:val="es-ES_tradnl"/>
              </w:rPr>
            </w:pPr>
            <w:r w:rsidRPr="00EC3B13">
              <w:rPr>
                <w:rFonts w:ascii="Calibri" w:hAnsi="Calibri"/>
                <w:sz w:val="18"/>
                <w:szCs w:val="20"/>
                <w:lang w:val="es-ES_tradnl"/>
              </w:rPr>
              <w:t>89</w:t>
            </w:r>
          </w:p>
        </w:tc>
        <w:tc>
          <w:tcPr>
            <w:tcW w:w="756" w:type="dxa"/>
            <w:vAlign w:val="center"/>
          </w:tcPr>
          <w:p w:rsidR="009571FA" w:rsidRPr="00EC3B13" w:rsidRDefault="009571FA">
            <w:pPr>
              <w:spacing w:line="276" w:lineRule="auto"/>
              <w:jc w:val="center"/>
              <w:rPr>
                <w:rFonts w:ascii="Calibri" w:hAnsi="Calibri"/>
                <w:sz w:val="18"/>
                <w:szCs w:val="20"/>
                <w:lang w:val="es-ES_tradnl"/>
              </w:rPr>
            </w:pPr>
            <w:r w:rsidRPr="00EC3B13">
              <w:rPr>
                <w:rFonts w:ascii="Calibri" w:hAnsi="Calibri"/>
                <w:sz w:val="18"/>
                <w:szCs w:val="20"/>
                <w:lang w:val="es-ES_tradnl"/>
              </w:rPr>
              <w:t>22.8</w:t>
            </w:r>
          </w:p>
        </w:tc>
      </w:tr>
      <w:tr w:rsidR="009571FA" w:rsidRPr="00EC3B13" w:rsidTr="006528DC">
        <w:trPr>
          <w:trHeight w:val="432"/>
          <w:jc w:val="center"/>
        </w:trPr>
        <w:tc>
          <w:tcPr>
            <w:tcW w:w="5345" w:type="dxa"/>
            <w:tcBorders>
              <w:right w:val="single" w:sz="4" w:space="0" w:color="auto"/>
            </w:tcBorders>
            <w:vAlign w:val="center"/>
          </w:tcPr>
          <w:p w:rsidR="009571FA" w:rsidRPr="00EC3B13" w:rsidRDefault="009571FA" w:rsidP="00C05423">
            <w:pPr>
              <w:spacing w:line="276" w:lineRule="auto"/>
              <w:rPr>
                <w:rFonts w:ascii="Calibri" w:hAnsi="Calibri"/>
                <w:sz w:val="18"/>
                <w:szCs w:val="20"/>
              </w:rPr>
            </w:pPr>
            <w:r w:rsidRPr="00EC3B13">
              <w:rPr>
                <w:rFonts w:ascii="Calibri" w:hAnsi="Calibri"/>
                <w:sz w:val="18"/>
                <w:szCs w:val="20"/>
              </w:rPr>
              <w:t>Information sharing on upcoming seminars/meeting on gender</w:t>
            </w:r>
          </w:p>
        </w:tc>
        <w:tc>
          <w:tcPr>
            <w:tcW w:w="551" w:type="dxa"/>
            <w:tcBorders>
              <w:left w:val="single" w:sz="4" w:space="0" w:color="auto"/>
            </w:tcBorders>
            <w:vAlign w:val="center"/>
          </w:tcPr>
          <w:p w:rsidR="009571FA" w:rsidRPr="00EC3B13" w:rsidRDefault="009571FA" w:rsidP="00C05423">
            <w:pPr>
              <w:spacing w:line="276" w:lineRule="auto"/>
              <w:jc w:val="center"/>
              <w:rPr>
                <w:rFonts w:ascii="Calibri" w:hAnsi="Calibri"/>
                <w:sz w:val="18"/>
                <w:szCs w:val="20"/>
                <w:lang w:val="es-ES_tradnl"/>
              </w:rPr>
            </w:pPr>
            <w:r w:rsidRPr="00EC3B13">
              <w:rPr>
                <w:rFonts w:ascii="Calibri" w:hAnsi="Calibri"/>
                <w:sz w:val="18"/>
                <w:szCs w:val="20"/>
                <w:lang w:val="es-ES_tradnl"/>
              </w:rPr>
              <w:t>351</w:t>
            </w:r>
          </w:p>
        </w:tc>
        <w:tc>
          <w:tcPr>
            <w:tcW w:w="607" w:type="dxa"/>
            <w:tcBorders>
              <w:right w:val="single" w:sz="4" w:space="0" w:color="auto"/>
            </w:tcBorders>
            <w:vAlign w:val="center"/>
          </w:tcPr>
          <w:p w:rsidR="009571FA" w:rsidRPr="00EC3B13" w:rsidRDefault="009571FA" w:rsidP="00C05423">
            <w:pPr>
              <w:spacing w:line="276" w:lineRule="auto"/>
              <w:jc w:val="center"/>
              <w:rPr>
                <w:rFonts w:ascii="Calibri" w:hAnsi="Calibri"/>
                <w:sz w:val="18"/>
                <w:szCs w:val="20"/>
                <w:lang w:val="es-ES_tradnl"/>
              </w:rPr>
            </w:pPr>
            <w:r w:rsidRPr="00EC3B13">
              <w:rPr>
                <w:rFonts w:ascii="Calibri" w:hAnsi="Calibri"/>
                <w:sz w:val="18"/>
                <w:szCs w:val="20"/>
                <w:lang w:val="es-ES_tradnl"/>
              </w:rPr>
              <w:t>16.3</w:t>
            </w:r>
          </w:p>
        </w:tc>
        <w:tc>
          <w:tcPr>
            <w:tcW w:w="691" w:type="dxa"/>
            <w:tcBorders>
              <w:left w:val="single" w:sz="4" w:space="0" w:color="auto"/>
            </w:tcBorders>
            <w:vAlign w:val="center"/>
          </w:tcPr>
          <w:p w:rsidR="009571FA" w:rsidRPr="00EC3B13" w:rsidRDefault="009571FA" w:rsidP="00C05423">
            <w:pPr>
              <w:spacing w:line="276" w:lineRule="auto"/>
              <w:jc w:val="center"/>
              <w:rPr>
                <w:rFonts w:ascii="Calibri" w:hAnsi="Calibri"/>
                <w:sz w:val="18"/>
                <w:szCs w:val="20"/>
                <w:lang w:val="es-ES_tradnl"/>
              </w:rPr>
            </w:pPr>
            <w:r w:rsidRPr="00EC3B13">
              <w:rPr>
                <w:rFonts w:ascii="Calibri" w:hAnsi="Calibri"/>
                <w:sz w:val="18"/>
                <w:szCs w:val="20"/>
                <w:lang w:val="es-ES_tradnl"/>
              </w:rPr>
              <w:t>85</w:t>
            </w:r>
          </w:p>
        </w:tc>
        <w:tc>
          <w:tcPr>
            <w:tcW w:w="756" w:type="dxa"/>
            <w:vAlign w:val="center"/>
          </w:tcPr>
          <w:p w:rsidR="009571FA" w:rsidRPr="00EC3B13" w:rsidRDefault="009571FA" w:rsidP="00C05423">
            <w:pPr>
              <w:spacing w:line="276" w:lineRule="auto"/>
              <w:jc w:val="center"/>
              <w:rPr>
                <w:rFonts w:ascii="Calibri" w:hAnsi="Calibri"/>
                <w:sz w:val="18"/>
                <w:szCs w:val="20"/>
                <w:lang w:val="es-ES_tradnl"/>
              </w:rPr>
            </w:pPr>
            <w:r w:rsidRPr="00EC3B13">
              <w:rPr>
                <w:rFonts w:ascii="Calibri" w:hAnsi="Calibri"/>
                <w:sz w:val="18"/>
                <w:szCs w:val="20"/>
                <w:lang w:val="es-ES_tradnl"/>
              </w:rPr>
              <w:t>21.8</w:t>
            </w:r>
          </w:p>
        </w:tc>
      </w:tr>
      <w:tr w:rsidR="009571FA" w:rsidRPr="00EC3B13" w:rsidTr="006528DC">
        <w:trPr>
          <w:trHeight w:val="432"/>
          <w:jc w:val="center"/>
        </w:trPr>
        <w:tc>
          <w:tcPr>
            <w:tcW w:w="5345" w:type="dxa"/>
            <w:tcBorders>
              <w:right w:val="single" w:sz="4" w:space="0" w:color="auto"/>
            </w:tcBorders>
            <w:vAlign w:val="center"/>
          </w:tcPr>
          <w:p w:rsidR="009571FA" w:rsidRPr="00EC3B13" w:rsidRDefault="009571FA">
            <w:pPr>
              <w:spacing w:line="276" w:lineRule="auto"/>
              <w:rPr>
                <w:rFonts w:ascii="Calibri" w:hAnsi="Calibri"/>
                <w:sz w:val="18"/>
                <w:szCs w:val="20"/>
              </w:rPr>
            </w:pPr>
            <w:r w:rsidRPr="00EC3B13">
              <w:rPr>
                <w:rFonts w:ascii="Calibri" w:hAnsi="Calibri"/>
                <w:sz w:val="18"/>
                <w:szCs w:val="20"/>
              </w:rPr>
              <w:t>Information sharing on gender training opportunities</w:t>
            </w:r>
          </w:p>
        </w:tc>
        <w:tc>
          <w:tcPr>
            <w:tcW w:w="551" w:type="dxa"/>
            <w:tcBorders>
              <w:left w:val="single" w:sz="4" w:space="0" w:color="auto"/>
            </w:tcBorders>
            <w:vAlign w:val="center"/>
          </w:tcPr>
          <w:p w:rsidR="009571FA" w:rsidRPr="00EC3B13" w:rsidRDefault="009571FA">
            <w:pPr>
              <w:spacing w:line="276" w:lineRule="auto"/>
              <w:jc w:val="center"/>
              <w:rPr>
                <w:rFonts w:ascii="Calibri" w:hAnsi="Calibri"/>
                <w:sz w:val="18"/>
                <w:szCs w:val="20"/>
                <w:lang w:val="es-ES_tradnl"/>
              </w:rPr>
            </w:pPr>
            <w:r w:rsidRPr="00EC3B13">
              <w:rPr>
                <w:rFonts w:ascii="Calibri" w:hAnsi="Calibri"/>
                <w:sz w:val="18"/>
                <w:szCs w:val="20"/>
                <w:lang w:val="es-ES_tradnl"/>
              </w:rPr>
              <w:t>320</w:t>
            </w:r>
          </w:p>
        </w:tc>
        <w:tc>
          <w:tcPr>
            <w:tcW w:w="607" w:type="dxa"/>
            <w:tcBorders>
              <w:right w:val="single" w:sz="4" w:space="0" w:color="auto"/>
            </w:tcBorders>
            <w:vAlign w:val="center"/>
          </w:tcPr>
          <w:p w:rsidR="009571FA" w:rsidRPr="00EC3B13" w:rsidRDefault="009571FA">
            <w:pPr>
              <w:spacing w:line="276" w:lineRule="auto"/>
              <w:jc w:val="center"/>
              <w:rPr>
                <w:rFonts w:ascii="Calibri" w:hAnsi="Calibri"/>
                <w:sz w:val="18"/>
                <w:szCs w:val="20"/>
                <w:lang w:val="es-ES_tradnl"/>
              </w:rPr>
            </w:pPr>
            <w:r w:rsidRPr="00EC3B13">
              <w:rPr>
                <w:rFonts w:ascii="Calibri" w:hAnsi="Calibri"/>
                <w:sz w:val="18"/>
                <w:szCs w:val="20"/>
                <w:lang w:val="es-ES_tradnl"/>
              </w:rPr>
              <w:t>14.8</w:t>
            </w:r>
          </w:p>
        </w:tc>
        <w:tc>
          <w:tcPr>
            <w:tcW w:w="691" w:type="dxa"/>
            <w:tcBorders>
              <w:left w:val="single" w:sz="4" w:space="0" w:color="auto"/>
            </w:tcBorders>
            <w:vAlign w:val="center"/>
          </w:tcPr>
          <w:p w:rsidR="009571FA" w:rsidRPr="00EC3B13" w:rsidRDefault="009571FA">
            <w:pPr>
              <w:spacing w:line="276" w:lineRule="auto"/>
              <w:jc w:val="center"/>
              <w:rPr>
                <w:rFonts w:ascii="Calibri" w:hAnsi="Calibri"/>
                <w:sz w:val="18"/>
                <w:szCs w:val="20"/>
                <w:lang w:val="es-ES_tradnl"/>
              </w:rPr>
            </w:pPr>
            <w:r w:rsidRPr="00EC3B13">
              <w:rPr>
                <w:rFonts w:ascii="Calibri" w:hAnsi="Calibri"/>
                <w:sz w:val="18"/>
                <w:szCs w:val="20"/>
                <w:lang w:val="es-ES_tradnl"/>
              </w:rPr>
              <w:t>64</w:t>
            </w:r>
          </w:p>
        </w:tc>
        <w:tc>
          <w:tcPr>
            <w:tcW w:w="756" w:type="dxa"/>
            <w:vAlign w:val="center"/>
          </w:tcPr>
          <w:p w:rsidR="009571FA" w:rsidRPr="00EC3B13" w:rsidRDefault="009571FA">
            <w:pPr>
              <w:spacing w:line="276" w:lineRule="auto"/>
              <w:jc w:val="center"/>
              <w:rPr>
                <w:rFonts w:ascii="Calibri" w:hAnsi="Calibri"/>
                <w:sz w:val="18"/>
                <w:szCs w:val="20"/>
                <w:lang w:val="es-ES_tradnl"/>
              </w:rPr>
            </w:pPr>
            <w:r w:rsidRPr="00EC3B13">
              <w:rPr>
                <w:rFonts w:ascii="Calibri" w:hAnsi="Calibri"/>
                <w:sz w:val="18"/>
                <w:szCs w:val="20"/>
                <w:lang w:val="es-ES_tradnl"/>
              </w:rPr>
              <w:t>16.4</w:t>
            </w:r>
          </w:p>
        </w:tc>
      </w:tr>
      <w:tr w:rsidR="009571FA" w:rsidRPr="00EC3B13" w:rsidTr="006528DC">
        <w:trPr>
          <w:trHeight w:val="432"/>
          <w:jc w:val="center"/>
        </w:trPr>
        <w:tc>
          <w:tcPr>
            <w:tcW w:w="5345" w:type="dxa"/>
            <w:tcBorders>
              <w:bottom w:val="single" w:sz="4" w:space="0" w:color="auto"/>
              <w:right w:val="single" w:sz="4" w:space="0" w:color="auto"/>
            </w:tcBorders>
            <w:vAlign w:val="center"/>
          </w:tcPr>
          <w:p w:rsidR="009571FA" w:rsidRPr="00EC3B13" w:rsidRDefault="009571FA">
            <w:pPr>
              <w:spacing w:line="276" w:lineRule="auto"/>
              <w:rPr>
                <w:rFonts w:ascii="Calibri" w:hAnsi="Calibri"/>
                <w:sz w:val="18"/>
                <w:szCs w:val="20"/>
              </w:rPr>
            </w:pPr>
            <w:r w:rsidRPr="00EC3B13">
              <w:rPr>
                <w:rFonts w:ascii="Calibri" w:hAnsi="Calibri"/>
                <w:sz w:val="18"/>
                <w:szCs w:val="20"/>
              </w:rPr>
              <w:t>Interdepartmental Task Force on Gender</w:t>
            </w:r>
          </w:p>
        </w:tc>
        <w:tc>
          <w:tcPr>
            <w:tcW w:w="551" w:type="dxa"/>
            <w:tcBorders>
              <w:left w:val="single" w:sz="4" w:space="0" w:color="auto"/>
              <w:bottom w:val="single" w:sz="4" w:space="0" w:color="auto"/>
            </w:tcBorders>
            <w:vAlign w:val="center"/>
          </w:tcPr>
          <w:p w:rsidR="009571FA" w:rsidRPr="00EC3B13" w:rsidRDefault="009571FA">
            <w:pPr>
              <w:spacing w:line="276" w:lineRule="auto"/>
              <w:jc w:val="center"/>
              <w:rPr>
                <w:rFonts w:ascii="Calibri" w:hAnsi="Calibri"/>
                <w:sz w:val="18"/>
                <w:szCs w:val="20"/>
                <w:lang w:val="es-ES_tradnl"/>
              </w:rPr>
            </w:pPr>
            <w:r w:rsidRPr="00EC3B13">
              <w:rPr>
                <w:rFonts w:ascii="Calibri" w:hAnsi="Calibri"/>
                <w:sz w:val="18"/>
                <w:szCs w:val="20"/>
                <w:lang w:val="es-ES_tradnl"/>
              </w:rPr>
              <w:t>161</w:t>
            </w:r>
          </w:p>
        </w:tc>
        <w:tc>
          <w:tcPr>
            <w:tcW w:w="607" w:type="dxa"/>
            <w:tcBorders>
              <w:bottom w:val="single" w:sz="4" w:space="0" w:color="auto"/>
              <w:right w:val="single" w:sz="4" w:space="0" w:color="auto"/>
            </w:tcBorders>
            <w:vAlign w:val="center"/>
          </w:tcPr>
          <w:p w:rsidR="009571FA" w:rsidRPr="00EC3B13" w:rsidRDefault="009571FA">
            <w:pPr>
              <w:spacing w:line="276" w:lineRule="auto"/>
              <w:jc w:val="center"/>
              <w:rPr>
                <w:rFonts w:ascii="Calibri" w:hAnsi="Calibri"/>
                <w:sz w:val="18"/>
                <w:szCs w:val="20"/>
                <w:lang w:val="es-ES_tradnl"/>
              </w:rPr>
            </w:pPr>
            <w:r w:rsidRPr="00EC3B13">
              <w:rPr>
                <w:rFonts w:ascii="Calibri" w:hAnsi="Calibri"/>
                <w:sz w:val="18"/>
                <w:szCs w:val="20"/>
                <w:lang w:val="es-ES_tradnl"/>
              </w:rPr>
              <w:t>7.5</w:t>
            </w:r>
          </w:p>
        </w:tc>
        <w:tc>
          <w:tcPr>
            <w:tcW w:w="691" w:type="dxa"/>
            <w:tcBorders>
              <w:left w:val="single" w:sz="4" w:space="0" w:color="auto"/>
              <w:bottom w:val="single" w:sz="4" w:space="0" w:color="auto"/>
            </w:tcBorders>
            <w:vAlign w:val="center"/>
          </w:tcPr>
          <w:p w:rsidR="009571FA" w:rsidRPr="00EC3B13" w:rsidRDefault="009571FA">
            <w:pPr>
              <w:spacing w:line="276" w:lineRule="auto"/>
              <w:jc w:val="center"/>
              <w:rPr>
                <w:rFonts w:ascii="Calibri" w:hAnsi="Calibri"/>
                <w:sz w:val="18"/>
                <w:szCs w:val="20"/>
                <w:lang w:val="es-ES_tradnl"/>
              </w:rPr>
            </w:pPr>
            <w:r w:rsidRPr="00EC3B13">
              <w:rPr>
                <w:rFonts w:ascii="Calibri" w:hAnsi="Calibri"/>
                <w:sz w:val="18"/>
                <w:szCs w:val="20"/>
                <w:lang w:val="es-ES_tradnl"/>
              </w:rPr>
              <w:t>38</w:t>
            </w:r>
          </w:p>
        </w:tc>
        <w:tc>
          <w:tcPr>
            <w:tcW w:w="756" w:type="dxa"/>
            <w:tcBorders>
              <w:bottom w:val="single" w:sz="4" w:space="0" w:color="auto"/>
            </w:tcBorders>
            <w:vAlign w:val="center"/>
          </w:tcPr>
          <w:p w:rsidR="009571FA" w:rsidRPr="00EC3B13" w:rsidRDefault="009571FA">
            <w:pPr>
              <w:spacing w:line="276" w:lineRule="auto"/>
              <w:jc w:val="center"/>
              <w:rPr>
                <w:rFonts w:ascii="Calibri" w:hAnsi="Calibri"/>
                <w:sz w:val="18"/>
                <w:szCs w:val="20"/>
                <w:lang w:val="es-ES_tradnl"/>
              </w:rPr>
            </w:pPr>
            <w:r w:rsidRPr="00EC3B13">
              <w:rPr>
                <w:rFonts w:ascii="Calibri" w:hAnsi="Calibri"/>
                <w:sz w:val="18"/>
                <w:szCs w:val="20"/>
                <w:lang w:val="es-ES_tradnl"/>
              </w:rPr>
              <w:t>9.7</w:t>
            </w:r>
          </w:p>
        </w:tc>
      </w:tr>
      <w:tr w:rsidR="009571FA" w:rsidRPr="00EC3B13" w:rsidTr="006528DC">
        <w:trPr>
          <w:trHeight w:val="312"/>
          <w:jc w:val="center"/>
        </w:trPr>
        <w:tc>
          <w:tcPr>
            <w:tcW w:w="5345" w:type="dxa"/>
            <w:tcBorders>
              <w:top w:val="single" w:sz="4" w:space="0" w:color="auto"/>
              <w:right w:val="single" w:sz="4" w:space="0" w:color="auto"/>
            </w:tcBorders>
            <w:vAlign w:val="center"/>
          </w:tcPr>
          <w:p w:rsidR="009571FA" w:rsidRPr="00EC3B13" w:rsidRDefault="009571FA">
            <w:pPr>
              <w:spacing w:line="276" w:lineRule="auto"/>
              <w:rPr>
                <w:rFonts w:ascii="Calibri" w:hAnsi="Calibri"/>
                <w:sz w:val="18"/>
                <w:szCs w:val="20"/>
                <w:lang w:val="es-ES_tradnl"/>
              </w:rPr>
            </w:pPr>
            <w:r w:rsidRPr="00EC3B13">
              <w:rPr>
                <w:rFonts w:ascii="Calibri" w:hAnsi="Calibri"/>
                <w:sz w:val="18"/>
                <w:szCs w:val="20"/>
                <w:lang w:val="es-ES_tradnl"/>
              </w:rPr>
              <w:t>All of the above</w:t>
            </w:r>
          </w:p>
        </w:tc>
        <w:tc>
          <w:tcPr>
            <w:tcW w:w="551" w:type="dxa"/>
            <w:tcBorders>
              <w:top w:val="single" w:sz="4" w:space="0" w:color="auto"/>
              <w:left w:val="single" w:sz="4" w:space="0" w:color="auto"/>
            </w:tcBorders>
            <w:vAlign w:val="center"/>
          </w:tcPr>
          <w:p w:rsidR="009571FA" w:rsidRPr="00EC3B13" w:rsidRDefault="009571FA">
            <w:pPr>
              <w:spacing w:line="276" w:lineRule="auto"/>
              <w:jc w:val="center"/>
              <w:rPr>
                <w:rFonts w:ascii="Calibri" w:hAnsi="Calibri"/>
                <w:sz w:val="18"/>
                <w:szCs w:val="20"/>
                <w:lang w:val="es-ES_tradnl"/>
              </w:rPr>
            </w:pPr>
            <w:r w:rsidRPr="00EC3B13">
              <w:rPr>
                <w:rFonts w:ascii="Calibri" w:hAnsi="Calibri"/>
                <w:sz w:val="18"/>
                <w:szCs w:val="20"/>
                <w:lang w:val="es-ES_tradnl"/>
              </w:rPr>
              <w:t>151</w:t>
            </w:r>
          </w:p>
        </w:tc>
        <w:tc>
          <w:tcPr>
            <w:tcW w:w="607" w:type="dxa"/>
            <w:tcBorders>
              <w:top w:val="single" w:sz="4" w:space="0" w:color="auto"/>
              <w:right w:val="single" w:sz="4" w:space="0" w:color="auto"/>
            </w:tcBorders>
            <w:vAlign w:val="center"/>
          </w:tcPr>
          <w:p w:rsidR="009571FA" w:rsidRPr="00EC3B13" w:rsidRDefault="009571FA">
            <w:pPr>
              <w:spacing w:line="276" w:lineRule="auto"/>
              <w:jc w:val="center"/>
              <w:rPr>
                <w:rFonts w:ascii="Calibri" w:hAnsi="Calibri"/>
                <w:sz w:val="18"/>
                <w:szCs w:val="20"/>
                <w:lang w:val="es-ES_tradnl"/>
              </w:rPr>
            </w:pPr>
            <w:r w:rsidRPr="00EC3B13">
              <w:rPr>
                <w:rFonts w:ascii="Calibri" w:hAnsi="Calibri"/>
                <w:sz w:val="18"/>
                <w:szCs w:val="20"/>
                <w:lang w:val="es-ES_tradnl"/>
              </w:rPr>
              <w:t>7.0</w:t>
            </w:r>
          </w:p>
        </w:tc>
        <w:tc>
          <w:tcPr>
            <w:tcW w:w="691" w:type="dxa"/>
            <w:tcBorders>
              <w:top w:val="single" w:sz="4" w:space="0" w:color="auto"/>
              <w:left w:val="single" w:sz="4" w:space="0" w:color="auto"/>
            </w:tcBorders>
            <w:vAlign w:val="center"/>
          </w:tcPr>
          <w:p w:rsidR="009571FA" w:rsidRPr="00EC3B13" w:rsidRDefault="009571FA">
            <w:pPr>
              <w:spacing w:line="276" w:lineRule="auto"/>
              <w:jc w:val="center"/>
              <w:rPr>
                <w:rFonts w:ascii="Calibri" w:hAnsi="Calibri"/>
                <w:sz w:val="18"/>
                <w:szCs w:val="20"/>
                <w:lang w:val="es-ES_tradnl"/>
              </w:rPr>
            </w:pPr>
            <w:r w:rsidRPr="00EC3B13">
              <w:rPr>
                <w:rFonts w:ascii="Calibri" w:hAnsi="Calibri"/>
                <w:sz w:val="18"/>
                <w:szCs w:val="20"/>
                <w:lang w:val="es-ES_tradnl"/>
              </w:rPr>
              <w:t>34</w:t>
            </w:r>
          </w:p>
        </w:tc>
        <w:tc>
          <w:tcPr>
            <w:tcW w:w="756" w:type="dxa"/>
            <w:tcBorders>
              <w:top w:val="single" w:sz="4" w:space="0" w:color="auto"/>
            </w:tcBorders>
            <w:vAlign w:val="center"/>
          </w:tcPr>
          <w:p w:rsidR="009571FA" w:rsidRPr="00EC3B13" w:rsidRDefault="009571FA">
            <w:pPr>
              <w:spacing w:line="276" w:lineRule="auto"/>
              <w:jc w:val="center"/>
              <w:rPr>
                <w:rFonts w:ascii="Calibri" w:hAnsi="Calibri"/>
                <w:sz w:val="18"/>
                <w:szCs w:val="20"/>
                <w:lang w:val="es-ES_tradnl"/>
              </w:rPr>
            </w:pPr>
            <w:r w:rsidRPr="00EC3B13">
              <w:rPr>
                <w:rFonts w:ascii="Calibri" w:hAnsi="Calibri"/>
                <w:sz w:val="18"/>
                <w:szCs w:val="20"/>
                <w:lang w:val="es-ES_tradnl"/>
              </w:rPr>
              <w:t>8.7</w:t>
            </w:r>
          </w:p>
        </w:tc>
      </w:tr>
      <w:tr w:rsidR="009571FA" w:rsidRPr="00EC3B13" w:rsidTr="006528DC">
        <w:trPr>
          <w:trHeight w:val="312"/>
          <w:jc w:val="center"/>
        </w:trPr>
        <w:tc>
          <w:tcPr>
            <w:tcW w:w="5345" w:type="dxa"/>
            <w:tcBorders>
              <w:right w:val="single" w:sz="4" w:space="0" w:color="auto"/>
            </w:tcBorders>
            <w:vAlign w:val="center"/>
          </w:tcPr>
          <w:p w:rsidR="009571FA" w:rsidRPr="00EC3B13" w:rsidRDefault="009571FA">
            <w:pPr>
              <w:spacing w:line="276" w:lineRule="auto"/>
              <w:rPr>
                <w:rFonts w:ascii="Calibri" w:hAnsi="Calibri"/>
                <w:sz w:val="18"/>
                <w:szCs w:val="20"/>
                <w:lang w:val="es-ES_tradnl"/>
              </w:rPr>
            </w:pPr>
            <w:r w:rsidRPr="00EC3B13">
              <w:rPr>
                <w:rFonts w:ascii="Calibri" w:hAnsi="Calibri"/>
                <w:sz w:val="18"/>
                <w:szCs w:val="20"/>
                <w:lang w:val="es-ES_tradnl"/>
              </w:rPr>
              <w:t>Other</w:t>
            </w:r>
          </w:p>
        </w:tc>
        <w:tc>
          <w:tcPr>
            <w:tcW w:w="551" w:type="dxa"/>
            <w:tcBorders>
              <w:left w:val="single" w:sz="4" w:space="0" w:color="auto"/>
            </w:tcBorders>
            <w:vAlign w:val="center"/>
          </w:tcPr>
          <w:p w:rsidR="009571FA" w:rsidRPr="00EC3B13" w:rsidRDefault="009571FA">
            <w:pPr>
              <w:spacing w:line="276" w:lineRule="auto"/>
              <w:jc w:val="center"/>
              <w:rPr>
                <w:rFonts w:ascii="Calibri" w:hAnsi="Calibri"/>
                <w:sz w:val="18"/>
                <w:szCs w:val="20"/>
                <w:lang w:val="es-ES_tradnl"/>
              </w:rPr>
            </w:pPr>
            <w:r w:rsidRPr="00EC3B13">
              <w:rPr>
                <w:rFonts w:ascii="Calibri" w:hAnsi="Calibri"/>
                <w:sz w:val="18"/>
                <w:szCs w:val="20"/>
                <w:lang w:val="es-ES_tradnl"/>
              </w:rPr>
              <w:t>70</w:t>
            </w:r>
          </w:p>
        </w:tc>
        <w:tc>
          <w:tcPr>
            <w:tcW w:w="607" w:type="dxa"/>
            <w:tcBorders>
              <w:right w:val="single" w:sz="4" w:space="0" w:color="auto"/>
            </w:tcBorders>
            <w:vAlign w:val="center"/>
          </w:tcPr>
          <w:p w:rsidR="009571FA" w:rsidRPr="00EC3B13" w:rsidRDefault="009571FA">
            <w:pPr>
              <w:spacing w:line="276" w:lineRule="auto"/>
              <w:jc w:val="center"/>
              <w:rPr>
                <w:rFonts w:ascii="Calibri" w:hAnsi="Calibri"/>
                <w:sz w:val="18"/>
                <w:szCs w:val="20"/>
                <w:lang w:val="es-ES_tradnl"/>
              </w:rPr>
            </w:pPr>
            <w:r w:rsidRPr="00EC3B13">
              <w:rPr>
                <w:rFonts w:ascii="Calibri" w:hAnsi="Calibri"/>
                <w:sz w:val="18"/>
                <w:szCs w:val="20"/>
                <w:lang w:val="es-ES_tradnl"/>
              </w:rPr>
              <w:t>3.2</w:t>
            </w:r>
          </w:p>
        </w:tc>
        <w:tc>
          <w:tcPr>
            <w:tcW w:w="691" w:type="dxa"/>
            <w:tcBorders>
              <w:left w:val="single" w:sz="4" w:space="0" w:color="auto"/>
            </w:tcBorders>
            <w:vAlign w:val="center"/>
          </w:tcPr>
          <w:p w:rsidR="009571FA" w:rsidRPr="00EC3B13" w:rsidRDefault="009571FA">
            <w:pPr>
              <w:spacing w:line="276" w:lineRule="auto"/>
              <w:jc w:val="center"/>
              <w:rPr>
                <w:rFonts w:ascii="Calibri" w:hAnsi="Calibri"/>
                <w:sz w:val="18"/>
                <w:szCs w:val="20"/>
                <w:lang w:val="es-ES_tradnl"/>
              </w:rPr>
            </w:pPr>
            <w:r w:rsidRPr="00EC3B13">
              <w:rPr>
                <w:rFonts w:ascii="Calibri" w:hAnsi="Calibri"/>
                <w:sz w:val="18"/>
                <w:szCs w:val="20"/>
                <w:lang w:val="es-ES_tradnl"/>
              </w:rPr>
              <w:t>13</w:t>
            </w:r>
          </w:p>
        </w:tc>
        <w:tc>
          <w:tcPr>
            <w:tcW w:w="756" w:type="dxa"/>
            <w:vAlign w:val="center"/>
          </w:tcPr>
          <w:p w:rsidR="009571FA" w:rsidRPr="00EC3B13" w:rsidRDefault="009571FA">
            <w:pPr>
              <w:spacing w:line="276" w:lineRule="auto"/>
              <w:jc w:val="center"/>
              <w:rPr>
                <w:rFonts w:ascii="Calibri" w:hAnsi="Calibri"/>
                <w:sz w:val="18"/>
                <w:szCs w:val="20"/>
                <w:lang w:val="es-ES_tradnl"/>
              </w:rPr>
            </w:pPr>
            <w:r w:rsidRPr="00EC3B13">
              <w:rPr>
                <w:rFonts w:ascii="Calibri" w:hAnsi="Calibri"/>
                <w:sz w:val="18"/>
                <w:szCs w:val="20"/>
                <w:lang w:val="es-ES_tradnl"/>
              </w:rPr>
              <w:t>3.3</w:t>
            </w:r>
          </w:p>
        </w:tc>
      </w:tr>
      <w:tr w:rsidR="009571FA" w:rsidRPr="00EC3B13" w:rsidTr="006528DC">
        <w:trPr>
          <w:trHeight w:val="312"/>
          <w:jc w:val="center"/>
        </w:trPr>
        <w:tc>
          <w:tcPr>
            <w:tcW w:w="5345" w:type="dxa"/>
            <w:tcBorders>
              <w:right w:val="single" w:sz="4" w:space="0" w:color="auto"/>
            </w:tcBorders>
            <w:vAlign w:val="center"/>
          </w:tcPr>
          <w:p w:rsidR="009571FA" w:rsidRPr="00EC3B13" w:rsidRDefault="009571FA">
            <w:pPr>
              <w:spacing w:line="276" w:lineRule="auto"/>
              <w:rPr>
                <w:rFonts w:ascii="Calibri" w:hAnsi="Calibri"/>
                <w:sz w:val="18"/>
                <w:szCs w:val="20"/>
                <w:lang w:val="es-ES_tradnl"/>
              </w:rPr>
            </w:pPr>
            <w:r w:rsidRPr="00EC3B13">
              <w:rPr>
                <w:rFonts w:ascii="Calibri" w:hAnsi="Calibri"/>
                <w:sz w:val="18"/>
                <w:szCs w:val="20"/>
                <w:lang w:val="es-ES_tradnl"/>
              </w:rPr>
              <w:t>None</w:t>
            </w:r>
          </w:p>
        </w:tc>
        <w:tc>
          <w:tcPr>
            <w:tcW w:w="551" w:type="dxa"/>
            <w:tcBorders>
              <w:left w:val="single" w:sz="4" w:space="0" w:color="auto"/>
            </w:tcBorders>
            <w:vAlign w:val="center"/>
          </w:tcPr>
          <w:p w:rsidR="009571FA" w:rsidRPr="00EC3B13" w:rsidRDefault="009571FA">
            <w:pPr>
              <w:spacing w:line="276" w:lineRule="auto"/>
              <w:jc w:val="center"/>
              <w:rPr>
                <w:rFonts w:ascii="Calibri" w:hAnsi="Calibri"/>
                <w:sz w:val="18"/>
                <w:szCs w:val="20"/>
                <w:lang w:val="es-ES_tradnl"/>
              </w:rPr>
            </w:pPr>
            <w:r w:rsidRPr="00EC3B13">
              <w:rPr>
                <w:rFonts w:ascii="Calibri" w:hAnsi="Calibri"/>
                <w:sz w:val="18"/>
                <w:szCs w:val="20"/>
                <w:lang w:val="es-ES_tradnl"/>
              </w:rPr>
              <w:t>469</w:t>
            </w:r>
          </w:p>
        </w:tc>
        <w:tc>
          <w:tcPr>
            <w:tcW w:w="607" w:type="dxa"/>
            <w:tcBorders>
              <w:right w:val="single" w:sz="4" w:space="0" w:color="auto"/>
            </w:tcBorders>
            <w:vAlign w:val="center"/>
          </w:tcPr>
          <w:p w:rsidR="009571FA" w:rsidRPr="00EC3B13" w:rsidRDefault="009571FA">
            <w:pPr>
              <w:spacing w:line="276" w:lineRule="auto"/>
              <w:jc w:val="center"/>
              <w:rPr>
                <w:rFonts w:ascii="Calibri" w:hAnsi="Calibri"/>
                <w:sz w:val="18"/>
                <w:szCs w:val="20"/>
                <w:lang w:val="es-ES_tradnl"/>
              </w:rPr>
            </w:pPr>
            <w:r w:rsidRPr="00EC3B13">
              <w:rPr>
                <w:rFonts w:ascii="Calibri" w:hAnsi="Calibri"/>
                <w:sz w:val="18"/>
                <w:szCs w:val="20"/>
                <w:lang w:val="es-ES_tradnl"/>
              </w:rPr>
              <w:t>21.7</w:t>
            </w:r>
          </w:p>
        </w:tc>
        <w:tc>
          <w:tcPr>
            <w:tcW w:w="691" w:type="dxa"/>
            <w:tcBorders>
              <w:left w:val="single" w:sz="4" w:space="0" w:color="auto"/>
            </w:tcBorders>
            <w:vAlign w:val="center"/>
          </w:tcPr>
          <w:p w:rsidR="009571FA" w:rsidRPr="00EC3B13" w:rsidRDefault="009571FA">
            <w:pPr>
              <w:spacing w:line="276" w:lineRule="auto"/>
              <w:jc w:val="center"/>
              <w:rPr>
                <w:rFonts w:ascii="Calibri" w:hAnsi="Calibri"/>
                <w:sz w:val="18"/>
                <w:szCs w:val="20"/>
                <w:lang w:val="es-ES_tradnl"/>
              </w:rPr>
            </w:pPr>
            <w:r w:rsidRPr="00EC3B13">
              <w:rPr>
                <w:rFonts w:ascii="Calibri" w:hAnsi="Calibri"/>
                <w:sz w:val="18"/>
                <w:szCs w:val="20"/>
                <w:lang w:val="es-ES_tradnl"/>
              </w:rPr>
              <w:t>53</w:t>
            </w:r>
          </w:p>
        </w:tc>
        <w:tc>
          <w:tcPr>
            <w:tcW w:w="756" w:type="dxa"/>
            <w:vAlign w:val="center"/>
          </w:tcPr>
          <w:p w:rsidR="009571FA" w:rsidRPr="00EC3B13" w:rsidRDefault="009571FA">
            <w:pPr>
              <w:spacing w:line="276" w:lineRule="auto"/>
              <w:jc w:val="center"/>
              <w:rPr>
                <w:rFonts w:ascii="Calibri" w:hAnsi="Calibri"/>
                <w:sz w:val="18"/>
                <w:szCs w:val="20"/>
                <w:lang w:val="es-ES_tradnl"/>
              </w:rPr>
            </w:pPr>
            <w:r w:rsidRPr="00EC3B13">
              <w:rPr>
                <w:rFonts w:ascii="Calibri" w:hAnsi="Calibri"/>
                <w:sz w:val="18"/>
                <w:szCs w:val="20"/>
                <w:lang w:val="es-ES_tradnl"/>
              </w:rPr>
              <w:t>13.6</w:t>
            </w:r>
          </w:p>
        </w:tc>
      </w:tr>
      <w:tr w:rsidR="009571FA" w:rsidRPr="00EC3B13" w:rsidTr="006528DC">
        <w:trPr>
          <w:trHeight w:val="312"/>
          <w:jc w:val="center"/>
        </w:trPr>
        <w:tc>
          <w:tcPr>
            <w:tcW w:w="5345" w:type="dxa"/>
            <w:tcBorders>
              <w:bottom w:val="single" w:sz="4" w:space="0" w:color="auto"/>
              <w:right w:val="single" w:sz="4" w:space="0" w:color="auto"/>
            </w:tcBorders>
            <w:vAlign w:val="center"/>
          </w:tcPr>
          <w:p w:rsidR="009571FA" w:rsidRPr="00EC3B13" w:rsidRDefault="009571FA" w:rsidP="008E23C3">
            <w:pPr>
              <w:spacing w:line="276" w:lineRule="auto"/>
              <w:rPr>
                <w:rFonts w:ascii="Calibri" w:hAnsi="Calibri"/>
                <w:sz w:val="18"/>
                <w:szCs w:val="20"/>
                <w:lang w:val="es-ES_tradnl"/>
              </w:rPr>
            </w:pPr>
            <w:r w:rsidRPr="00EC3B13">
              <w:rPr>
                <w:rFonts w:ascii="Calibri" w:hAnsi="Calibri"/>
                <w:sz w:val="18"/>
                <w:szCs w:val="20"/>
                <w:lang w:val="es-ES_tradnl"/>
              </w:rPr>
              <w:t>Don't know</w:t>
            </w:r>
          </w:p>
        </w:tc>
        <w:tc>
          <w:tcPr>
            <w:tcW w:w="551" w:type="dxa"/>
            <w:tcBorders>
              <w:left w:val="single" w:sz="4" w:space="0" w:color="auto"/>
              <w:bottom w:val="single" w:sz="4" w:space="0" w:color="auto"/>
            </w:tcBorders>
            <w:vAlign w:val="center"/>
          </w:tcPr>
          <w:p w:rsidR="009571FA" w:rsidRPr="00EC3B13" w:rsidRDefault="009571FA">
            <w:pPr>
              <w:spacing w:line="276" w:lineRule="auto"/>
              <w:jc w:val="center"/>
              <w:rPr>
                <w:rFonts w:ascii="Calibri" w:hAnsi="Calibri"/>
                <w:sz w:val="18"/>
                <w:szCs w:val="20"/>
                <w:lang w:val="es-ES_tradnl"/>
              </w:rPr>
            </w:pPr>
            <w:r w:rsidRPr="00EC3B13">
              <w:rPr>
                <w:rFonts w:ascii="Calibri" w:hAnsi="Calibri"/>
                <w:sz w:val="18"/>
                <w:szCs w:val="20"/>
                <w:lang w:val="es-ES_tradnl"/>
              </w:rPr>
              <w:t>383</w:t>
            </w:r>
          </w:p>
        </w:tc>
        <w:tc>
          <w:tcPr>
            <w:tcW w:w="607" w:type="dxa"/>
            <w:tcBorders>
              <w:bottom w:val="single" w:sz="4" w:space="0" w:color="auto"/>
              <w:right w:val="single" w:sz="4" w:space="0" w:color="auto"/>
            </w:tcBorders>
            <w:vAlign w:val="center"/>
          </w:tcPr>
          <w:p w:rsidR="009571FA" w:rsidRPr="00EC3B13" w:rsidRDefault="009571FA">
            <w:pPr>
              <w:spacing w:line="276" w:lineRule="auto"/>
              <w:jc w:val="center"/>
              <w:rPr>
                <w:rFonts w:ascii="Calibri" w:hAnsi="Calibri"/>
                <w:sz w:val="18"/>
                <w:szCs w:val="20"/>
                <w:lang w:val="es-ES_tradnl"/>
              </w:rPr>
            </w:pPr>
            <w:r w:rsidRPr="00EC3B13">
              <w:rPr>
                <w:rFonts w:ascii="Calibri" w:hAnsi="Calibri"/>
                <w:sz w:val="18"/>
                <w:szCs w:val="20"/>
                <w:lang w:val="es-ES_tradnl"/>
              </w:rPr>
              <w:t>17.7</w:t>
            </w:r>
          </w:p>
        </w:tc>
        <w:tc>
          <w:tcPr>
            <w:tcW w:w="691" w:type="dxa"/>
            <w:tcBorders>
              <w:left w:val="single" w:sz="4" w:space="0" w:color="auto"/>
              <w:bottom w:val="single" w:sz="4" w:space="0" w:color="auto"/>
            </w:tcBorders>
            <w:vAlign w:val="center"/>
          </w:tcPr>
          <w:p w:rsidR="009571FA" w:rsidRPr="00EC3B13" w:rsidRDefault="009571FA">
            <w:pPr>
              <w:spacing w:line="276" w:lineRule="auto"/>
              <w:jc w:val="center"/>
              <w:rPr>
                <w:rFonts w:ascii="Calibri" w:hAnsi="Calibri"/>
                <w:sz w:val="18"/>
                <w:szCs w:val="20"/>
                <w:lang w:val="es-ES_tradnl"/>
              </w:rPr>
            </w:pPr>
            <w:r w:rsidRPr="00EC3B13">
              <w:rPr>
                <w:rFonts w:ascii="Calibri" w:hAnsi="Calibri"/>
                <w:sz w:val="18"/>
                <w:szCs w:val="20"/>
                <w:lang w:val="es-ES_tradnl"/>
              </w:rPr>
              <w:t>40</w:t>
            </w:r>
          </w:p>
        </w:tc>
        <w:tc>
          <w:tcPr>
            <w:tcW w:w="756" w:type="dxa"/>
            <w:tcBorders>
              <w:bottom w:val="single" w:sz="4" w:space="0" w:color="auto"/>
            </w:tcBorders>
            <w:vAlign w:val="center"/>
          </w:tcPr>
          <w:p w:rsidR="009571FA" w:rsidRPr="00EC3B13" w:rsidRDefault="009571FA">
            <w:pPr>
              <w:spacing w:line="276" w:lineRule="auto"/>
              <w:jc w:val="center"/>
              <w:rPr>
                <w:rFonts w:ascii="Calibri" w:hAnsi="Calibri"/>
                <w:sz w:val="18"/>
                <w:szCs w:val="20"/>
                <w:lang w:val="es-ES_tradnl"/>
              </w:rPr>
            </w:pPr>
            <w:r w:rsidRPr="00EC3B13">
              <w:rPr>
                <w:rFonts w:ascii="Calibri" w:hAnsi="Calibri"/>
                <w:sz w:val="18"/>
                <w:szCs w:val="20"/>
                <w:lang w:val="es-ES_tradnl"/>
              </w:rPr>
              <w:t>10.3</w:t>
            </w:r>
          </w:p>
        </w:tc>
      </w:tr>
    </w:tbl>
    <w:p w:rsidR="009571FA" w:rsidRPr="00EC3B13" w:rsidRDefault="009571FA" w:rsidP="00E84EFE">
      <w:pPr>
        <w:rPr>
          <w:rFonts w:ascii="Corbel" w:hAnsi="Corbel"/>
          <w:sz w:val="18"/>
          <w:szCs w:val="20"/>
          <w:lang w:val="es-ES_tradnl"/>
        </w:rPr>
      </w:pPr>
    </w:p>
    <w:p w:rsidR="009571FA" w:rsidRDefault="009571FA" w:rsidP="00EE5F2E">
      <w:pPr>
        <w:jc w:val="both"/>
        <w:rPr>
          <w:color w:val="000000"/>
          <w:sz w:val="8"/>
        </w:rPr>
      </w:pPr>
    </w:p>
    <w:p w:rsidR="009571FA" w:rsidRDefault="00833DB8" w:rsidP="00EE5F2E">
      <w:pPr>
        <w:jc w:val="both"/>
        <w:rPr>
          <w:rFonts w:cs="Arial"/>
          <w:sz w:val="22"/>
          <w:lang w:val="en-US"/>
        </w:rPr>
      </w:pPr>
      <w:r>
        <w:rPr>
          <w:rFonts w:cs="Arial"/>
          <w:sz w:val="22"/>
          <w:lang w:val="en-US"/>
        </w:rPr>
        <w:t>T</w:t>
      </w:r>
      <w:r w:rsidR="009571FA">
        <w:rPr>
          <w:rFonts w:cs="Arial"/>
          <w:sz w:val="22"/>
          <w:lang w:val="en-US"/>
        </w:rPr>
        <w:t xml:space="preserve">he relative importance assigned by PAHO staff to these four factors matches closely the priorities expressed by WHO staff as a whole. Other factors relating to training opportunities, formal seminars, and Task Force provisions received considerably fewer mentions. Training, for instance was mentioned half as often as the first four factors. </w:t>
      </w:r>
      <w:r w:rsidR="009571FA">
        <w:rPr>
          <w:rFonts w:cs="Arial"/>
          <w:sz w:val="22"/>
        </w:rPr>
        <w:t>T</w:t>
      </w:r>
      <w:r w:rsidR="009571FA">
        <w:rPr>
          <w:rFonts w:cs="Arial"/>
          <w:sz w:val="22"/>
          <w:lang w:val="en-US"/>
        </w:rPr>
        <w:t xml:space="preserve">hese findings highlight the priority assigned by staff to being able to access information and rely on technical collaboration tailored to their </w:t>
      </w:r>
      <w:r w:rsidR="009571FA">
        <w:rPr>
          <w:rFonts w:cs="Arial"/>
          <w:b/>
          <w:i/>
          <w:sz w:val="22"/>
          <w:lang w:val="en-US"/>
        </w:rPr>
        <w:t>specific</w:t>
      </w:r>
      <w:r w:rsidR="009571FA">
        <w:rPr>
          <w:rFonts w:cs="Arial"/>
          <w:b/>
          <w:sz w:val="22"/>
          <w:lang w:val="en-US"/>
        </w:rPr>
        <w:t xml:space="preserve"> </w:t>
      </w:r>
      <w:r w:rsidR="009571FA">
        <w:rPr>
          <w:rFonts w:cs="Arial"/>
          <w:sz w:val="22"/>
          <w:lang w:val="en-US"/>
        </w:rPr>
        <w:t>work areas.</w:t>
      </w:r>
    </w:p>
    <w:p w:rsidR="009571FA" w:rsidRDefault="009571FA" w:rsidP="006D508E">
      <w:pPr>
        <w:rPr>
          <w:rFonts w:ascii="Corbel" w:hAnsi="Corbel"/>
          <w:sz w:val="18"/>
          <w:lang w:val="en-US"/>
        </w:rPr>
      </w:pPr>
    </w:p>
    <w:p w:rsidR="00DE30BA" w:rsidRDefault="00DE30BA" w:rsidP="006D508E">
      <w:pPr>
        <w:rPr>
          <w:rFonts w:ascii="Corbel" w:hAnsi="Corbel"/>
          <w:sz w:val="18"/>
          <w:lang w:val="en-US"/>
        </w:rPr>
      </w:pPr>
    </w:p>
    <w:p w:rsidR="009571FA" w:rsidRDefault="007C65A5" w:rsidP="00581596">
      <w:pPr>
        <w:numPr>
          <w:ilvl w:val="0"/>
          <w:numId w:val="39"/>
        </w:numPr>
        <w:rPr>
          <w:rFonts w:cs="Arial"/>
          <w:b/>
          <w:sz w:val="24"/>
          <w:lang w:val="en-US"/>
        </w:rPr>
      </w:pPr>
      <w:r>
        <w:rPr>
          <w:rFonts w:cs="Arial"/>
          <w:b/>
          <w:sz w:val="24"/>
          <w:lang w:val="en-US"/>
        </w:rPr>
        <w:t xml:space="preserve"> </w:t>
      </w:r>
      <w:r w:rsidR="009571FA">
        <w:rPr>
          <w:rFonts w:cs="Arial"/>
          <w:b/>
          <w:sz w:val="24"/>
          <w:lang w:val="en-US"/>
        </w:rPr>
        <w:t xml:space="preserve"> </w:t>
      </w:r>
      <w:r w:rsidR="009571FA" w:rsidRPr="008A4FA4">
        <w:rPr>
          <w:rFonts w:cs="Arial"/>
          <w:b/>
          <w:sz w:val="24"/>
          <w:lang w:val="en-US"/>
        </w:rPr>
        <w:t>Inhibiting factors or institutional barriers for gender mainstreaming</w:t>
      </w:r>
    </w:p>
    <w:p w:rsidR="009571FA" w:rsidRPr="00734B13" w:rsidRDefault="009571FA" w:rsidP="00CD5BEF">
      <w:pPr>
        <w:jc w:val="both"/>
        <w:rPr>
          <w:rFonts w:cs="Arial"/>
          <w:sz w:val="12"/>
          <w:lang w:val="en-US"/>
        </w:rPr>
      </w:pPr>
    </w:p>
    <w:p w:rsidR="009571FA" w:rsidRDefault="009571FA" w:rsidP="00CD5BEF">
      <w:pPr>
        <w:jc w:val="both"/>
        <w:rPr>
          <w:rFonts w:cs="Arial"/>
          <w:sz w:val="22"/>
          <w:lang w:val="en-US"/>
        </w:rPr>
      </w:pPr>
      <w:r>
        <w:rPr>
          <w:rFonts w:cs="Arial"/>
          <w:sz w:val="22"/>
          <w:lang w:val="en-US"/>
        </w:rPr>
        <w:t xml:space="preserve">Regarding the existence of inhibiting factors or institutional barriers for gender mainstreaming, the most frequent response among PAHO staff members (28%) was that there were “none”.  This type of response was given by 20% of all WHO staff. </w:t>
      </w:r>
    </w:p>
    <w:p w:rsidR="009571FA" w:rsidRPr="004B49FA" w:rsidRDefault="009571FA" w:rsidP="00CD5BEF">
      <w:pPr>
        <w:jc w:val="both"/>
        <w:rPr>
          <w:rFonts w:cs="Arial"/>
          <w:sz w:val="12"/>
          <w:lang w:val="en-US"/>
        </w:rPr>
      </w:pPr>
    </w:p>
    <w:p w:rsidR="009571FA" w:rsidRDefault="009571FA" w:rsidP="00CD5BEF">
      <w:pPr>
        <w:jc w:val="both"/>
        <w:rPr>
          <w:rFonts w:cs="Arial"/>
          <w:sz w:val="22"/>
          <w:lang w:val="en-US"/>
        </w:rPr>
      </w:pPr>
      <w:r>
        <w:rPr>
          <w:rFonts w:cs="Arial"/>
          <w:sz w:val="22"/>
          <w:lang w:val="en-US"/>
        </w:rPr>
        <w:t>The factors most often identified by PAHO staff as challenges or barriers for gender mainstreaming, in nearly 1 of every 4 cases, were the following: (Table 8)</w:t>
      </w:r>
    </w:p>
    <w:p w:rsidR="009571FA" w:rsidRPr="004B49FA" w:rsidRDefault="009571FA" w:rsidP="00CD5BEF">
      <w:pPr>
        <w:jc w:val="both"/>
        <w:rPr>
          <w:rFonts w:cs="Arial"/>
          <w:sz w:val="8"/>
          <w:lang w:val="en-US"/>
        </w:rPr>
      </w:pPr>
    </w:p>
    <w:p w:rsidR="009571FA" w:rsidRPr="00C05423" w:rsidRDefault="009571FA" w:rsidP="00C05423">
      <w:pPr>
        <w:ind w:left="360"/>
        <w:jc w:val="both"/>
        <w:rPr>
          <w:rFonts w:cs="Arial"/>
          <w:sz w:val="22"/>
        </w:rPr>
      </w:pPr>
      <w:r>
        <w:rPr>
          <w:rFonts w:cs="Arial"/>
          <w:sz w:val="22"/>
        </w:rPr>
        <w:t>1</w:t>
      </w:r>
      <w:r w:rsidRPr="00C05423">
        <w:rPr>
          <w:rFonts w:cs="Arial"/>
          <w:sz w:val="22"/>
          <w:vertAlign w:val="superscript"/>
        </w:rPr>
        <w:t>st</w:t>
      </w:r>
      <w:r>
        <w:rPr>
          <w:rFonts w:cs="Arial"/>
          <w:sz w:val="22"/>
        </w:rPr>
        <w:t xml:space="preserve">   </w:t>
      </w:r>
      <w:r w:rsidRPr="00263F25">
        <w:rPr>
          <w:rFonts w:cs="Arial"/>
          <w:sz w:val="22"/>
        </w:rPr>
        <w:t>Insufficient knowledge or skills on gender to apply it to my work</w:t>
      </w:r>
      <w:r>
        <w:rPr>
          <w:rFonts w:cs="Arial"/>
          <w:sz w:val="22"/>
        </w:rPr>
        <w:t xml:space="preserve"> ......</w:t>
      </w:r>
      <w:r w:rsidR="001E3616">
        <w:rPr>
          <w:rFonts w:cs="Arial"/>
          <w:sz w:val="22"/>
        </w:rPr>
        <w:t>.</w:t>
      </w:r>
      <w:r>
        <w:rPr>
          <w:rFonts w:cs="Arial"/>
          <w:sz w:val="22"/>
        </w:rPr>
        <w:t>....26%</w:t>
      </w:r>
    </w:p>
    <w:p w:rsidR="009571FA" w:rsidRPr="00263F25" w:rsidRDefault="009571FA" w:rsidP="00C05423">
      <w:pPr>
        <w:ind w:left="360"/>
        <w:jc w:val="both"/>
        <w:rPr>
          <w:rFonts w:cs="Arial"/>
          <w:sz w:val="28"/>
          <w:lang w:val="en-US"/>
        </w:rPr>
      </w:pPr>
      <w:r>
        <w:rPr>
          <w:rFonts w:cs="Arial"/>
          <w:sz w:val="22"/>
        </w:rPr>
        <w:t>2</w:t>
      </w:r>
      <w:r w:rsidRPr="00C05423">
        <w:rPr>
          <w:rFonts w:cs="Arial"/>
          <w:sz w:val="22"/>
          <w:vertAlign w:val="superscript"/>
        </w:rPr>
        <w:t>nd</w:t>
      </w:r>
      <w:r>
        <w:rPr>
          <w:rFonts w:cs="Arial"/>
          <w:sz w:val="22"/>
        </w:rPr>
        <w:t xml:space="preserve">  </w:t>
      </w:r>
      <w:r w:rsidRPr="00263F25">
        <w:rPr>
          <w:rFonts w:cs="Arial"/>
          <w:sz w:val="22"/>
        </w:rPr>
        <w:t>Lack of appropriate data / evidence on gender in my area of work</w:t>
      </w:r>
      <w:r>
        <w:rPr>
          <w:rFonts w:cs="Arial"/>
          <w:sz w:val="22"/>
        </w:rPr>
        <w:t>..,......24%</w:t>
      </w:r>
    </w:p>
    <w:p w:rsidR="009571FA" w:rsidRDefault="009571FA" w:rsidP="00C05423">
      <w:pPr>
        <w:ind w:left="360"/>
        <w:jc w:val="both"/>
        <w:rPr>
          <w:rFonts w:cs="Arial"/>
          <w:sz w:val="22"/>
        </w:rPr>
      </w:pPr>
      <w:r>
        <w:rPr>
          <w:rFonts w:cs="Arial"/>
          <w:sz w:val="22"/>
          <w:lang w:val="en-US"/>
        </w:rPr>
        <w:t>3</w:t>
      </w:r>
      <w:r w:rsidRPr="00C05423">
        <w:rPr>
          <w:rFonts w:cs="Arial"/>
          <w:sz w:val="22"/>
          <w:vertAlign w:val="superscript"/>
          <w:lang w:val="en-US"/>
        </w:rPr>
        <w:t>rd</w:t>
      </w:r>
      <w:r>
        <w:rPr>
          <w:rFonts w:cs="Arial"/>
          <w:sz w:val="22"/>
          <w:lang w:val="en-US"/>
        </w:rPr>
        <w:t xml:space="preserve">  </w:t>
      </w:r>
      <w:r w:rsidRPr="00263F25">
        <w:rPr>
          <w:rFonts w:cs="Arial"/>
          <w:sz w:val="22"/>
        </w:rPr>
        <w:t>Lack of appropriate tools to help me address gender in my work</w:t>
      </w:r>
      <w:r>
        <w:rPr>
          <w:rFonts w:cs="Arial"/>
          <w:sz w:val="22"/>
        </w:rPr>
        <w:t>............24%</w:t>
      </w:r>
    </w:p>
    <w:p w:rsidR="00DE30BA" w:rsidRDefault="00DE30BA" w:rsidP="00DE30BA">
      <w:pPr>
        <w:jc w:val="both"/>
        <w:rPr>
          <w:rFonts w:cs="Arial"/>
          <w:sz w:val="22"/>
        </w:rPr>
      </w:pPr>
    </w:p>
    <w:p w:rsidR="00DE30BA" w:rsidRDefault="00DE30BA" w:rsidP="00DE30BA">
      <w:pPr>
        <w:jc w:val="both"/>
        <w:rPr>
          <w:rFonts w:cs="Arial"/>
          <w:sz w:val="22"/>
        </w:rPr>
      </w:pPr>
      <w:r>
        <w:rPr>
          <w:rFonts w:cs="Arial"/>
          <w:sz w:val="22"/>
        </w:rPr>
        <w:t xml:space="preserve">These three factors were also the same ones pointed out most frequently by </w:t>
      </w:r>
      <w:r w:rsidRPr="001315F3">
        <w:rPr>
          <w:rFonts w:cs="Arial"/>
          <w:b/>
          <w:sz w:val="22"/>
        </w:rPr>
        <w:t xml:space="preserve">all </w:t>
      </w:r>
      <w:r>
        <w:rPr>
          <w:rFonts w:cs="Arial"/>
          <w:sz w:val="22"/>
        </w:rPr>
        <w:t xml:space="preserve">WHO staff and again attest to the need for tailored support. The options alluding to lack of appropriate resources—financial or human— and insufficient technical follow-up after training, received intermediate ratings (18, 14, and 18%, respectively) among PAHO staff.  Among all WHO staff the intermediate percentages corresponded instead to lack of interest and time to pursue gender integration (16 and 14%, respectively). The latter inhibiting factors, lack of time or interest for addressing gender, indicated the lowest frequency of mentions among PAHO staff (11%), lower than for WHO staff as a whole. </w:t>
      </w:r>
    </w:p>
    <w:p w:rsidR="00DE30BA" w:rsidRPr="00DE30BA" w:rsidRDefault="00DE30BA" w:rsidP="00C05423">
      <w:pPr>
        <w:ind w:left="360"/>
        <w:jc w:val="both"/>
        <w:rPr>
          <w:rFonts w:cs="Arial"/>
          <w:sz w:val="10"/>
        </w:rPr>
      </w:pPr>
    </w:p>
    <w:p w:rsidR="009571FA" w:rsidRPr="004B49FA" w:rsidRDefault="009571FA" w:rsidP="00274EB2">
      <w:pPr>
        <w:jc w:val="both"/>
        <w:rPr>
          <w:rFonts w:cs="Arial"/>
          <w:sz w:val="4"/>
        </w:rPr>
      </w:pPr>
      <w:r>
        <w:rPr>
          <w:rFonts w:cs="Arial"/>
          <w:sz w:val="22"/>
        </w:rPr>
        <w:t xml:space="preserve">   </w:t>
      </w:r>
    </w:p>
    <w:p w:rsidR="009571FA" w:rsidRPr="00833DB8" w:rsidRDefault="009571FA" w:rsidP="00833DB8">
      <w:pPr>
        <w:pStyle w:val="Heading2"/>
        <w:spacing w:after="200"/>
        <w:ind w:left="288"/>
        <w:rPr>
          <w:rFonts w:ascii="Arial" w:hAnsi="Arial" w:cs="Arial"/>
          <w:color w:val="auto"/>
          <w:sz w:val="20"/>
          <w:szCs w:val="22"/>
        </w:rPr>
      </w:pPr>
      <w:r w:rsidRPr="00833DB8">
        <w:rPr>
          <w:rFonts w:ascii="Arial" w:hAnsi="Arial" w:cs="Arial"/>
          <w:color w:val="auto"/>
          <w:sz w:val="20"/>
          <w:szCs w:val="22"/>
        </w:rPr>
        <w:t>Table 8.</w:t>
      </w:r>
      <w:r w:rsidRPr="00833DB8">
        <w:rPr>
          <w:rFonts w:ascii="Arial" w:hAnsi="Arial" w:cs="Arial"/>
          <w:b w:val="0"/>
          <w:color w:val="auto"/>
          <w:sz w:val="20"/>
          <w:szCs w:val="22"/>
        </w:rPr>
        <w:t xml:space="preserve">  Inhibiting factors or institutional barriers for gender integration into WHO/PAHO’s work, as identified by WHO/PAHO staff members. 2008</w:t>
      </w:r>
      <w:r w:rsidR="00833DB8">
        <w:rPr>
          <w:rFonts w:ascii="Arial" w:hAnsi="Arial" w:cs="Arial"/>
          <w:b w:val="0"/>
          <w:color w:val="auto"/>
          <w:sz w:val="20"/>
          <w:szCs w:val="22"/>
        </w:rPr>
        <w:t>.</w:t>
      </w:r>
    </w:p>
    <w:tbl>
      <w:tblPr>
        <w:tblpPr w:leftFromText="180" w:rightFromText="180" w:bottomFromText="200" w:vertAnchor="text" w:horzAnchor="margin" w:tblpXSpec="center" w:tblpY="159"/>
        <w:tblW w:w="0" w:type="auto"/>
        <w:tblBorders>
          <w:top w:val="single" w:sz="4" w:space="0" w:color="auto"/>
          <w:left w:val="single" w:sz="4" w:space="0" w:color="auto"/>
          <w:bottom w:val="single" w:sz="4" w:space="0" w:color="auto"/>
          <w:right w:val="single" w:sz="4" w:space="0" w:color="auto"/>
          <w:insideH w:val="single" w:sz="4" w:space="0" w:color="BFBFBF"/>
          <w:insideV w:val="single" w:sz="4" w:space="0" w:color="BFBFBF"/>
        </w:tblBorders>
        <w:tblLook w:val="00BF"/>
      </w:tblPr>
      <w:tblGrid>
        <w:gridCol w:w="6413"/>
        <w:gridCol w:w="551"/>
        <w:gridCol w:w="607"/>
        <w:gridCol w:w="690"/>
        <w:gridCol w:w="757"/>
      </w:tblGrid>
      <w:tr w:rsidR="009571FA" w:rsidTr="00FF2731">
        <w:trPr>
          <w:trHeight w:val="312"/>
        </w:trPr>
        <w:tc>
          <w:tcPr>
            <w:tcW w:w="6413" w:type="dxa"/>
            <w:vMerge w:val="restart"/>
            <w:tcBorders>
              <w:top w:val="single" w:sz="4" w:space="0" w:color="auto"/>
              <w:bottom w:val="single" w:sz="4" w:space="0" w:color="auto"/>
              <w:right w:val="single" w:sz="4" w:space="0" w:color="auto"/>
            </w:tcBorders>
            <w:shd w:val="clear" w:color="auto" w:fill="C6D9F1"/>
            <w:tcMar>
              <w:top w:w="0" w:type="dxa"/>
              <w:left w:w="28" w:type="dxa"/>
              <w:bottom w:w="0" w:type="dxa"/>
              <w:right w:w="28" w:type="dxa"/>
            </w:tcMar>
            <w:vAlign w:val="center"/>
          </w:tcPr>
          <w:p w:rsidR="009571FA" w:rsidRPr="00833DB8" w:rsidRDefault="009571FA">
            <w:pPr>
              <w:spacing w:line="276" w:lineRule="auto"/>
              <w:ind w:left="-239"/>
              <w:rPr>
                <w:rFonts w:ascii="Calibri" w:hAnsi="Calibri"/>
                <w:b/>
              </w:rPr>
            </w:pPr>
            <w:r w:rsidRPr="00833DB8">
              <w:rPr>
                <w:rFonts w:ascii="Calibri" w:hAnsi="Calibri"/>
                <w:b/>
              </w:rPr>
              <w:t xml:space="preserve">   I    Inhibiting factors or institutional barriers </w:t>
            </w:r>
          </w:p>
        </w:tc>
        <w:tc>
          <w:tcPr>
            <w:tcW w:w="1158" w:type="dxa"/>
            <w:gridSpan w:val="2"/>
            <w:tcBorders>
              <w:top w:val="single" w:sz="4" w:space="0" w:color="auto"/>
              <w:left w:val="single" w:sz="4" w:space="0" w:color="auto"/>
              <w:right w:val="single" w:sz="4" w:space="0" w:color="auto"/>
            </w:tcBorders>
            <w:shd w:val="clear" w:color="auto" w:fill="C6D9F1"/>
            <w:vAlign w:val="center"/>
          </w:tcPr>
          <w:p w:rsidR="009571FA" w:rsidRPr="00833DB8" w:rsidRDefault="009571FA">
            <w:pPr>
              <w:spacing w:line="276" w:lineRule="auto"/>
              <w:jc w:val="center"/>
              <w:rPr>
                <w:rFonts w:ascii="Calibri" w:hAnsi="Calibri"/>
                <w:b/>
                <w:lang w:val="es-ES_tradnl"/>
              </w:rPr>
            </w:pPr>
            <w:r w:rsidRPr="00833DB8">
              <w:rPr>
                <w:rFonts w:ascii="Calibri" w:hAnsi="Calibri"/>
                <w:b/>
                <w:lang w:val="es-ES_tradnl"/>
              </w:rPr>
              <w:t>All WHO</w:t>
            </w:r>
          </w:p>
        </w:tc>
        <w:tc>
          <w:tcPr>
            <w:tcW w:w="1447" w:type="dxa"/>
            <w:gridSpan w:val="2"/>
            <w:tcBorders>
              <w:top w:val="single" w:sz="4" w:space="0" w:color="auto"/>
              <w:left w:val="single" w:sz="4" w:space="0" w:color="auto"/>
            </w:tcBorders>
            <w:shd w:val="clear" w:color="auto" w:fill="C6D9F1"/>
            <w:vAlign w:val="center"/>
          </w:tcPr>
          <w:p w:rsidR="009571FA" w:rsidRPr="00833DB8" w:rsidRDefault="009571FA">
            <w:pPr>
              <w:spacing w:line="276" w:lineRule="auto"/>
              <w:jc w:val="center"/>
              <w:rPr>
                <w:rFonts w:ascii="Calibri" w:hAnsi="Calibri"/>
                <w:b/>
                <w:lang w:val="es-ES_tradnl"/>
              </w:rPr>
            </w:pPr>
            <w:r w:rsidRPr="00833DB8">
              <w:rPr>
                <w:rFonts w:ascii="Calibri" w:hAnsi="Calibri"/>
                <w:b/>
                <w:lang w:val="es-ES_tradnl"/>
              </w:rPr>
              <w:t>AMRO/PAHO</w:t>
            </w:r>
          </w:p>
        </w:tc>
      </w:tr>
      <w:tr w:rsidR="009571FA" w:rsidTr="00FF2731">
        <w:trPr>
          <w:trHeight w:val="312"/>
        </w:trPr>
        <w:tc>
          <w:tcPr>
            <w:tcW w:w="6413" w:type="dxa"/>
            <w:vMerge/>
            <w:tcBorders>
              <w:top w:val="single" w:sz="4" w:space="0" w:color="auto"/>
              <w:bottom w:val="single" w:sz="4" w:space="0" w:color="auto"/>
              <w:right w:val="single" w:sz="4" w:space="0" w:color="auto"/>
            </w:tcBorders>
            <w:vAlign w:val="center"/>
          </w:tcPr>
          <w:p w:rsidR="009571FA" w:rsidRPr="00833DB8" w:rsidRDefault="009571FA">
            <w:pPr>
              <w:rPr>
                <w:rFonts w:ascii="Calibri" w:hAnsi="Calibri"/>
                <w:b/>
              </w:rPr>
            </w:pPr>
          </w:p>
        </w:tc>
        <w:tc>
          <w:tcPr>
            <w:tcW w:w="551" w:type="dxa"/>
            <w:tcBorders>
              <w:left w:val="single" w:sz="4" w:space="0" w:color="auto"/>
              <w:bottom w:val="single" w:sz="4" w:space="0" w:color="auto"/>
            </w:tcBorders>
            <w:shd w:val="clear" w:color="auto" w:fill="C6D9F1"/>
            <w:vAlign w:val="center"/>
          </w:tcPr>
          <w:p w:rsidR="009571FA" w:rsidRPr="00833DB8" w:rsidRDefault="009571FA">
            <w:pPr>
              <w:spacing w:line="276" w:lineRule="auto"/>
              <w:jc w:val="center"/>
              <w:rPr>
                <w:rFonts w:ascii="Calibri" w:hAnsi="Calibri"/>
                <w:b/>
                <w:lang w:val="es-ES_tradnl"/>
              </w:rPr>
            </w:pPr>
            <w:r w:rsidRPr="00833DB8">
              <w:rPr>
                <w:rFonts w:ascii="Calibri" w:hAnsi="Calibri"/>
                <w:b/>
                <w:lang w:val="es-ES_tradnl"/>
              </w:rPr>
              <w:t>n</w:t>
            </w:r>
          </w:p>
        </w:tc>
        <w:tc>
          <w:tcPr>
            <w:tcW w:w="607" w:type="dxa"/>
            <w:tcBorders>
              <w:bottom w:val="single" w:sz="4" w:space="0" w:color="auto"/>
              <w:right w:val="single" w:sz="4" w:space="0" w:color="auto"/>
            </w:tcBorders>
            <w:shd w:val="clear" w:color="auto" w:fill="C6D9F1"/>
            <w:vAlign w:val="center"/>
          </w:tcPr>
          <w:p w:rsidR="009571FA" w:rsidRPr="00833DB8" w:rsidRDefault="009571FA">
            <w:pPr>
              <w:spacing w:line="276" w:lineRule="auto"/>
              <w:jc w:val="center"/>
              <w:rPr>
                <w:rFonts w:ascii="Calibri" w:hAnsi="Calibri"/>
                <w:b/>
                <w:lang w:val="es-ES_tradnl"/>
              </w:rPr>
            </w:pPr>
            <w:r w:rsidRPr="00833DB8">
              <w:rPr>
                <w:rFonts w:ascii="Calibri" w:hAnsi="Calibri"/>
                <w:b/>
                <w:lang w:val="es-ES_tradnl"/>
              </w:rPr>
              <w:t>%</w:t>
            </w:r>
          </w:p>
        </w:tc>
        <w:tc>
          <w:tcPr>
            <w:tcW w:w="690" w:type="dxa"/>
            <w:tcBorders>
              <w:left w:val="single" w:sz="4" w:space="0" w:color="auto"/>
              <w:bottom w:val="single" w:sz="4" w:space="0" w:color="auto"/>
            </w:tcBorders>
            <w:shd w:val="clear" w:color="auto" w:fill="C6D9F1"/>
            <w:vAlign w:val="center"/>
          </w:tcPr>
          <w:p w:rsidR="009571FA" w:rsidRPr="00833DB8" w:rsidRDefault="009571FA">
            <w:pPr>
              <w:spacing w:line="276" w:lineRule="auto"/>
              <w:jc w:val="center"/>
              <w:rPr>
                <w:rFonts w:ascii="Calibri" w:hAnsi="Calibri"/>
                <w:b/>
                <w:lang w:val="es-ES_tradnl"/>
              </w:rPr>
            </w:pPr>
            <w:r w:rsidRPr="00833DB8">
              <w:rPr>
                <w:rFonts w:ascii="Calibri" w:hAnsi="Calibri"/>
                <w:b/>
                <w:lang w:val="es-ES_tradnl"/>
              </w:rPr>
              <w:t>n</w:t>
            </w:r>
          </w:p>
        </w:tc>
        <w:tc>
          <w:tcPr>
            <w:tcW w:w="757" w:type="dxa"/>
            <w:tcBorders>
              <w:bottom w:val="single" w:sz="4" w:space="0" w:color="auto"/>
            </w:tcBorders>
            <w:shd w:val="clear" w:color="auto" w:fill="C6D9F1"/>
            <w:vAlign w:val="center"/>
          </w:tcPr>
          <w:p w:rsidR="009571FA" w:rsidRPr="00833DB8" w:rsidRDefault="009571FA">
            <w:pPr>
              <w:spacing w:line="276" w:lineRule="auto"/>
              <w:jc w:val="center"/>
              <w:rPr>
                <w:rFonts w:ascii="Calibri" w:hAnsi="Calibri"/>
                <w:b/>
                <w:lang w:val="es-ES_tradnl"/>
              </w:rPr>
            </w:pPr>
            <w:r w:rsidRPr="00833DB8">
              <w:rPr>
                <w:rFonts w:ascii="Calibri" w:hAnsi="Calibri"/>
                <w:b/>
                <w:lang w:val="es-ES_tradnl"/>
              </w:rPr>
              <w:t>%</w:t>
            </w:r>
          </w:p>
        </w:tc>
      </w:tr>
      <w:tr w:rsidR="009571FA" w:rsidRPr="00EE5F2E" w:rsidTr="00FF2731">
        <w:trPr>
          <w:trHeight w:val="432"/>
        </w:trPr>
        <w:tc>
          <w:tcPr>
            <w:tcW w:w="6413" w:type="dxa"/>
            <w:tcBorders>
              <w:top w:val="single" w:sz="4" w:space="0" w:color="auto"/>
              <w:right w:val="single" w:sz="4" w:space="0" w:color="auto"/>
            </w:tcBorders>
            <w:shd w:val="clear" w:color="auto" w:fill="EEECE1"/>
            <w:vAlign w:val="center"/>
          </w:tcPr>
          <w:p w:rsidR="009571FA" w:rsidRPr="00833DB8" w:rsidRDefault="009571FA">
            <w:pPr>
              <w:spacing w:line="276" w:lineRule="auto"/>
              <w:rPr>
                <w:rFonts w:ascii="Calibri" w:hAnsi="Calibri"/>
                <w:szCs w:val="20"/>
              </w:rPr>
            </w:pPr>
            <w:r w:rsidRPr="00833DB8">
              <w:rPr>
                <w:rFonts w:ascii="Calibri" w:hAnsi="Calibri"/>
                <w:szCs w:val="20"/>
              </w:rPr>
              <w:t>Insufficient knowledge or skills on gender to apply it to my work</w:t>
            </w:r>
          </w:p>
        </w:tc>
        <w:tc>
          <w:tcPr>
            <w:tcW w:w="551" w:type="dxa"/>
            <w:tcBorders>
              <w:top w:val="single" w:sz="4" w:space="0" w:color="auto"/>
              <w:left w:val="single" w:sz="4" w:space="0" w:color="auto"/>
            </w:tcBorders>
            <w:shd w:val="clear" w:color="auto" w:fill="EEECE1"/>
            <w:vAlign w:val="center"/>
          </w:tcPr>
          <w:p w:rsidR="009571FA" w:rsidRPr="00833DB8" w:rsidRDefault="009571FA">
            <w:pPr>
              <w:spacing w:line="276" w:lineRule="auto"/>
              <w:jc w:val="center"/>
              <w:rPr>
                <w:rFonts w:ascii="Calibri" w:hAnsi="Calibri"/>
                <w:szCs w:val="20"/>
                <w:lang w:val="es-ES_tradnl"/>
              </w:rPr>
            </w:pPr>
            <w:r w:rsidRPr="00833DB8">
              <w:rPr>
                <w:rFonts w:ascii="Calibri" w:hAnsi="Calibri"/>
                <w:szCs w:val="20"/>
                <w:lang w:val="es-ES_tradnl"/>
              </w:rPr>
              <w:t>618</w:t>
            </w:r>
          </w:p>
        </w:tc>
        <w:tc>
          <w:tcPr>
            <w:tcW w:w="607" w:type="dxa"/>
            <w:tcBorders>
              <w:top w:val="single" w:sz="4" w:space="0" w:color="auto"/>
              <w:right w:val="single" w:sz="4" w:space="0" w:color="auto"/>
            </w:tcBorders>
            <w:shd w:val="clear" w:color="auto" w:fill="EEECE1"/>
            <w:vAlign w:val="center"/>
          </w:tcPr>
          <w:p w:rsidR="009571FA" w:rsidRPr="00833DB8" w:rsidRDefault="009571FA">
            <w:pPr>
              <w:spacing w:line="276" w:lineRule="auto"/>
              <w:jc w:val="center"/>
              <w:rPr>
                <w:rFonts w:ascii="Calibri" w:hAnsi="Calibri"/>
                <w:szCs w:val="20"/>
                <w:lang w:val="es-ES_tradnl"/>
              </w:rPr>
            </w:pPr>
            <w:r w:rsidRPr="00833DB8">
              <w:rPr>
                <w:rFonts w:ascii="Calibri" w:hAnsi="Calibri"/>
                <w:szCs w:val="20"/>
                <w:lang w:val="es-ES_tradnl"/>
              </w:rPr>
              <w:t>28.6</w:t>
            </w:r>
          </w:p>
        </w:tc>
        <w:tc>
          <w:tcPr>
            <w:tcW w:w="690" w:type="dxa"/>
            <w:tcBorders>
              <w:top w:val="single" w:sz="4" w:space="0" w:color="auto"/>
              <w:left w:val="single" w:sz="4" w:space="0" w:color="auto"/>
            </w:tcBorders>
            <w:shd w:val="clear" w:color="auto" w:fill="EEECE1"/>
            <w:vAlign w:val="center"/>
          </w:tcPr>
          <w:p w:rsidR="009571FA" w:rsidRPr="00833DB8" w:rsidRDefault="009571FA">
            <w:pPr>
              <w:spacing w:line="276" w:lineRule="auto"/>
              <w:jc w:val="center"/>
              <w:rPr>
                <w:rFonts w:ascii="Calibri" w:hAnsi="Calibri"/>
                <w:szCs w:val="20"/>
                <w:lang w:val="es-ES_tradnl"/>
              </w:rPr>
            </w:pPr>
            <w:r w:rsidRPr="00833DB8">
              <w:rPr>
                <w:rFonts w:ascii="Calibri" w:hAnsi="Calibri"/>
                <w:szCs w:val="20"/>
                <w:lang w:val="es-ES_tradnl"/>
              </w:rPr>
              <w:t>100</w:t>
            </w:r>
          </w:p>
        </w:tc>
        <w:tc>
          <w:tcPr>
            <w:tcW w:w="757" w:type="dxa"/>
            <w:tcBorders>
              <w:top w:val="single" w:sz="4" w:space="0" w:color="auto"/>
            </w:tcBorders>
            <w:shd w:val="clear" w:color="auto" w:fill="EEECE1"/>
            <w:vAlign w:val="center"/>
          </w:tcPr>
          <w:p w:rsidR="009571FA" w:rsidRPr="00833DB8" w:rsidRDefault="009571FA">
            <w:pPr>
              <w:spacing w:line="276" w:lineRule="auto"/>
              <w:jc w:val="center"/>
              <w:rPr>
                <w:rFonts w:ascii="Calibri" w:hAnsi="Calibri"/>
                <w:szCs w:val="20"/>
                <w:lang w:val="es-ES_tradnl"/>
              </w:rPr>
            </w:pPr>
            <w:r w:rsidRPr="00833DB8">
              <w:rPr>
                <w:rFonts w:ascii="Calibri" w:hAnsi="Calibri"/>
                <w:szCs w:val="20"/>
                <w:lang w:val="es-ES_tradnl"/>
              </w:rPr>
              <w:t>25.6</w:t>
            </w:r>
          </w:p>
        </w:tc>
      </w:tr>
      <w:tr w:rsidR="009571FA" w:rsidRPr="00EE5F2E" w:rsidTr="00FF2731">
        <w:trPr>
          <w:trHeight w:val="432"/>
        </w:trPr>
        <w:tc>
          <w:tcPr>
            <w:tcW w:w="6413" w:type="dxa"/>
            <w:tcBorders>
              <w:top w:val="single" w:sz="4" w:space="0" w:color="auto"/>
              <w:right w:val="single" w:sz="4" w:space="0" w:color="auto"/>
            </w:tcBorders>
            <w:shd w:val="clear" w:color="auto" w:fill="EEECE1"/>
            <w:vAlign w:val="center"/>
          </w:tcPr>
          <w:p w:rsidR="009571FA" w:rsidRPr="00833DB8" w:rsidRDefault="009571FA" w:rsidP="006528DC">
            <w:pPr>
              <w:spacing w:line="276" w:lineRule="auto"/>
              <w:rPr>
                <w:rFonts w:ascii="Calibri" w:hAnsi="Calibri"/>
                <w:szCs w:val="20"/>
              </w:rPr>
            </w:pPr>
            <w:r w:rsidRPr="00833DB8">
              <w:rPr>
                <w:rFonts w:ascii="Calibri" w:hAnsi="Calibri"/>
                <w:szCs w:val="20"/>
              </w:rPr>
              <w:t>Lack of appropriate data / evidence on gender in my area of work</w:t>
            </w:r>
          </w:p>
        </w:tc>
        <w:tc>
          <w:tcPr>
            <w:tcW w:w="551" w:type="dxa"/>
            <w:tcBorders>
              <w:top w:val="single" w:sz="4" w:space="0" w:color="auto"/>
              <w:left w:val="single" w:sz="4" w:space="0" w:color="auto"/>
            </w:tcBorders>
            <w:shd w:val="clear" w:color="auto" w:fill="EEECE1"/>
            <w:vAlign w:val="center"/>
          </w:tcPr>
          <w:p w:rsidR="009571FA" w:rsidRPr="00833DB8" w:rsidRDefault="009571FA" w:rsidP="006528DC">
            <w:pPr>
              <w:spacing w:line="276" w:lineRule="auto"/>
              <w:jc w:val="center"/>
              <w:rPr>
                <w:rFonts w:ascii="Calibri" w:hAnsi="Calibri"/>
                <w:szCs w:val="20"/>
                <w:lang w:val="es-ES_tradnl"/>
              </w:rPr>
            </w:pPr>
            <w:r w:rsidRPr="00833DB8">
              <w:rPr>
                <w:rFonts w:ascii="Calibri" w:hAnsi="Calibri"/>
                <w:szCs w:val="20"/>
                <w:lang w:val="es-ES_tradnl"/>
              </w:rPr>
              <w:t>507</w:t>
            </w:r>
          </w:p>
        </w:tc>
        <w:tc>
          <w:tcPr>
            <w:tcW w:w="607" w:type="dxa"/>
            <w:tcBorders>
              <w:top w:val="single" w:sz="4" w:space="0" w:color="auto"/>
              <w:right w:val="single" w:sz="4" w:space="0" w:color="auto"/>
            </w:tcBorders>
            <w:shd w:val="clear" w:color="auto" w:fill="EEECE1"/>
            <w:vAlign w:val="center"/>
          </w:tcPr>
          <w:p w:rsidR="009571FA" w:rsidRPr="00833DB8" w:rsidRDefault="009571FA" w:rsidP="006528DC">
            <w:pPr>
              <w:spacing w:line="276" w:lineRule="auto"/>
              <w:jc w:val="center"/>
              <w:rPr>
                <w:rFonts w:ascii="Calibri" w:hAnsi="Calibri"/>
                <w:szCs w:val="20"/>
                <w:lang w:val="es-ES_tradnl"/>
              </w:rPr>
            </w:pPr>
            <w:r w:rsidRPr="00833DB8">
              <w:rPr>
                <w:rFonts w:ascii="Calibri" w:hAnsi="Calibri"/>
                <w:szCs w:val="20"/>
                <w:lang w:val="es-ES_tradnl"/>
              </w:rPr>
              <w:t>23.5</w:t>
            </w:r>
          </w:p>
        </w:tc>
        <w:tc>
          <w:tcPr>
            <w:tcW w:w="690" w:type="dxa"/>
            <w:tcBorders>
              <w:top w:val="single" w:sz="4" w:space="0" w:color="auto"/>
              <w:left w:val="single" w:sz="4" w:space="0" w:color="auto"/>
            </w:tcBorders>
            <w:shd w:val="clear" w:color="auto" w:fill="EEECE1"/>
            <w:vAlign w:val="center"/>
          </w:tcPr>
          <w:p w:rsidR="009571FA" w:rsidRPr="00833DB8" w:rsidRDefault="009571FA" w:rsidP="006528DC">
            <w:pPr>
              <w:spacing w:line="276" w:lineRule="auto"/>
              <w:jc w:val="center"/>
              <w:rPr>
                <w:rFonts w:ascii="Calibri" w:hAnsi="Calibri"/>
                <w:szCs w:val="20"/>
                <w:lang w:val="es-ES_tradnl"/>
              </w:rPr>
            </w:pPr>
            <w:r w:rsidRPr="00833DB8">
              <w:rPr>
                <w:rFonts w:ascii="Calibri" w:hAnsi="Calibri"/>
                <w:szCs w:val="20"/>
                <w:lang w:val="es-ES_tradnl"/>
              </w:rPr>
              <w:t>94</w:t>
            </w:r>
          </w:p>
        </w:tc>
        <w:tc>
          <w:tcPr>
            <w:tcW w:w="757" w:type="dxa"/>
            <w:tcBorders>
              <w:top w:val="single" w:sz="4" w:space="0" w:color="auto"/>
            </w:tcBorders>
            <w:shd w:val="clear" w:color="auto" w:fill="EEECE1"/>
            <w:vAlign w:val="center"/>
          </w:tcPr>
          <w:p w:rsidR="009571FA" w:rsidRPr="00833DB8" w:rsidRDefault="009571FA" w:rsidP="006528DC">
            <w:pPr>
              <w:spacing w:line="276" w:lineRule="auto"/>
              <w:jc w:val="center"/>
              <w:rPr>
                <w:rFonts w:ascii="Calibri" w:hAnsi="Calibri"/>
                <w:szCs w:val="20"/>
                <w:lang w:val="es-ES_tradnl"/>
              </w:rPr>
            </w:pPr>
            <w:r w:rsidRPr="00833DB8">
              <w:rPr>
                <w:rFonts w:ascii="Calibri" w:hAnsi="Calibri"/>
                <w:szCs w:val="20"/>
                <w:lang w:val="es-ES_tradnl"/>
              </w:rPr>
              <w:t>24.1</w:t>
            </w:r>
          </w:p>
        </w:tc>
      </w:tr>
      <w:tr w:rsidR="009571FA" w:rsidRPr="00EE5F2E" w:rsidTr="00FF2731">
        <w:trPr>
          <w:trHeight w:val="432"/>
        </w:trPr>
        <w:tc>
          <w:tcPr>
            <w:tcW w:w="6413" w:type="dxa"/>
            <w:tcBorders>
              <w:top w:val="single" w:sz="4" w:space="0" w:color="auto"/>
              <w:right w:val="single" w:sz="4" w:space="0" w:color="auto"/>
            </w:tcBorders>
            <w:shd w:val="clear" w:color="auto" w:fill="EEECE1"/>
            <w:vAlign w:val="center"/>
          </w:tcPr>
          <w:p w:rsidR="009571FA" w:rsidRPr="00833DB8" w:rsidRDefault="009571FA" w:rsidP="006528DC">
            <w:pPr>
              <w:spacing w:line="276" w:lineRule="auto"/>
              <w:rPr>
                <w:rFonts w:ascii="Calibri" w:hAnsi="Calibri"/>
                <w:szCs w:val="20"/>
              </w:rPr>
            </w:pPr>
            <w:r w:rsidRPr="00833DB8">
              <w:rPr>
                <w:rFonts w:ascii="Calibri" w:hAnsi="Calibri"/>
                <w:szCs w:val="20"/>
              </w:rPr>
              <w:t>Lack of appropriate tools to help me address gender in my work</w:t>
            </w:r>
          </w:p>
        </w:tc>
        <w:tc>
          <w:tcPr>
            <w:tcW w:w="551" w:type="dxa"/>
            <w:tcBorders>
              <w:top w:val="single" w:sz="4" w:space="0" w:color="auto"/>
              <w:left w:val="single" w:sz="4" w:space="0" w:color="auto"/>
            </w:tcBorders>
            <w:shd w:val="clear" w:color="auto" w:fill="EEECE1"/>
            <w:vAlign w:val="center"/>
          </w:tcPr>
          <w:p w:rsidR="009571FA" w:rsidRPr="00833DB8" w:rsidRDefault="009571FA" w:rsidP="006528DC">
            <w:pPr>
              <w:spacing w:line="276" w:lineRule="auto"/>
              <w:jc w:val="center"/>
              <w:rPr>
                <w:rFonts w:ascii="Calibri" w:hAnsi="Calibri"/>
                <w:szCs w:val="20"/>
                <w:lang w:val="es-ES_tradnl"/>
              </w:rPr>
            </w:pPr>
            <w:r w:rsidRPr="00833DB8">
              <w:rPr>
                <w:rFonts w:ascii="Calibri" w:hAnsi="Calibri"/>
                <w:szCs w:val="20"/>
                <w:lang w:val="es-ES_tradnl"/>
              </w:rPr>
              <w:t>538</w:t>
            </w:r>
          </w:p>
        </w:tc>
        <w:tc>
          <w:tcPr>
            <w:tcW w:w="607" w:type="dxa"/>
            <w:tcBorders>
              <w:top w:val="single" w:sz="4" w:space="0" w:color="auto"/>
              <w:right w:val="single" w:sz="4" w:space="0" w:color="auto"/>
            </w:tcBorders>
            <w:shd w:val="clear" w:color="auto" w:fill="EEECE1"/>
            <w:vAlign w:val="center"/>
          </w:tcPr>
          <w:p w:rsidR="009571FA" w:rsidRPr="00833DB8" w:rsidRDefault="009571FA" w:rsidP="006528DC">
            <w:pPr>
              <w:spacing w:line="276" w:lineRule="auto"/>
              <w:jc w:val="center"/>
              <w:rPr>
                <w:rFonts w:ascii="Calibri" w:hAnsi="Calibri"/>
                <w:szCs w:val="20"/>
                <w:lang w:val="es-ES_tradnl"/>
              </w:rPr>
            </w:pPr>
            <w:r w:rsidRPr="00833DB8">
              <w:rPr>
                <w:rFonts w:ascii="Calibri" w:hAnsi="Calibri"/>
                <w:szCs w:val="20"/>
                <w:lang w:val="es-ES_tradnl"/>
              </w:rPr>
              <w:t>24.9</w:t>
            </w:r>
          </w:p>
        </w:tc>
        <w:tc>
          <w:tcPr>
            <w:tcW w:w="690" w:type="dxa"/>
            <w:tcBorders>
              <w:top w:val="single" w:sz="4" w:space="0" w:color="auto"/>
              <w:left w:val="single" w:sz="4" w:space="0" w:color="auto"/>
            </w:tcBorders>
            <w:shd w:val="clear" w:color="auto" w:fill="EEECE1"/>
            <w:vAlign w:val="center"/>
          </w:tcPr>
          <w:p w:rsidR="009571FA" w:rsidRPr="00833DB8" w:rsidRDefault="009571FA" w:rsidP="006528DC">
            <w:pPr>
              <w:spacing w:line="276" w:lineRule="auto"/>
              <w:jc w:val="center"/>
              <w:rPr>
                <w:rFonts w:ascii="Calibri" w:hAnsi="Calibri"/>
                <w:szCs w:val="20"/>
                <w:lang w:val="es-ES_tradnl"/>
              </w:rPr>
            </w:pPr>
            <w:r w:rsidRPr="00833DB8">
              <w:rPr>
                <w:rFonts w:ascii="Calibri" w:hAnsi="Calibri"/>
                <w:szCs w:val="20"/>
                <w:lang w:val="es-ES_tradnl"/>
              </w:rPr>
              <w:t>94</w:t>
            </w:r>
          </w:p>
        </w:tc>
        <w:tc>
          <w:tcPr>
            <w:tcW w:w="757" w:type="dxa"/>
            <w:tcBorders>
              <w:top w:val="single" w:sz="4" w:space="0" w:color="auto"/>
            </w:tcBorders>
            <w:shd w:val="clear" w:color="auto" w:fill="EEECE1"/>
            <w:vAlign w:val="center"/>
          </w:tcPr>
          <w:p w:rsidR="009571FA" w:rsidRPr="00833DB8" w:rsidRDefault="009571FA" w:rsidP="006528DC">
            <w:pPr>
              <w:spacing w:line="276" w:lineRule="auto"/>
              <w:jc w:val="center"/>
              <w:rPr>
                <w:rFonts w:ascii="Calibri" w:hAnsi="Calibri"/>
                <w:szCs w:val="20"/>
                <w:lang w:val="es-ES_tradnl"/>
              </w:rPr>
            </w:pPr>
            <w:r w:rsidRPr="00833DB8">
              <w:rPr>
                <w:rFonts w:ascii="Calibri" w:hAnsi="Calibri"/>
                <w:szCs w:val="20"/>
                <w:lang w:val="es-ES_tradnl"/>
              </w:rPr>
              <w:t>24.1</w:t>
            </w:r>
          </w:p>
        </w:tc>
      </w:tr>
      <w:tr w:rsidR="009571FA" w:rsidRPr="00EE5F2E" w:rsidTr="00FF2731">
        <w:trPr>
          <w:trHeight w:val="432"/>
        </w:trPr>
        <w:tc>
          <w:tcPr>
            <w:tcW w:w="6413" w:type="dxa"/>
            <w:tcBorders>
              <w:right w:val="single" w:sz="4" w:space="0" w:color="auto"/>
            </w:tcBorders>
            <w:vAlign w:val="center"/>
          </w:tcPr>
          <w:p w:rsidR="009571FA" w:rsidRPr="00833DB8" w:rsidRDefault="009571FA" w:rsidP="00810A14">
            <w:pPr>
              <w:spacing w:line="276" w:lineRule="auto"/>
              <w:rPr>
                <w:rFonts w:ascii="Calibri" w:hAnsi="Calibri"/>
                <w:szCs w:val="20"/>
              </w:rPr>
            </w:pPr>
            <w:r w:rsidRPr="00833DB8">
              <w:rPr>
                <w:rFonts w:ascii="Calibri" w:hAnsi="Calibri"/>
                <w:szCs w:val="20"/>
              </w:rPr>
              <w:t>No budgetary resources available for work on gender</w:t>
            </w:r>
          </w:p>
        </w:tc>
        <w:tc>
          <w:tcPr>
            <w:tcW w:w="551" w:type="dxa"/>
            <w:tcBorders>
              <w:left w:val="single" w:sz="4" w:space="0" w:color="auto"/>
            </w:tcBorders>
            <w:vAlign w:val="center"/>
          </w:tcPr>
          <w:p w:rsidR="009571FA" w:rsidRPr="00833DB8" w:rsidRDefault="009571FA" w:rsidP="00810A14">
            <w:pPr>
              <w:spacing w:line="276" w:lineRule="auto"/>
              <w:jc w:val="center"/>
              <w:rPr>
                <w:rFonts w:ascii="Calibri" w:hAnsi="Calibri"/>
                <w:szCs w:val="20"/>
                <w:lang w:val="es-ES_tradnl"/>
              </w:rPr>
            </w:pPr>
            <w:r w:rsidRPr="00833DB8">
              <w:rPr>
                <w:rFonts w:ascii="Calibri" w:hAnsi="Calibri"/>
                <w:szCs w:val="20"/>
                <w:lang w:val="es-ES_tradnl"/>
              </w:rPr>
              <w:t>367</w:t>
            </w:r>
          </w:p>
        </w:tc>
        <w:tc>
          <w:tcPr>
            <w:tcW w:w="607" w:type="dxa"/>
            <w:tcBorders>
              <w:right w:val="single" w:sz="4" w:space="0" w:color="auto"/>
            </w:tcBorders>
            <w:vAlign w:val="center"/>
          </w:tcPr>
          <w:p w:rsidR="009571FA" w:rsidRPr="00833DB8" w:rsidRDefault="009571FA" w:rsidP="00810A14">
            <w:pPr>
              <w:spacing w:line="276" w:lineRule="auto"/>
              <w:jc w:val="center"/>
              <w:rPr>
                <w:rFonts w:ascii="Calibri" w:hAnsi="Calibri"/>
                <w:szCs w:val="20"/>
                <w:lang w:val="es-ES_tradnl"/>
              </w:rPr>
            </w:pPr>
            <w:r w:rsidRPr="00833DB8">
              <w:rPr>
                <w:rFonts w:ascii="Calibri" w:hAnsi="Calibri"/>
                <w:szCs w:val="20"/>
                <w:lang w:val="es-ES_tradnl"/>
              </w:rPr>
              <w:t>17.0</w:t>
            </w:r>
          </w:p>
        </w:tc>
        <w:tc>
          <w:tcPr>
            <w:tcW w:w="690" w:type="dxa"/>
            <w:tcBorders>
              <w:left w:val="single" w:sz="4" w:space="0" w:color="auto"/>
            </w:tcBorders>
            <w:vAlign w:val="center"/>
          </w:tcPr>
          <w:p w:rsidR="009571FA" w:rsidRPr="00833DB8" w:rsidRDefault="009571FA" w:rsidP="00810A14">
            <w:pPr>
              <w:spacing w:line="276" w:lineRule="auto"/>
              <w:jc w:val="center"/>
              <w:rPr>
                <w:rFonts w:ascii="Calibri" w:hAnsi="Calibri"/>
                <w:szCs w:val="20"/>
                <w:lang w:val="es-ES_tradnl"/>
              </w:rPr>
            </w:pPr>
            <w:r w:rsidRPr="00833DB8">
              <w:rPr>
                <w:rFonts w:ascii="Calibri" w:hAnsi="Calibri"/>
                <w:szCs w:val="20"/>
                <w:lang w:val="es-ES_tradnl"/>
              </w:rPr>
              <w:t>71</w:t>
            </w:r>
          </w:p>
        </w:tc>
        <w:tc>
          <w:tcPr>
            <w:tcW w:w="757" w:type="dxa"/>
            <w:vAlign w:val="center"/>
          </w:tcPr>
          <w:p w:rsidR="009571FA" w:rsidRPr="00833DB8" w:rsidRDefault="009571FA" w:rsidP="00810A14">
            <w:pPr>
              <w:spacing w:line="276" w:lineRule="auto"/>
              <w:jc w:val="center"/>
              <w:rPr>
                <w:rFonts w:ascii="Calibri" w:hAnsi="Calibri"/>
                <w:szCs w:val="20"/>
                <w:lang w:val="es-ES_tradnl"/>
              </w:rPr>
            </w:pPr>
            <w:r w:rsidRPr="00833DB8">
              <w:rPr>
                <w:rFonts w:ascii="Calibri" w:hAnsi="Calibri"/>
                <w:szCs w:val="20"/>
                <w:lang w:val="es-ES_tradnl"/>
              </w:rPr>
              <w:t>18.2</w:t>
            </w:r>
          </w:p>
        </w:tc>
      </w:tr>
      <w:tr w:rsidR="009571FA" w:rsidRPr="00EE5F2E" w:rsidTr="00FF2731">
        <w:trPr>
          <w:trHeight w:val="432"/>
        </w:trPr>
        <w:tc>
          <w:tcPr>
            <w:tcW w:w="6413" w:type="dxa"/>
            <w:tcBorders>
              <w:right w:val="single" w:sz="4" w:space="0" w:color="auto"/>
            </w:tcBorders>
            <w:vAlign w:val="center"/>
          </w:tcPr>
          <w:p w:rsidR="009571FA" w:rsidRPr="00833DB8" w:rsidRDefault="009571FA" w:rsidP="00810A14">
            <w:pPr>
              <w:spacing w:line="276" w:lineRule="auto"/>
              <w:rPr>
                <w:rFonts w:ascii="Calibri" w:hAnsi="Calibri"/>
                <w:szCs w:val="20"/>
              </w:rPr>
            </w:pPr>
            <w:r w:rsidRPr="00833DB8">
              <w:rPr>
                <w:rFonts w:ascii="Calibri" w:hAnsi="Calibri"/>
                <w:szCs w:val="20"/>
              </w:rPr>
              <w:t>Insufficient technical follow-up after training to address gender in my work</w:t>
            </w:r>
          </w:p>
        </w:tc>
        <w:tc>
          <w:tcPr>
            <w:tcW w:w="551" w:type="dxa"/>
            <w:tcBorders>
              <w:left w:val="single" w:sz="4" w:space="0" w:color="auto"/>
            </w:tcBorders>
            <w:vAlign w:val="center"/>
          </w:tcPr>
          <w:p w:rsidR="009571FA" w:rsidRPr="00833DB8" w:rsidRDefault="009571FA" w:rsidP="00810A14">
            <w:pPr>
              <w:spacing w:line="276" w:lineRule="auto"/>
              <w:jc w:val="center"/>
              <w:rPr>
                <w:rFonts w:ascii="Calibri" w:hAnsi="Calibri"/>
                <w:szCs w:val="20"/>
                <w:lang w:val="es-ES_tradnl"/>
              </w:rPr>
            </w:pPr>
            <w:r w:rsidRPr="00833DB8">
              <w:rPr>
                <w:rFonts w:ascii="Calibri" w:hAnsi="Calibri"/>
                <w:szCs w:val="20"/>
                <w:lang w:val="es-ES_tradnl"/>
              </w:rPr>
              <w:t>262</w:t>
            </w:r>
          </w:p>
        </w:tc>
        <w:tc>
          <w:tcPr>
            <w:tcW w:w="607" w:type="dxa"/>
            <w:tcBorders>
              <w:right w:val="single" w:sz="4" w:space="0" w:color="auto"/>
            </w:tcBorders>
            <w:vAlign w:val="center"/>
          </w:tcPr>
          <w:p w:rsidR="009571FA" w:rsidRPr="00833DB8" w:rsidRDefault="009571FA" w:rsidP="00810A14">
            <w:pPr>
              <w:spacing w:line="276" w:lineRule="auto"/>
              <w:jc w:val="center"/>
              <w:rPr>
                <w:rFonts w:ascii="Calibri" w:hAnsi="Calibri"/>
                <w:szCs w:val="20"/>
                <w:lang w:val="es-ES_tradnl"/>
              </w:rPr>
            </w:pPr>
            <w:r w:rsidRPr="00833DB8">
              <w:rPr>
                <w:rFonts w:ascii="Calibri" w:hAnsi="Calibri"/>
                <w:szCs w:val="20"/>
                <w:lang w:val="es-ES_tradnl"/>
              </w:rPr>
              <w:t>12.1</w:t>
            </w:r>
          </w:p>
        </w:tc>
        <w:tc>
          <w:tcPr>
            <w:tcW w:w="690" w:type="dxa"/>
            <w:tcBorders>
              <w:left w:val="single" w:sz="4" w:space="0" w:color="auto"/>
            </w:tcBorders>
            <w:vAlign w:val="center"/>
          </w:tcPr>
          <w:p w:rsidR="009571FA" w:rsidRPr="00833DB8" w:rsidRDefault="009571FA" w:rsidP="00810A14">
            <w:pPr>
              <w:spacing w:line="276" w:lineRule="auto"/>
              <w:jc w:val="center"/>
              <w:rPr>
                <w:rFonts w:ascii="Calibri" w:hAnsi="Calibri"/>
                <w:szCs w:val="20"/>
                <w:lang w:val="es-ES_tradnl"/>
              </w:rPr>
            </w:pPr>
            <w:r w:rsidRPr="00833DB8">
              <w:rPr>
                <w:rFonts w:ascii="Calibri" w:hAnsi="Calibri"/>
                <w:szCs w:val="20"/>
                <w:lang w:val="es-ES_tradnl"/>
              </w:rPr>
              <w:t>69</w:t>
            </w:r>
          </w:p>
        </w:tc>
        <w:tc>
          <w:tcPr>
            <w:tcW w:w="757" w:type="dxa"/>
            <w:vAlign w:val="center"/>
          </w:tcPr>
          <w:p w:rsidR="009571FA" w:rsidRPr="00833DB8" w:rsidRDefault="009571FA" w:rsidP="00810A14">
            <w:pPr>
              <w:spacing w:line="276" w:lineRule="auto"/>
              <w:jc w:val="center"/>
              <w:rPr>
                <w:rFonts w:ascii="Calibri" w:hAnsi="Calibri"/>
                <w:szCs w:val="20"/>
                <w:lang w:val="es-ES_tradnl"/>
              </w:rPr>
            </w:pPr>
            <w:r w:rsidRPr="00833DB8">
              <w:rPr>
                <w:rFonts w:ascii="Calibri" w:hAnsi="Calibri"/>
                <w:szCs w:val="20"/>
                <w:lang w:val="es-ES_tradnl"/>
              </w:rPr>
              <w:t>17.7</w:t>
            </w:r>
          </w:p>
        </w:tc>
      </w:tr>
      <w:tr w:rsidR="009571FA" w:rsidRPr="00EE5F2E" w:rsidTr="00FF2731">
        <w:trPr>
          <w:trHeight w:val="432"/>
        </w:trPr>
        <w:tc>
          <w:tcPr>
            <w:tcW w:w="6413" w:type="dxa"/>
            <w:tcBorders>
              <w:right w:val="single" w:sz="4" w:space="0" w:color="auto"/>
            </w:tcBorders>
            <w:vAlign w:val="center"/>
          </w:tcPr>
          <w:p w:rsidR="009571FA" w:rsidRPr="00833DB8" w:rsidRDefault="009571FA" w:rsidP="00810A14">
            <w:pPr>
              <w:spacing w:line="276" w:lineRule="auto"/>
              <w:rPr>
                <w:rFonts w:ascii="Calibri" w:hAnsi="Calibri"/>
                <w:szCs w:val="20"/>
              </w:rPr>
            </w:pPr>
            <w:r w:rsidRPr="00833DB8">
              <w:rPr>
                <w:rFonts w:ascii="Calibri" w:hAnsi="Calibri"/>
                <w:szCs w:val="20"/>
              </w:rPr>
              <w:t>No human resources available for work on gender</w:t>
            </w:r>
          </w:p>
        </w:tc>
        <w:tc>
          <w:tcPr>
            <w:tcW w:w="551" w:type="dxa"/>
            <w:tcBorders>
              <w:left w:val="single" w:sz="4" w:space="0" w:color="auto"/>
            </w:tcBorders>
            <w:vAlign w:val="center"/>
          </w:tcPr>
          <w:p w:rsidR="009571FA" w:rsidRPr="00833DB8" w:rsidRDefault="009571FA" w:rsidP="00810A14">
            <w:pPr>
              <w:spacing w:line="276" w:lineRule="auto"/>
              <w:jc w:val="center"/>
              <w:rPr>
                <w:rFonts w:ascii="Calibri" w:hAnsi="Calibri"/>
                <w:szCs w:val="20"/>
                <w:lang w:val="es-ES_tradnl"/>
              </w:rPr>
            </w:pPr>
            <w:r w:rsidRPr="00833DB8">
              <w:rPr>
                <w:rFonts w:ascii="Calibri" w:hAnsi="Calibri"/>
                <w:szCs w:val="20"/>
                <w:lang w:val="es-ES_tradnl"/>
              </w:rPr>
              <w:t>302</w:t>
            </w:r>
          </w:p>
        </w:tc>
        <w:tc>
          <w:tcPr>
            <w:tcW w:w="607" w:type="dxa"/>
            <w:tcBorders>
              <w:right w:val="single" w:sz="4" w:space="0" w:color="auto"/>
            </w:tcBorders>
            <w:vAlign w:val="center"/>
          </w:tcPr>
          <w:p w:rsidR="009571FA" w:rsidRPr="00833DB8" w:rsidRDefault="009571FA" w:rsidP="00810A14">
            <w:pPr>
              <w:spacing w:line="276" w:lineRule="auto"/>
              <w:jc w:val="center"/>
              <w:rPr>
                <w:rFonts w:ascii="Calibri" w:hAnsi="Calibri"/>
                <w:szCs w:val="20"/>
                <w:lang w:val="es-ES_tradnl"/>
              </w:rPr>
            </w:pPr>
            <w:r w:rsidRPr="00833DB8">
              <w:rPr>
                <w:rFonts w:ascii="Calibri" w:hAnsi="Calibri"/>
                <w:szCs w:val="20"/>
                <w:lang w:val="es-ES_tradnl"/>
              </w:rPr>
              <w:t>14.0</w:t>
            </w:r>
          </w:p>
        </w:tc>
        <w:tc>
          <w:tcPr>
            <w:tcW w:w="690" w:type="dxa"/>
            <w:tcBorders>
              <w:left w:val="single" w:sz="4" w:space="0" w:color="auto"/>
            </w:tcBorders>
            <w:vAlign w:val="center"/>
          </w:tcPr>
          <w:p w:rsidR="009571FA" w:rsidRPr="00833DB8" w:rsidRDefault="009571FA" w:rsidP="00810A14">
            <w:pPr>
              <w:spacing w:line="276" w:lineRule="auto"/>
              <w:jc w:val="center"/>
              <w:rPr>
                <w:rFonts w:ascii="Calibri" w:hAnsi="Calibri"/>
                <w:szCs w:val="20"/>
                <w:lang w:val="es-ES_tradnl"/>
              </w:rPr>
            </w:pPr>
            <w:r w:rsidRPr="00833DB8">
              <w:rPr>
                <w:rFonts w:ascii="Calibri" w:hAnsi="Calibri"/>
                <w:szCs w:val="20"/>
                <w:lang w:val="es-ES_tradnl"/>
              </w:rPr>
              <w:t>56</w:t>
            </w:r>
          </w:p>
        </w:tc>
        <w:tc>
          <w:tcPr>
            <w:tcW w:w="757" w:type="dxa"/>
            <w:vAlign w:val="center"/>
          </w:tcPr>
          <w:p w:rsidR="009571FA" w:rsidRPr="00833DB8" w:rsidRDefault="009571FA" w:rsidP="00810A14">
            <w:pPr>
              <w:spacing w:line="276" w:lineRule="auto"/>
              <w:jc w:val="center"/>
              <w:rPr>
                <w:rFonts w:ascii="Calibri" w:hAnsi="Calibri"/>
                <w:szCs w:val="20"/>
                <w:lang w:val="es-ES_tradnl"/>
              </w:rPr>
            </w:pPr>
            <w:r w:rsidRPr="00833DB8">
              <w:rPr>
                <w:rFonts w:ascii="Calibri" w:hAnsi="Calibri"/>
                <w:szCs w:val="20"/>
                <w:lang w:val="es-ES_tradnl"/>
              </w:rPr>
              <w:t>14.4</w:t>
            </w:r>
          </w:p>
        </w:tc>
      </w:tr>
      <w:tr w:rsidR="009571FA" w:rsidRPr="00EE5F2E" w:rsidTr="00FF2731">
        <w:trPr>
          <w:trHeight w:val="432"/>
        </w:trPr>
        <w:tc>
          <w:tcPr>
            <w:tcW w:w="6413" w:type="dxa"/>
            <w:tcBorders>
              <w:right w:val="single" w:sz="4" w:space="0" w:color="auto"/>
            </w:tcBorders>
            <w:vAlign w:val="center"/>
          </w:tcPr>
          <w:p w:rsidR="009571FA" w:rsidRPr="00833DB8" w:rsidRDefault="009571FA" w:rsidP="00810A14">
            <w:pPr>
              <w:spacing w:line="276" w:lineRule="auto"/>
              <w:rPr>
                <w:rFonts w:ascii="Calibri" w:hAnsi="Calibri"/>
                <w:szCs w:val="20"/>
              </w:rPr>
            </w:pPr>
            <w:r w:rsidRPr="00833DB8">
              <w:rPr>
                <w:rFonts w:ascii="Calibri" w:hAnsi="Calibri"/>
                <w:szCs w:val="20"/>
              </w:rPr>
              <w:t>Work schedule is too busy to accommodate work on gender</w:t>
            </w:r>
          </w:p>
        </w:tc>
        <w:tc>
          <w:tcPr>
            <w:tcW w:w="551" w:type="dxa"/>
            <w:tcBorders>
              <w:left w:val="single" w:sz="4" w:space="0" w:color="auto"/>
            </w:tcBorders>
            <w:vAlign w:val="center"/>
          </w:tcPr>
          <w:p w:rsidR="009571FA" w:rsidRPr="00833DB8" w:rsidRDefault="009571FA" w:rsidP="00810A14">
            <w:pPr>
              <w:spacing w:line="276" w:lineRule="auto"/>
              <w:jc w:val="center"/>
              <w:rPr>
                <w:rFonts w:ascii="Calibri" w:hAnsi="Calibri"/>
                <w:szCs w:val="20"/>
                <w:lang w:val="es-ES_tradnl"/>
              </w:rPr>
            </w:pPr>
            <w:r w:rsidRPr="00833DB8">
              <w:rPr>
                <w:rFonts w:ascii="Calibri" w:hAnsi="Calibri"/>
                <w:szCs w:val="20"/>
                <w:lang w:val="es-ES_tradnl"/>
              </w:rPr>
              <w:t>310</w:t>
            </w:r>
          </w:p>
        </w:tc>
        <w:tc>
          <w:tcPr>
            <w:tcW w:w="607" w:type="dxa"/>
            <w:tcBorders>
              <w:right w:val="single" w:sz="4" w:space="0" w:color="auto"/>
            </w:tcBorders>
            <w:vAlign w:val="center"/>
          </w:tcPr>
          <w:p w:rsidR="009571FA" w:rsidRPr="00833DB8" w:rsidRDefault="009571FA" w:rsidP="00810A14">
            <w:pPr>
              <w:spacing w:line="276" w:lineRule="auto"/>
              <w:jc w:val="center"/>
              <w:rPr>
                <w:rFonts w:ascii="Calibri" w:hAnsi="Calibri"/>
                <w:szCs w:val="20"/>
                <w:lang w:val="es-ES_tradnl"/>
              </w:rPr>
            </w:pPr>
            <w:r w:rsidRPr="00833DB8">
              <w:rPr>
                <w:rFonts w:ascii="Calibri" w:hAnsi="Calibri"/>
                <w:szCs w:val="20"/>
                <w:lang w:val="es-ES_tradnl"/>
              </w:rPr>
              <w:t>14.4</w:t>
            </w:r>
          </w:p>
        </w:tc>
        <w:tc>
          <w:tcPr>
            <w:tcW w:w="690" w:type="dxa"/>
            <w:tcBorders>
              <w:left w:val="single" w:sz="4" w:space="0" w:color="auto"/>
            </w:tcBorders>
            <w:vAlign w:val="center"/>
          </w:tcPr>
          <w:p w:rsidR="009571FA" w:rsidRPr="00833DB8" w:rsidRDefault="009571FA" w:rsidP="00810A14">
            <w:pPr>
              <w:spacing w:line="276" w:lineRule="auto"/>
              <w:jc w:val="center"/>
              <w:rPr>
                <w:rFonts w:ascii="Calibri" w:hAnsi="Calibri"/>
                <w:szCs w:val="20"/>
                <w:lang w:val="es-ES_tradnl"/>
              </w:rPr>
            </w:pPr>
            <w:r w:rsidRPr="00833DB8">
              <w:rPr>
                <w:rFonts w:ascii="Calibri" w:hAnsi="Calibri"/>
                <w:szCs w:val="20"/>
                <w:lang w:val="es-ES_tradnl"/>
              </w:rPr>
              <w:t>44</w:t>
            </w:r>
          </w:p>
        </w:tc>
        <w:tc>
          <w:tcPr>
            <w:tcW w:w="757" w:type="dxa"/>
            <w:vAlign w:val="center"/>
          </w:tcPr>
          <w:p w:rsidR="009571FA" w:rsidRPr="00833DB8" w:rsidRDefault="009571FA" w:rsidP="00810A14">
            <w:pPr>
              <w:spacing w:line="276" w:lineRule="auto"/>
              <w:jc w:val="center"/>
              <w:rPr>
                <w:rFonts w:ascii="Calibri" w:hAnsi="Calibri"/>
                <w:szCs w:val="20"/>
                <w:lang w:val="es-ES_tradnl"/>
              </w:rPr>
            </w:pPr>
            <w:r w:rsidRPr="00833DB8">
              <w:rPr>
                <w:rFonts w:ascii="Calibri" w:hAnsi="Calibri"/>
                <w:szCs w:val="20"/>
                <w:lang w:val="es-ES_tradnl"/>
              </w:rPr>
              <w:t>11.3</w:t>
            </w:r>
          </w:p>
        </w:tc>
      </w:tr>
      <w:tr w:rsidR="009571FA" w:rsidRPr="00EE5F2E" w:rsidTr="00FF2731">
        <w:trPr>
          <w:trHeight w:val="432"/>
        </w:trPr>
        <w:tc>
          <w:tcPr>
            <w:tcW w:w="6413" w:type="dxa"/>
            <w:tcBorders>
              <w:right w:val="single" w:sz="4" w:space="0" w:color="auto"/>
            </w:tcBorders>
            <w:vAlign w:val="center"/>
          </w:tcPr>
          <w:p w:rsidR="009571FA" w:rsidRPr="00833DB8" w:rsidRDefault="009571FA" w:rsidP="00810A14">
            <w:pPr>
              <w:spacing w:line="276" w:lineRule="auto"/>
              <w:rPr>
                <w:rFonts w:ascii="Calibri" w:hAnsi="Calibri"/>
                <w:szCs w:val="20"/>
              </w:rPr>
            </w:pPr>
            <w:r w:rsidRPr="00833DB8">
              <w:rPr>
                <w:rFonts w:ascii="Calibri" w:hAnsi="Calibri"/>
                <w:szCs w:val="20"/>
              </w:rPr>
              <w:t>Not interested in gender / Not relevant to my work / Not a priority</w:t>
            </w:r>
          </w:p>
        </w:tc>
        <w:tc>
          <w:tcPr>
            <w:tcW w:w="551" w:type="dxa"/>
            <w:tcBorders>
              <w:left w:val="single" w:sz="4" w:space="0" w:color="auto"/>
            </w:tcBorders>
            <w:vAlign w:val="center"/>
          </w:tcPr>
          <w:p w:rsidR="009571FA" w:rsidRPr="00833DB8" w:rsidRDefault="009571FA" w:rsidP="00810A14">
            <w:pPr>
              <w:spacing w:line="276" w:lineRule="auto"/>
              <w:jc w:val="center"/>
              <w:rPr>
                <w:rFonts w:ascii="Calibri" w:hAnsi="Calibri"/>
                <w:szCs w:val="20"/>
                <w:lang w:val="es-ES_tradnl"/>
              </w:rPr>
            </w:pPr>
            <w:r w:rsidRPr="00833DB8">
              <w:rPr>
                <w:rFonts w:ascii="Calibri" w:hAnsi="Calibri"/>
                <w:szCs w:val="20"/>
                <w:lang w:val="es-ES_tradnl"/>
              </w:rPr>
              <w:t>348</w:t>
            </w:r>
          </w:p>
        </w:tc>
        <w:tc>
          <w:tcPr>
            <w:tcW w:w="607" w:type="dxa"/>
            <w:tcBorders>
              <w:right w:val="single" w:sz="4" w:space="0" w:color="auto"/>
            </w:tcBorders>
            <w:vAlign w:val="center"/>
          </w:tcPr>
          <w:p w:rsidR="009571FA" w:rsidRPr="00833DB8" w:rsidRDefault="009571FA" w:rsidP="00810A14">
            <w:pPr>
              <w:spacing w:line="276" w:lineRule="auto"/>
              <w:jc w:val="center"/>
              <w:rPr>
                <w:rFonts w:ascii="Calibri" w:hAnsi="Calibri"/>
                <w:szCs w:val="20"/>
                <w:lang w:val="es-ES_tradnl"/>
              </w:rPr>
            </w:pPr>
            <w:r w:rsidRPr="00833DB8">
              <w:rPr>
                <w:rFonts w:ascii="Calibri" w:hAnsi="Calibri"/>
                <w:szCs w:val="20"/>
                <w:lang w:val="es-ES_tradnl"/>
              </w:rPr>
              <w:t>16.1</w:t>
            </w:r>
          </w:p>
        </w:tc>
        <w:tc>
          <w:tcPr>
            <w:tcW w:w="690" w:type="dxa"/>
            <w:tcBorders>
              <w:left w:val="single" w:sz="4" w:space="0" w:color="auto"/>
            </w:tcBorders>
            <w:vAlign w:val="center"/>
          </w:tcPr>
          <w:p w:rsidR="009571FA" w:rsidRPr="00833DB8" w:rsidRDefault="009571FA" w:rsidP="00810A14">
            <w:pPr>
              <w:spacing w:line="276" w:lineRule="auto"/>
              <w:jc w:val="center"/>
              <w:rPr>
                <w:rFonts w:ascii="Calibri" w:hAnsi="Calibri"/>
                <w:szCs w:val="20"/>
                <w:lang w:val="es-ES_tradnl"/>
              </w:rPr>
            </w:pPr>
            <w:r w:rsidRPr="00833DB8">
              <w:rPr>
                <w:rFonts w:ascii="Calibri" w:hAnsi="Calibri"/>
                <w:szCs w:val="20"/>
                <w:lang w:val="es-ES_tradnl"/>
              </w:rPr>
              <w:t>42</w:t>
            </w:r>
          </w:p>
        </w:tc>
        <w:tc>
          <w:tcPr>
            <w:tcW w:w="757" w:type="dxa"/>
            <w:vAlign w:val="center"/>
          </w:tcPr>
          <w:p w:rsidR="009571FA" w:rsidRPr="00833DB8" w:rsidRDefault="009571FA" w:rsidP="00810A14">
            <w:pPr>
              <w:spacing w:line="276" w:lineRule="auto"/>
              <w:jc w:val="center"/>
              <w:rPr>
                <w:rFonts w:ascii="Calibri" w:hAnsi="Calibri"/>
                <w:szCs w:val="20"/>
                <w:lang w:val="es-ES_tradnl"/>
              </w:rPr>
            </w:pPr>
            <w:r w:rsidRPr="00833DB8">
              <w:rPr>
                <w:rFonts w:ascii="Calibri" w:hAnsi="Calibri"/>
                <w:szCs w:val="20"/>
                <w:lang w:val="es-ES_tradnl"/>
              </w:rPr>
              <w:t>10.8</w:t>
            </w:r>
          </w:p>
        </w:tc>
      </w:tr>
      <w:tr w:rsidR="009571FA" w:rsidRPr="00EE5F2E" w:rsidTr="00FF2731">
        <w:trPr>
          <w:trHeight w:val="312"/>
        </w:trPr>
        <w:tc>
          <w:tcPr>
            <w:tcW w:w="6413" w:type="dxa"/>
            <w:tcBorders>
              <w:top w:val="single" w:sz="4" w:space="0" w:color="auto"/>
              <w:right w:val="single" w:sz="4" w:space="0" w:color="auto"/>
            </w:tcBorders>
            <w:vAlign w:val="center"/>
          </w:tcPr>
          <w:p w:rsidR="009571FA" w:rsidRPr="00833DB8" w:rsidRDefault="009571FA" w:rsidP="00810A14">
            <w:pPr>
              <w:spacing w:line="276" w:lineRule="auto"/>
              <w:rPr>
                <w:rFonts w:ascii="Calibri" w:hAnsi="Calibri"/>
                <w:szCs w:val="20"/>
                <w:lang w:val="es-ES_tradnl"/>
              </w:rPr>
            </w:pPr>
            <w:r w:rsidRPr="00833DB8">
              <w:rPr>
                <w:rFonts w:ascii="Calibri" w:hAnsi="Calibri"/>
                <w:szCs w:val="20"/>
                <w:lang w:val="es-ES_tradnl"/>
              </w:rPr>
              <w:t>All of the above</w:t>
            </w:r>
          </w:p>
        </w:tc>
        <w:tc>
          <w:tcPr>
            <w:tcW w:w="551" w:type="dxa"/>
            <w:tcBorders>
              <w:top w:val="single" w:sz="4" w:space="0" w:color="auto"/>
              <w:left w:val="single" w:sz="4" w:space="0" w:color="auto"/>
            </w:tcBorders>
            <w:vAlign w:val="center"/>
          </w:tcPr>
          <w:p w:rsidR="009571FA" w:rsidRPr="00833DB8" w:rsidRDefault="009571FA" w:rsidP="00810A14">
            <w:pPr>
              <w:spacing w:line="276" w:lineRule="auto"/>
              <w:jc w:val="center"/>
              <w:rPr>
                <w:rFonts w:ascii="Calibri" w:hAnsi="Calibri"/>
                <w:szCs w:val="20"/>
                <w:lang w:val="es-ES_tradnl"/>
              </w:rPr>
            </w:pPr>
            <w:r w:rsidRPr="00833DB8">
              <w:rPr>
                <w:rFonts w:ascii="Calibri" w:hAnsi="Calibri"/>
                <w:szCs w:val="20"/>
                <w:lang w:val="es-ES_tradnl"/>
              </w:rPr>
              <w:t>86</w:t>
            </w:r>
          </w:p>
        </w:tc>
        <w:tc>
          <w:tcPr>
            <w:tcW w:w="607" w:type="dxa"/>
            <w:tcBorders>
              <w:top w:val="single" w:sz="4" w:space="0" w:color="auto"/>
              <w:right w:val="single" w:sz="4" w:space="0" w:color="auto"/>
            </w:tcBorders>
            <w:vAlign w:val="center"/>
          </w:tcPr>
          <w:p w:rsidR="009571FA" w:rsidRPr="00833DB8" w:rsidRDefault="009571FA" w:rsidP="00810A14">
            <w:pPr>
              <w:spacing w:line="276" w:lineRule="auto"/>
              <w:jc w:val="center"/>
              <w:rPr>
                <w:rFonts w:ascii="Calibri" w:hAnsi="Calibri"/>
                <w:szCs w:val="20"/>
                <w:lang w:val="es-ES_tradnl"/>
              </w:rPr>
            </w:pPr>
            <w:r w:rsidRPr="00833DB8">
              <w:rPr>
                <w:rFonts w:ascii="Calibri" w:hAnsi="Calibri"/>
                <w:szCs w:val="20"/>
                <w:lang w:val="es-ES_tradnl"/>
              </w:rPr>
              <w:t>4.0</w:t>
            </w:r>
          </w:p>
        </w:tc>
        <w:tc>
          <w:tcPr>
            <w:tcW w:w="690" w:type="dxa"/>
            <w:tcBorders>
              <w:top w:val="single" w:sz="4" w:space="0" w:color="auto"/>
              <w:left w:val="single" w:sz="4" w:space="0" w:color="auto"/>
            </w:tcBorders>
            <w:vAlign w:val="center"/>
          </w:tcPr>
          <w:p w:rsidR="009571FA" w:rsidRPr="00833DB8" w:rsidRDefault="009571FA" w:rsidP="00810A14">
            <w:pPr>
              <w:spacing w:line="276" w:lineRule="auto"/>
              <w:jc w:val="center"/>
              <w:rPr>
                <w:rFonts w:ascii="Calibri" w:hAnsi="Calibri"/>
                <w:szCs w:val="20"/>
                <w:lang w:val="es-ES_tradnl"/>
              </w:rPr>
            </w:pPr>
            <w:r w:rsidRPr="00833DB8">
              <w:rPr>
                <w:rFonts w:ascii="Calibri" w:hAnsi="Calibri"/>
                <w:szCs w:val="20"/>
                <w:lang w:val="es-ES_tradnl"/>
              </w:rPr>
              <w:t>17</w:t>
            </w:r>
          </w:p>
        </w:tc>
        <w:tc>
          <w:tcPr>
            <w:tcW w:w="757" w:type="dxa"/>
            <w:tcBorders>
              <w:top w:val="single" w:sz="4" w:space="0" w:color="auto"/>
            </w:tcBorders>
            <w:vAlign w:val="center"/>
          </w:tcPr>
          <w:p w:rsidR="009571FA" w:rsidRPr="00833DB8" w:rsidRDefault="009571FA" w:rsidP="00810A14">
            <w:pPr>
              <w:spacing w:line="276" w:lineRule="auto"/>
              <w:jc w:val="center"/>
              <w:rPr>
                <w:rFonts w:ascii="Calibri" w:hAnsi="Calibri"/>
                <w:szCs w:val="20"/>
                <w:lang w:val="es-ES_tradnl"/>
              </w:rPr>
            </w:pPr>
            <w:r w:rsidRPr="00833DB8">
              <w:rPr>
                <w:rFonts w:ascii="Calibri" w:hAnsi="Calibri"/>
                <w:szCs w:val="20"/>
                <w:lang w:val="es-ES_tradnl"/>
              </w:rPr>
              <w:t>4.4</w:t>
            </w:r>
          </w:p>
        </w:tc>
      </w:tr>
      <w:tr w:rsidR="009571FA" w:rsidRPr="00EE5F2E" w:rsidTr="00FF2731">
        <w:trPr>
          <w:trHeight w:val="312"/>
        </w:trPr>
        <w:tc>
          <w:tcPr>
            <w:tcW w:w="6413" w:type="dxa"/>
            <w:tcBorders>
              <w:right w:val="single" w:sz="4" w:space="0" w:color="auto"/>
            </w:tcBorders>
            <w:vAlign w:val="center"/>
          </w:tcPr>
          <w:p w:rsidR="009571FA" w:rsidRPr="00833DB8" w:rsidRDefault="009571FA" w:rsidP="00810A14">
            <w:pPr>
              <w:spacing w:line="276" w:lineRule="auto"/>
              <w:rPr>
                <w:rFonts w:ascii="Calibri" w:hAnsi="Calibri"/>
                <w:szCs w:val="20"/>
                <w:lang w:val="es-ES_tradnl"/>
              </w:rPr>
            </w:pPr>
            <w:r w:rsidRPr="00833DB8">
              <w:rPr>
                <w:rFonts w:ascii="Calibri" w:hAnsi="Calibri"/>
                <w:szCs w:val="20"/>
                <w:lang w:val="es-ES_tradnl"/>
              </w:rPr>
              <w:t>Other</w:t>
            </w:r>
          </w:p>
        </w:tc>
        <w:tc>
          <w:tcPr>
            <w:tcW w:w="551" w:type="dxa"/>
            <w:tcBorders>
              <w:left w:val="single" w:sz="4" w:space="0" w:color="auto"/>
            </w:tcBorders>
            <w:vAlign w:val="center"/>
          </w:tcPr>
          <w:p w:rsidR="009571FA" w:rsidRPr="00833DB8" w:rsidRDefault="009571FA" w:rsidP="00810A14">
            <w:pPr>
              <w:spacing w:line="276" w:lineRule="auto"/>
              <w:jc w:val="center"/>
              <w:rPr>
                <w:rFonts w:ascii="Calibri" w:hAnsi="Calibri"/>
                <w:szCs w:val="20"/>
                <w:lang w:val="es-ES_tradnl"/>
              </w:rPr>
            </w:pPr>
            <w:r w:rsidRPr="00833DB8">
              <w:rPr>
                <w:rFonts w:ascii="Calibri" w:hAnsi="Calibri"/>
                <w:szCs w:val="20"/>
                <w:lang w:val="es-ES_tradnl"/>
              </w:rPr>
              <w:t>140</w:t>
            </w:r>
          </w:p>
        </w:tc>
        <w:tc>
          <w:tcPr>
            <w:tcW w:w="607" w:type="dxa"/>
            <w:tcBorders>
              <w:right w:val="single" w:sz="4" w:space="0" w:color="auto"/>
            </w:tcBorders>
            <w:vAlign w:val="center"/>
          </w:tcPr>
          <w:p w:rsidR="009571FA" w:rsidRPr="00833DB8" w:rsidRDefault="009571FA" w:rsidP="00810A14">
            <w:pPr>
              <w:spacing w:line="276" w:lineRule="auto"/>
              <w:jc w:val="center"/>
              <w:rPr>
                <w:rFonts w:ascii="Calibri" w:hAnsi="Calibri"/>
                <w:szCs w:val="20"/>
                <w:lang w:val="es-ES_tradnl"/>
              </w:rPr>
            </w:pPr>
            <w:r w:rsidRPr="00833DB8">
              <w:rPr>
                <w:rFonts w:ascii="Calibri" w:hAnsi="Calibri"/>
                <w:szCs w:val="20"/>
                <w:lang w:val="es-ES_tradnl"/>
              </w:rPr>
              <w:t>6.5</w:t>
            </w:r>
          </w:p>
        </w:tc>
        <w:tc>
          <w:tcPr>
            <w:tcW w:w="690" w:type="dxa"/>
            <w:tcBorders>
              <w:left w:val="single" w:sz="4" w:space="0" w:color="auto"/>
            </w:tcBorders>
            <w:vAlign w:val="center"/>
          </w:tcPr>
          <w:p w:rsidR="009571FA" w:rsidRPr="00833DB8" w:rsidRDefault="009571FA" w:rsidP="00810A14">
            <w:pPr>
              <w:spacing w:line="276" w:lineRule="auto"/>
              <w:jc w:val="center"/>
              <w:rPr>
                <w:rFonts w:ascii="Calibri" w:hAnsi="Calibri"/>
                <w:szCs w:val="20"/>
                <w:lang w:val="es-ES_tradnl"/>
              </w:rPr>
            </w:pPr>
            <w:r w:rsidRPr="00833DB8">
              <w:rPr>
                <w:rFonts w:ascii="Calibri" w:hAnsi="Calibri"/>
                <w:szCs w:val="20"/>
                <w:lang w:val="es-ES_tradnl"/>
              </w:rPr>
              <w:t>22</w:t>
            </w:r>
          </w:p>
        </w:tc>
        <w:tc>
          <w:tcPr>
            <w:tcW w:w="757" w:type="dxa"/>
            <w:vAlign w:val="center"/>
          </w:tcPr>
          <w:p w:rsidR="009571FA" w:rsidRPr="00833DB8" w:rsidRDefault="009571FA" w:rsidP="00810A14">
            <w:pPr>
              <w:spacing w:line="276" w:lineRule="auto"/>
              <w:jc w:val="center"/>
              <w:rPr>
                <w:rFonts w:ascii="Calibri" w:hAnsi="Calibri"/>
                <w:szCs w:val="20"/>
                <w:lang w:val="es-ES_tradnl"/>
              </w:rPr>
            </w:pPr>
            <w:r w:rsidRPr="00833DB8">
              <w:rPr>
                <w:rFonts w:ascii="Calibri" w:hAnsi="Calibri"/>
                <w:szCs w:val="20"/>
                <w:lang w:val="es-ES_tradnl"/>
              </w:rPr>
              <w:t>5.6</w:t>
            </w:r>
          </w:p>
        </w:tc>
      </w:tr>
      <w:tr w:rsidR="009571FA" w:rsidRPr="00EE5F2E" w:rsidTr="00FF2731">
        <w:trPr>
          <w:trHeight w:val="312"/>
        </w:trPr>
        <w:tc>
          <w:tcPr>
            <w:tcW w:w="6413" w:type="dxa"/>
            <w:tcBorders>
              <w:right w:val="single" w:sz="4" w:space="0" w:color="auto"/>
            </w:tcBorders>
            <w:vAlign w:val="center"/>
          </w:tcPr>
          <w:p w:rsidR="009571FA" w:rsidRPr="00833DB8" w:rsidRDefault="009571FA" w:rsidP="00810A14">
            <w:pPr>
              <w:spacing w:line="276" w:lineRule="auto"/>
              <w:rPr>
                <w:rFonts w:ascii="Calibri" w:hAnsi="Calibri"/>
                <w:szCs w:val="20"/>
                <w:lang w:val="es-ES_tradnl"/>
              </w:rPr>
            </w:pPr>
            <w:r w:rsidRPr="00833DB8">
              <w:rPr>
                <w:rFonts w:ascii="Calibri" w:hAnsi="Calibri"/>
                <w:szCs w:val="20"/>
                <w:lang w:val="es-ES_tradnl"/>
              </w:rPr>
              <w:t>None</w:t>
            </w:r>
          </w:p>
        </w:tc>
        <w:tc>
          <w:tcPr>
            <w:tcW w:w="551" w:type="dxa"/>
            <w:tcBorders>
              <w:left w:val="single" w:sz="4" w:space="0" w:color="auto"/>
            </w:tcBorders>
            <w:vAlign w:val="center"/>
          </w:tcPr>
          <w:p w:rsidR="009571FA" w:rsidRPr="00833DB8" w:rsidRDefault="009571FA" w:rsidP="00810A14">
            <w:pPr>
              <w:spacing w:line="276" w:lineRule="auto"/>
              <w:jc w:val="center"/>
              <w:rPr>
                <w:rFonts w:ascii="Calibri" w:hAnsi="Calibri"/>
                <w:szCs w:val="20"/>
                <w:lang w:val="es-ES_tradnl"/>
              </w:rPr>
            </w:pPr>
            <w:r w:rsidRPr="00833DB8">
              <w:rPr>
                <w:rFonts w:ascii="Calibri" w:hAnsi="Calibri"/>
                <w:szCs w:val="20"/>
                <w:lang w:val="es-ES_tradnl"/>
              </w:rPr>
              <w:t>438</w:t>
            </w:r>
          </w:p>
        </w:tc>
        <w:tc>
          <w:tcPr>
            <w:tcW w:w="607" w:type="dxa"/>
            <w:tcBorders>
              <w:right w:val="single" w:sz="4" w:space="0" w:color="auto"/>
            </w:tcBorders>
            <w:vAlign w:val="center"/>
          </w:tcPr>
          <w:p w:rsidR="009571FA" w:rsidRPr="00833DB8" w:rsidRDefault="009571FA" w:rsidP="00810A14">
            <w:pPr>
              <w:spacing w:line="276" w:lineRule="auto"/>
              <w:jc w:val="center"/>
              <w:rPr>
                <w:rFonts w:ascii="Calibri" w:hAnsi="Calibri"/>
                <w:szCs w:val="20"/>
                <w:lang w:val="es-ES_tradnl"/>
              </w:rPr>
            </w:pPr>
            <w:r w:rsidRPr="00833DB8">
              <w:rPr>
                <w:rFonts w:ascii="Calibri" w:hAnsi="Calibri"/>
                <w:szCs w:val="20"/>
                <w:lang w:val="es-ES_tradnl"/>
              </w:rPr>
              <w:t>20.3</w:t>
            </w:r>
          </w:p>
        </w:tc>
        <w:tc>
          <w:tcPr>
            <w:tcW w:w="690" w:type="dxa"/>
            <w:tcBorders>
              <w:left w:val="single" w:sz="4" w:space="0" w:color="auto"/>
            </w:tcBorders>
            <w:vAlign w:val="center"/>
          </w:tcPr>
          <w:p w:rsidR="009571FA" w:rsidRPr="00833DB8" w:rsidRDefault="009571FA" w:rsidP="00810A14">
            <w:pPr>
              <w:spacing w:line="276" w:lineRule="auto"/>
              <w:jc w:val="center"/>
              <w:rPr>
                <w:rFonts w:ascii="Calibri" w:hAnsi="Calibri"/>
                <w:szCs w:val="20"/>
                <w:lang w:val="es-ES_tradnl"/>
              </w:rPr>
            </w:pPr>
            <w:r w:rsidRPr="00833DB8">
              <w:rPr>
                <w:rFonts w:ascii="Calibri" w:hAnsi="Calibri"/>
                <w:szCs w:val="20"/>
                <w:lang w:val="es-ES_tradnl"/>
              </w:rPr>
              <w:t>108</w:t>
            </w:r>
          </w:p>
        </w:tc>
        <w:tc>
          <w:tcPr>
            <w:tcW w:w="757" w:type="dxa"/>
            <w:vAlign w:val="center"/>
          </w:tcPr>
          <w:p w:rsidR="009571FA" w:rsidRPr="00833DB8" w:rsidRDefault="009571FA" w:rsidP="00810A14">
            <w:pPr>
              <w:spacing w:line="276" w:lineRule="auto"/>
              <w:jc w:val="center"/>
              <w:rPr>
                <w:rFonts w:ascii="Calibri" w:hAnsi="Calibri"/>
                <w:szCs w:val="20"/>
                <w:lang w:val="es-ES_tradnl"/>
              </w:rPr>
            </w:pPr>
            <w:r w:rsidRPr="00833DB8">
              <w:rPr>
                <w:rFonts w:ascii="Calibri" w:hAnsi="Calibri"/>
                <w:szCs w:val="20"/>
                <w:lang w:val="es-ES_tradnl"/>
              </w:rPr>
              <w:t>27.7</w:t>
            </w:r>
          </w:p>
        </w:tc>
      </w:tr>
      <w:tr w:rsidR="009571FA" w:rsidRPr="00EE5F2E" w:rsidTr="00FF2731">
        <w:trPr>
          <w:trHeight w:val="312"/>
        </w:trPr>
        <w:tc>
          <w:tcPr>
            <w:tcW w:w="6413" w:type="dxa"/>
            <w:tcBorders>
              <w:bottom w:val="single" w:sz="4" w:space="0" w:color="auto"/>
              <w:right w:val="single" w:sz="4" w:space="0" w:color="auto"/>
            </w:tcBorders>
            <w:vAlign w:val="center"/>
          </w:tcPr>
          <w:p w:rsidR="009571FA" w:rsidRPr="00833DB8" w:rsidRDefault="009571FA" w:rsidP="00810A14">
            <w:pPr>
              <w:spacing w:line="276" w:lineRule="auto"/>
              <w:rPr>
                <w:rFonts w:ascii="Calibri" w:hAnsi="Calibri"/>
                <w:szCs w:val="20"/>
                <w:lang w:val="es-ES_tradnl"/>
              </w:rPr>
            </w:pPr>
            <w:r w:rsidRPr="00833DB8">
              <w:rPr>
                <w:rFonts w:ascii="Calibri" w:hAnsi="Calibri"/>
                <w:szCs w:val="20"/>
                <w:lang w:val="es-ES_tradnl"/>
              </w:rPr>
              <w:t>Don't Know</w:t>
            </w:r>
          </w:p>
        </w:tc>
        <w:tc>
          <w:tcPr>
            <w:tcW w:w="551" w:type="dxa"/>
            <w:tcBorders>
              <w:left w:val="single" w:sz="4" w:space="0" w:color="auto"/>
              <w:bottom w:val="single" w:sz="4" w:space="0" w:color="auto"/>
            </w:tcBorders>
            <w:vAlign w:val="center"/>
          </w:tcPr>
          <w:p w:rsidR="009571FA" w:rsidRPr="00833DB8" w:rsidRDefault="009571FA" w:rsidP="00810A14">
            <w:pPr>
              <w:spacing w:line="276" w:lineRule="auto"/>
              <w:jc w:val="center"/>
              <w:rPr>
                <w:rFonts w:ascii="Calibri" w:hAnsi="Calibri"/>
                <w:szCs w:val="20"/>
                <w:lang w:val="es-ES_tradnl"/>
              </w:rPr>
            </w:pPr>
            <w:r w:rsidRPr="00833DB8">
              <w:rPr>
                <w:rFonts w:ascii="Calibri" w:hAnsi="Calibri"/>
                <w:szCs w:val="20"/>
                <w:lang w:val="es-ES_tradnl"/>
              </w:rPr>
              <w:t>178</w:t>
            </w:r>
          </w:p>
        </w:tc>
        <w:tc>
          <w:tcPr>
            <w:tcW w:w="607" w:type="dxa"/>
            <w:tcBorders>
              <w:bottom w:val="single" w:sz="4" w:space="0" w:color="auto"/>
              <w:right w:val="single" w:sz="4" w:space="0" w:color="auto"/>
            </w:tcBorders>
            <w:vAlign w:val="center"/>
          </w:tcPr>
          <w:p w:rsidR="009571FA" w:rsidRPr="00833DB8" w:rsidRDefault="009571FA" w:rsidP="00810A14">
            <w:pPr>
              <w:spacing w:line="276" w:lineRule="auto"/>
              <w:jc w:val="center"/>
              <w:rPr>
                <w:rFonts w:ascii="Calibri" w:hAnsi="Calibri"/>
                <w:szCs w:val="20"/>
                <w:lang w:val="es-ES_tradnl"/>
              </w:rPr>
            </w:pPr>
            <w:r w:rsidRPr="00833DB8">
              <w:rPr>
                <w:rFonts w:ascii="Calibri" w:hAnsi="Calibri"/>
                <w:szCs w:val="20"/>
                <w:lang w:val="es-ES_tradnl"/>
              </w:rPr>
              <w:t>8.2</w:t>
            </w:r>
          </w:p>
        </w:tc>
        <w:tc>
          <w:tcPr>
            <w:tcW w:w="690" w:type="dxa"/>
            <w:tcBorders>
              <w:left w:val="single" w:sz="4" w:space="0" w:color="auto"/>
              <w:bottom w:val="single" w:sz="4" w:space="0" w:color="auto"/>
            </w:tcBorders>
            <w:vAlign w:val="center"/>
          </w:tcPr>
          <w:p w:rsidR="009571FA" w:rsidRPr="00833DB8" w:rsidRDefault="009571FA" w:rsidP="00810A14">
            <w:pPr>
              <w:spacing w:line="276" w:lineRule="auto"/>
              <w:jc w:val="center"/>
              <w:rPr>
                <w:rFonts w:ascii="Calibri" w:hAnsi="Calibri"/>
                <w:szCs w:val="20"/>
                <w:lang w:val="es-ES_tradnl"/>
              </w:rPr>
            </w:pPr>
            <w:r w:rsidRPr="00833DB8">
              <w:rPr>
                <w:rFonts w:ascii="Calibri" w:hAnsi="Calibri"/>
                <w:szCs w:val="20"/>
                <w:lang w:val="es-ES_tradnl"/>
              </w:rPr>
              <w:t>25</w:t>
            </w:r>
          </w:p>
        </w:tc>
        <w:tc>
          <w:tcPr>
            <w:tcW w:w="757" w:type="dxa"/>
            <w:tcBorders>
              <w:bottom w:val="single" w:sz="4" w:space="0" w:color="auto"/>
            </w:tcBorders>
            <w:vAlign w:val="center"/>
          </w:tcPr>
          <w:p w:rsidR="009571FA" w:rsidRPr="00833DB8" w:rsidRDefault="009571FA" w:rsidP="00810A14">
            <w:pPr>
              <w:spacing w:line="276" w:lineRule="auto"/>
              <w:jc w:val="center"/>
              <w:rPr>
                <w:rFonts w:ascii="Calibri" w:hAnsi="Calibri"/>
                <w:szCs w:val="20"/>
                <w:lang w:val="es-ES_tradnl"/>
              </w:rPr>
            </w:pPr>
            <w:r w:rsidRPr="00833DB8">
              <w:rPr>
                <w:rFonts w:ascii="Calibri" w:hAnsi="Calibri"/>
                <w:szCs w:val="20"/>
                <w:lang w:val="es-ES_tradnl"/>
              </w:rPr>
              <w:t>6.4</w:t>
            </w:r>
          </w:p>
        </w:tc>
      </w:tr>
    </w:tbl>
    <w:p w:rsidR="00530E8C" w:rsidRPr="00DE30BA" w:rsidRDefault="00530E8C" w:rsidP="00EE5F2E">
      <w:pPr>
        <w:jc w:val="both"/>
        <w:rPr>
          <w:rFonts w:cs="Arial"/>
          <w:sz w:val="12"/>
        </w:rPr>
      </w:pPr>
    </w:p>
    <w:p w:rsidR="009571FA" w:rsidRPr="00EE5F2E" w:rsidRDefault="009571FA" w:rsidP="00ED4C97">
      <w:pPr>
        <w:jc w:val="both"/>
        <w:rPr>
          <w:szCs w:val="20"/>
        </w:rPr>
      </w:pPr>
    </w:p>
    <w:p w:rsidR="009571FA" w:rsidRPr="00AF6FF8" w:rsidRDefault="007C65A5" w:rsidP="00581596">
      <w:pPr>
        <w:numPr>
          <w:ilvl w:val="0"/>
          <w:numId w:val="39"/>
        </w:numPr>
        <w:jc w:val="both"/>
        <w:rPr>
          <w:b/>
          <w:color w:val="000000"/>
          <w:sz w:val="24"/>
          <w:lang w:val="en-US"/>
        </w:rPr>
      </w:pPr>
      <w:r>
        <w:rPr>
          <w:b/>
          <w:color w:val="000000"/>
          <w:sz w:val="24"/>
        </w:rPr>
        <w:t xml:space="preserve"> </w:t>
      </w:r>
      <w:r w:rsidR="009571FA">
        <w:rPr>
          <w:b/>
          <w:color w:val="000000"/>
          <w:sz w:val="24"/>
        </w:rPr>
        <w:t xml:space="preserve"> </w:t>
      </w:r>
      <w:r w:rsidR="009571FA" w:rsidRPr="00AF6FF8">
        <w:rPr>
          <w:b/>
          <w:color w:val="000000"/>
          <w:sz w:val="24"/>
          <w:lang w:val="en-US"/>
        </w:rPr>
        <w:t>Types of in</w:t>
      </w:r>
      <w:r>
        <w:rPr>
          <w:b/>
          <w:color w:val="000000"/>
          <w:sz w:val="24"/>
          <w:lang w:val="en-US"/>
        </w:rPr>
        <w:t>stitutional support needed</w:t>
      </w:r>
      <w:r w:rsidR="009571FA">
        <w:rPr>
          <w:b/>
          <w:color w:val="000000"/>
          <w:sz w:val="24"/>
          <w:lang w:val="en-US"/>
        </w:rPr>
        <w:t xml:space="preserve"> </w:t>
      </w:r>
      <w:r w:rsidR="009571FA" w:rsidRPr="00AF6FF8">
        <w:rPr>
          <w:b/>
          <w:color w:val="000000"/>
          <w:sz w:val="24"/>
          <w:lang w:val="en-US"/>
        </w:rPr>
        <w:t>for the future</w:t>
      </w:r>
    </w:p>
    <w:p w:rsidR="009571FA" w:rsidRPr="004437D0" w:rsidRDefault="009571FA" w:rsidP="00ED4C97">
      <w:pPr>
        <w:jc w:val="both"/>
        <w:rPr>
          <w:b/>
          <w:color w:val="000000"/>
          <w:sz w:val="12"/>
          <w:lang w:val="en-US"/>
        </w:rPr>
      </w:pPr>
    </w:p>
    <w:p w:rsidR="009571FA" w:rsidRPr="00CE38A5" w:rsidRDefault="009571FA" w:rsidP="00ED4C97">
      <w:pPr>
        <w:jc w:val="both"/>
        <w:rPr>
          <w:color w:val="000000"/>
          <w:sz w:val="22"/>
          <w:lang w:val="en-US"/>
        </w:rPr>
      </w:pPr>
      <w:r w:rsidRPr="00CE38A5">
        <w:rPr>
          <w:color w:val="000000"/>
          <w:sz w:val="22"/>
          <w:lang w:val="en-US"/>
        </w:rPr>
        <w:t xml:space="preserve">In correspondence with the above findings on facilitating and inhibiting factors for gender mainstreaming, the three types of institutional support that higher proportions of PAHO staff members deemed most needed were:  (Table </w:t>
      </w:r>
      <w:r>
        <w:rPr>
          <w:color w:val="000000"/>
          <w:sz w:val="22"/>
          <w:lang w:val="en-US"/>
        </w:rPr>
        <w:t>9</w:t>
      </w:r>
      <w:r w:rsidRPr="00CE38A5">
        <w:rPr>
          <w:color w:val="000000"/>
          <w:sz w:val="22"/>
          <w:lang w:val="en-US"/>
        </w:rPr>
        <w:t>)</w:t>
      </w:r>
    </w:p>
    <w:p w:rsidR="009571FA" w:rsidRPr="004B49FA" w:rsidRDefault="009571FA" w:rsidP="00ED4C97">
      <w:pPr>
        <w:jc w:val="both"/>
        <w:rPr>
          <w:color w:val="000000"/>
          <w:sz w:val="8"/>
          <w:lang w:val="en-US"/>
        </w:rPr>
      </w:pPr>
    </w:p>
    <w:p w:rsidR="009571FA" w:rsidRPr="00CE38A5" w:rsidRDefault="009571FA" w:rsidP="00C05423">
      <w:pPr>
        <w:ind w:left="360"/>
        <w:rPr>
          <w:color w:val="000000"/>
          <w:sz w:val="22"/>
          <w:lang w:val="en-US"/>
        </w:rPr>
      </w:pPr>
      <w:r>
        <w:rPr>
          <w:color w:val="000000"/>
          <w:sz w:val="22"/>
          <w:lang w:val="en-US"/>
        </w:rPr>
        <w:t>1</w:t>
      </w:r>
      <w:r w:rsidRPr="00C05423">
        <w:rPr>
          <w:color w:val="000000"/>
          <w:sz w:val="22"/>
          <w:vertAlign w:val="superscript"/>
          <w:lang w:val="en-US"/>
        </w:rPr>
        <w:t>st</w:t>
      </w:r>
      <w:r>
        <w:rPr>
          <w:color w:val="000000"/>
          <w:sz w:val="22"/>
          <w:lang w:val="en-US"/>
        </w:rPr>
        <w:t xml:space="preserve">    </w:t>
      </w:r>
      <w:r w:rsidRPr="00CE38A5">
        <w:rPr>
          <w:color w:val="000000"/>
          <w:sz w:val="22"/>
          <w:lang w:val="en-US"/>
        </w:rPr>
        <w:t>Opportunities to learn or further develop skills in gender</w:t>
      </w:r>
      <w:r>
        <w:rPr>
          <w:color w:val="000000"/>
          <w:sz w:val="22"/>
          <w:lang w:val="en-US"/>
        </w:rPr>
        <w:t xml:space="preserve"> …….</w:t>
      </w:r>
      <w:r w:rsidRPr="00CE38A5">
        <w:rPr>
          <w:color w:val="000000"/>
          <w:sz w:val="22"/>
          <w:lang w:val="en-US"/>
        </w:rPr>
        <w:t>…………………</w:t>
      </w:r>
      <w:r>
        <w:rPr>
          <w:color w:val="000000"/>
          <w:sz w:val="22"/>
          <w:lang w:val="en-US"/>
        </w:rPr>
        <w:t>..</w:t>
      </w:r>
      <w:r w:rsidRPr="00CE38A5">
        <w:rPr>
          <w:color w:val="000000"/>
          <w:sz w:val="22"/>
          <w:lang w:val="en-US"/>
        </w:rPr>
        <w:t>….  49%</w:t>
      </w:r>
    </w:p>
    <w:p w:rsidR="009571FA" w:rsidRPr="00CE38A5" w:rsidRDefault="009571FA" w:rsidP="00C05423">
      <w:pPr>
        <w:ind w:left="360"/>
        <w:rPr>
          <w:color w:val="000000"/>
          <w:sz w:val="22"/>
          <w:lang w:val="en-US"/>
        </w:rPr>
      </w:pPr>
      <w:r>
        <w:rPr>
          <w:color w:val="000000"/>
          <w:sz w:val="22"/>
          <w:lang w:val="en-US"/>
        </w:rPr>
        <w:t>2</w:t>
      </w:r>
      <w:r w:rsidRPr="00C05423">
        <w:rPr>
          <w:color w:val="000000"/>
          <w:sz w:val="22"/>
          <w:vertAlign w:val="superscript"/>
          <w:lang w:val="en-US"/>
        </w:rPr>
        <w:t>nd</w:t>
      </w:r>
      <w:r>
        <w:rPr>
          <w:color w:val="000000"/>
          <w:sz w:val="22"/>
          <w:lang w:val="en-US"/>
        </w:rPr>
        <w:t xml:space="preserve">   </w:t>
      </w:r>
      <w:r w:rsidRPr="00CE38A5">
        <w:rPr>
          <w:color w:val="000000"/>
          <w:sz w:val="22"/>
          <w:lang w:val="en-US"/>
        </w:rPr>
        <w:t xml:space="preserve">Access to data or evidence on gender in the individual’s specific area of </w:t>
      </w:r>
      <w:r>
        <w:rPr>
          <w:color w:val="000000"/>
          <w:sz w:val="22"/>
          <w:lang w:val="en-US"/>
        </w:rPr>
        <w:t>work….…</w:t>
      </w:r>
      <w:r w:rsidRPr="00CE38A5">
        <w:rPr>
          <w:color w:val="000000"/>
          <w:sz w:val="22"/>
          <w:lang w:val="en-US"/>
        </w:rPr>
        <w:t>.42%</w:t>
      </w:r>
    </w:p>
    <w:p w:rsidR="009571FA" w:rsidRDefault="009571FA" w:rsidP="00C05423">
      <w:pPr>
        <w:ind w:left="360"/>
        <w:rPr>
          <w:color w:val="000000"/>
          <w:sz w:val="22"/>
          <w:lang w:val="en-US"/>
        </w:rPr>
      </w:pPr>
      <w:r>
        <w:rPr>
          <w:color w:val="000000"/>
          <w:sz w:val="22"/>
          <w:lang w:val="en-US"/>
        </w:rPr>
        <w:t>3</w:t>
      </w:r>
      <w:r w:rsidRPr="00C05423">
        <w:rPr>
          <w:color w:val="000000"/>
          <w:sz w:val="22"/>
          <w:vertAlign w:val="superscript"/>
          <w:lang w:val="en-US"/>
        </w:rPr>
        <w:t>rd</w:t>
      </w:r>
      <w:r>
        <w:rPr>
          <w:color w:val="000000"/>
          <w:sz w:val="22"/>
          <w:lang w:val="en-US"/>
        </w:rPr>
        <w:t xml:space="preserve">   </w:t>
      </w:r>
      <w:r w:rsidRPr="00CE38A5">
        <w:rPr>
          <w:color w:val="000000"/>
          <w:sz w:val="22"/>
          <w:lang w:val="en-US"/>
        </w:rPr>
        <w:t xml:space="preserve">Technical support from the Gender Focal Point(s) or </w:t>
      </w:r>
      <w:r>
        <w:rPr>
          <w:color w:val="000000"/>
          <w:sz w:val="22"/>
          <w:lang w:val="en-US"/>
        </w:rPr>
        <w:t xml:space="preserve">the </w:t>
      </w:r>
      <w:r w:rsidRPr="00CE38A5">
        <w:rPr>
          <w:color w:val="000000"/>
          <w:sz w:val="22"/>
          <w:lang w:val="en-US"/>
        </w:rPr>
        <w:t>Gender Unit…</w:t>
      </w:r>
      <w:r>
        <w:rPr>
          <w:color w:val="000000"/>
          <w:sz w:val="22"/>
          <w:lang w:val="en-US"/>
        </w:rPr>
        <w:t>…….</w:t>
      </w:r>
      <w:r w:rsidRPr="00CE38A5">
        <w:rPr>
          <w:color w:val="000000"/>
          <w:sz w:val="22"/>
          <w:lang w:val="en-US"/>
        </w:rPr>
        <w:t>……</w:t>
      </w:r>
      <w:r>
        <w:rPr>
          <w:color w:val="000000"/>
          <w:sz w:val="22"/>
          <w:lang w:val="en-US"/>
        </w:rPr>
        <w:t>. ..3</w:t>
      </w:r>
      <w:r w:rsidRPr="00CE38A5">
        <w:rPr>
          <w:color w:val="000000"/>
          <w:sz w:val="22"/>
          <w:lang w:val="en-US"/>
        </w:rPr>
        <w:t>5%</w:t>
      </w:r>
    </w:p>
    <w:p w:rsidR="009571FA" w:rsidRDefault="009571FA" w:rsidP="00ED4C97">
      <w:pPr>
        <w:jc w:val="both"/>
        <w:rPr>
          <w:color w:val="000000"/>
          <w:sz w:val="22"/>
          <w:lang w:val="en-US"/>
        </w:rPr>
      </w:pPr>
      <w:r>
        <w:rPr>
          <w:color w:val="000000"/>
          <w:sz w:val="22"/>
          <w:lang w:val="en-US"/>
        </w:rPr>
        <w:t xml:space="preserve">      4</w:t>
      </w:r>
      <w:r w:rsidRPr="00C05423">
        <w:rPr>
          <w:color w:val="000000"/>
          <w:sz w:val="22"/>
          <w:vertAlign w:val="superscript"/>
          <w:lang w:val="en-US"/>
        </w:rPr>
        <w:t>th</w:t>
      </w:r>
      <w:r>
        <w:rPr>
          <w:color w:val="000000"/>
          <w:sz w:val="22"/>
          <w:lang w:val="en-US"/>
        </w:rPr>
        <w:t xml:space="preserve">   R</w:t>
      </w:r>
      <w:r w:rsidRPr="00CE38A5">
        <w:rPr>
          <w:color w:val="000000"/>
          <w:sz w:val="22"/>
          <w:lang w:val="en-US"/>
        </w:rPr>
        <w:t>esource materials</w:t>
      </w:r>
      <w:r>
        <w:rPr>
          <w:color w:val="000000"/>
          <w:sz w:val="22"/>
          <w:lang w:val="en-US"/>
        </w:rPr>
        <w:t>……………….…………………………………………………………32%</w:t>
      </w:r>
    </w:p>
    <w:p w:rsidR="009571FA" w:rsidRDefault="009571FA" w:rsidP="00ED4C97">
      <w:pPr>
        <w:jc w:val="both"/>
        <w:rPr>
          <w:color w:val="000000"/>
          <w:sz w:val="22"/>
          <w:lang w:val="en-US"/>
        </w:rPr>
      </w:pPr>
    </w:p>
    <w:p w:rsidR="009571FA" w:rsidRDefault="009571FA" w:rsidP="00C05423">
      <w:pPr>
        <w:jc w:val="both"/>
        <w:rPr>
          <w:color w:val="000000"/>
          <w:sz w:val="22"/>
          <w:lang w:val="en-US"/>
        </w:rPr>
      </w:pPr>
      <w:r>
        <w:rPr>
          <w:color w:val="000000"/>
          <w:sz w:val="22"/>
          <w:lang w:val="en-US"/>
        </w:rPr>
        <w:t>PAHO’s choices in this respect were the same ones manifested by WHO staff as a whole. This affinity reinforced the overall importance ascribed by staff members to a learning process based on</w:t>
      </w:r>
      <w:r w:rsidRPr="009E76E2">
        <w:rPr>
          <w:b/>
          <w:color w:val="000000"/>
          <w:sz w:val="22"/>
          <w:lang w:val="en-US"/>
        </w:rPr>
        <w:t xml:space="preserve"> evidence</w:t>
      </w:r>
      <w:r>
        <w:rPr>
          <w:color w:val="000000"/>
          <w:sz w:val="22"/>
          <w:lang w:val="en-US"/>
        </w:rPr>
        <w:t xml:space="preserve"> relevant to their </w:t>
      </w:r>
      <w:r w:rsidRPr="009E76E2">
        <w:rPr>
          <w:b/>
          <w:color w:val="000000"/>
          <w:sz w:val="22"/>
          <w:lang w:val="en-US"/>
        </w:rPr>
        <w:t>specific</w:t>
      </w:r>
      <w:r>
        <w:rPr>
          <w:color w:val="000000"/>
          <w:sz w:val="22"/>
          <w:lang w:val="en-US"/>
        </w:rPr>
        <w:t xml:space="preserve"> areas of work and catalyzed by a </w:t>
      </w:r>
      <w:r w:rsidRPr="009E76E2">
        <w:rPr>
          <w:b/>
          <w:color w:val="000000"/>
          <w:sz w:val="22"/>
          <w:lang w:val="en-US"/>
        </w:rPr>
        <w:t>continued</w:t>
      </w:r>
      <w:r>
        <w:rPr>
          <w:color w:val="000000"/>
          <w:sz w:val="22"/>
          <w:lang w:val="en-US"/>
        </w:rPr>
        <w:t xml:space="preserve"> technical support from experts within the organization.  </w:t>
      </w:r>
    </w:p>
    <w:p w:rsidR="00DE30BA" w:rsidRDefault="00DE30BA" w:rsidP="00C05423">
      <w:pPr>
        <w:jc w:val="both"/>
        <w:rPr>
          <w:color w:val="000000"/>
          <w:sz w:val="22"/>
          <w:lang w:val="en-US"/>
        </w:rPr>
      </w:pPr>
    </w:p>
    <w:p w:rsidR="00DE30BA" w:rsidRDefault="00DE30BA" w:rsidP="00C05423">
      <w:pPr>
        <w:jc w:val="both"/>
        <w:rPr>
          <w:color w:val="000000"/>
          <w:sz w:val="22"/>
          <w:lang w:val="en-US"/>
        </w:rPr>
      </w:pPr>
    </w:p>
    <w:p w:rsidR="00DE30BA" w:rsidRDefault="00DE30BA" w:rsidP="00C05423">
      <w:pPr>
        <w:jc w:val="both"/>
        <w:rPr>
          <w:color w:val="000000"/>
          <w:sz w:val="22"/>
          <w:lang w:val="en-US"/>
        </w:rPr>
      </w:pPr>
    </w:p>
    <w:p w:rsidR="00DE30BA" w:rsidRDefault="00DE30BA" w:rsidP="00C05423">
      <w:pPr>
        <w:jc w:val="both"/>
        <w:rPr>
          <w:color w:val="000000"/>
          <w:sz w:val="22"/>
          <w:lang w:val="en-US"/>
        </w:rPr>
      </w:pPr>
    </w:p>
    <w:p w:rsidR="00DE30BA" w:rsidRDefault="00DE30BA" w:rsidP="00C05423">
      <w:pPr>
        <w:jc w:val="both"/>
        <w:rPr>
          <w:color w:val="000000"/>
          <w:sz w:val="22"/>
          <w:lang w:val="en-US"/>
        </w:rPr>
      </w:pPr>
    </w:p>
    <w:p w:rsidR="009571FA" w:rsidRPr="00420B20" w:rsidRDefault="009571FA" w:rsidP="00263F25">
      <w:pPr>
        <w:rPr>
          <w:color w:val="000000"/>
          <w:sz w:val="22"/>
        </w:rPr>
      </w:pPr>
    </w:p>
    <w:p w:rsidR="009571FA" w:rsidRPr="002207CF" w:rsidRDefault="009571FA" w:rsidP="002207CF">
      <w:pPr>
        <w:ind w:left="720"/>
        <w:rPr>
          <w:rFonts w:cs="Arial"/>
          <w:sz w:val="22"/>
          <w:szCs w:val="22"/>
        </w:rPr>
      </w:pPr>
      <w:r w:rsidRPr="002207CF">
        <w:rPr>
          <w:rFonts w:cs="Arial"/>
          <w:b/>
          <w:sz w:val="22"/>
          <w:szCs w:val="22"/>
        </w:rPr>
        <w:t>Table 9.</w:t>
      </w:r>
      <w:r w:rsidRPr="002207CF">
        <w:rPr>
          <w:rFonts w:cs="Arial"/>
          <w:sz w:val="22"/>
          <w:szCs w:val="22"/>
        </w:rPr>
        <w:t xml:space="preserve"> Types of</w:t>
      </w:r>
      <w:r w:rsidRPr="002207CF">
        <w:rPr>
          <w:rFonts w:cs="Arial"/>
          <w:b/>
          <w:sz w:val="22"/>
          <w:szCs w:val="22"/>
        </w:rPr>
        <w:t xml:space="preserve"> </w:t>
      </w:r>
      <w:r w:rsidRPr="002207CF">
        <w:rPr>
          <w:rFonts w:cs="Arial"/>
          <w:sz w:val="22"/>
          <w:szCs w:val="22"/>
        </w:rPr>
        <w:t>institutional support considered necessary</w:t>
      </w:r>
      <w:r w:rsidRPr="002207CF">
        <w:rPr>
          <w:rFonts w:cs="Arial"/>
          <w:b/>
          <w:sz w:val="22"/>
          <w:szCs w:val="22"/>
        </w:rPr>
        <w:t xml:space="preserve"> </w:t>
      </w:r>
      <w:r w:rsidRPr="002207CF">
        <w:rPr>
          <w:rFonts w:cs="Arial"/>
          <w:sz w:val="22"/>
          <w:szCs w:val="22"/>
        </w:rPr>
        <w:t>for the future</w:t>
      </w:r>
      <w:r w:rsidRPr="002207CF">
        <w:rPr>
          <w:rFonts w:cs="Arial"/>
          <w:b/>
          <w:sz w:val="22"/>
          <w:szCs w:val="22"/>
        </w:rPr>
        <w:t xml:space="preserve"> </w:t>
      </w:r>
      <w:r w:rsidRPr="002207CF">
        <w:rPr>
          <w:rFonts w:cs="Arial"/>
          <w:sz w:val="22"/>
          <w:szCs w:val="22"/>
        </w:rPr>
        <w:t xml:space="preserve">by </w:t>
      </w:r>
      <w:r>
        <w:rPr>
          <w:rFonts w:cs="Arial"/>
          <w:sz w:val="22"/>
          <w:szCs w:val="22"/>
        </w:rPr>
        <w:t>WHO</w:t>
      </w:r>
      <w:r w:rsidRPr="002207CF">
        <w:rPr>
          <w:rFonts w:cs="Arial"/>
          <w:sz w:val="22"/>
          <w:szCs w:val="22"/>
        </w:rPr>
        <w:t>/PAHO staff members for</w:t>
      </w:r>
      <w:r w:rsidRPr="002207CF">
        <w:rPr>
          <w:rFonts w:cs="Arial"/>
          <w:b/>
          <w:sz w:val="22"/>
          <w:szCs w:val="22"/>
        </w:rPr>
        <w:t xml:space="preserve"> </w:t>
      </w:r>
      <w:r w:rsidRPr="002207CF">
        <w:rPr>
          <w:rFonts w:cs="Arial"/>
          <w:sz w:val="22"/>
          <w:szCs w:val="22"/>
        </w:rPr>
        <w:t>the integration of gender into their work. 2008</w:t>
      </w:r>
    </w:p>
    <w:p w:rsidR="009571FA" w:rsidRDefault="009571FA" w:rsidP="008856C2">
      <w:pPr>
        <w:ind w:left="540"/>
        <w:rPr>
          <w:rFonts w:ascii="Calibri" w:hAnsi="Calibri"/>
          <w:b/>
          <w:sz w:val="22"/>
          <w:szCs w:val="22"/>
        </w:rPr>
      </w:pPr>
    </w:p>
    <w:tbl>
      <w:tblPr>
        <w:tblW w:w="0" w:type="auto"/>
        <w:jc w:val="center"/>
        <w:tblInd w:w="-4755" w:type="dxa"/>
        <w:tblBorders>
          <w:top w:val="single" w:sz="4" w:space="0" w:color="auto"/>
          <w:left w:val="single" w:sz="4" w:space="0" w:color="auto"/>
          <w:bottom w:val="single" w:sz="4" w:space="0" w:color="auto"/>
          <w:right w:val="single" w:sz="4" w:space="0" w:color="auto"/>
          <w:insideH w:val="single" w:sz="4" w:space="0" w:color="BFBFBF"/>
          <w:insideV w:val="single" w:sz="4" w:space="0" w:color="BFBFBF"/>
        </w:tblBorders>
        <w:tblLook w:val="00BF"/>
      </w:tblPr>
      <w:tblGrid>
        <w:gridCol w:w="6070"/>
        <w:gridCol w:w="663"/>
        <w:gridCol w:w="607"/>
        <w:gridCol w:w="672"/>
        <w:gridCol w:w="734"/>
      </w:tblGrid>
      <w:tr w:rsidR="009571FA" w:rsidTr="00810A14">
        <w:trPr>
          <w:trHeight w:val="312"/>
          <w:jc w:val="center"/>
        </w:trPr>
        <w:tc>
          <w:tcPr>
            <w:tcW w:w="6070" w:type="dxa"/>
            <w:vMerge w:val="restart"/>
            <w:tcBorders>
              <w:top w:val="single" w:sz="4" w:space="0" w:color="auto"/>
              <w:bottom w:val="single" w:sz="4" w:space="0" w:color="auto"/>
              <w:right w:val="single" w:sz="4" w:space="0" w:color="auto"/>
            </w:tcBorders>
            <w:shd w:val="clear" w:color="auto" w:fill="C6D9F1"/>
            <w:tcMar>
              <w:top w:w="0" w:type="dxa"/>
              <w:left w:w="28" w:type="dxa"/>
              <w:bottom w:w="0" w:type="dxa"/>
              <w:right w:w="28" w:type="dxa"/>
            </w:tcMar>
            <w:vAlign w:val="center"/>
          </w:tcPr>
          <w:p w:rsidR="009571FA" w:rsidRPr="00E84EFE" w:rsidRDefault="009571FA">
            <w:pPr>
              <w:spacing w:line="276" w:lineRule="auto"/>
              <w:rPr>
                <w:rFonts w:ascii="Calibri" w:hAnsi="Calibri"/>
                <w:b/>
                <w:sz w:val="22"/>
              </w:rPr>
            </w:pPr>
            <w:r>
              <w:rPr>
                <w:rFonts w:ascii="Calibri" w:hAnsi="Calibri"/>
                <w:b/>
                <w:sz w:val="22"/>
                <w:szCs w:val="22"/>
              </w:rPr>
              <w:t xml:space="preserve"> </w:t>
            </w:r>
            <w:r w:rsidRPr="00E84EFE">
              <w:rPr>
                <w:rFonts w:ascii="Calibri" w:hAnsi="Calibri"/>
                <w:b/>
                <w:sz w:val="22"/>
                <w:szCs w:val="22"/>
              </w:rPr>
              <w:t xml:space="preserve">   </w:t>
            </w:r>
            <w:r>
              <w:rPr>
                <w:rFonts w:ascii="Calibri" w:hAnsi="Calibri"/>
                <w:b/>
                <w:sz w:val="22"/>
                <w:szCs w:val="22"/>
              </w:rPr>
              <w:t xml:space="preserve">    </w:t>
            </w:r>
            <w:r w:rsidRPr="00E84EFE">
              <w:rPr>
                <w:rFonts w:ascii="Calibri" w:hAnsi="Calibri"/>
                <w:b/>
                <w:sz w:val="22"/>
                <w:szCs w:val="22"/>
              </w:rPr>
              <w:t>Types of Needed Institutional Support Identified by Staff</w:t>
            </w:r>
          </w:p>
        </w:tc>
        <w:tc>
          <w:tcPr>
            <w:tcW w:w="1270" w:type="dxa"/>
            <w:gridSpan w:val="2"/>
            <w:tcBorders>
              <w:top w:val="single" w:sz="4" w:space="0" w:color="auto"/>
              <w:left w:val="single" w:sz="4" w:space="0" w:color="auto"/>
              <w:right w:val="single" w:sz="4" w:space="0" w:color="auto"/>
            </w:tcBorders>
            <w:shd w:val="clear" w:color="auto" w:fill="C6D9F1"/>
            <w:vAlign w:val="center"/>
          </w:tcPr>
          <w:p w:rsidR="009571FA" w:rsidRPr="00E84EFE" w:rsidRDefault="009571FA">
            <w:pPr>
              <w:spacing w:line="276" w:lineRule="auto"/>
              <w:jc w:val="center"/>
              <w:rPr>
                <w:rFonts w:ascii="Calibri" w:hAnsi="Calibri"/>
                <w:sz w:val="22"/>
              </w:rPr>
            </w:pPr>
            <w:r w:rsidRPr="00E84EFE">
              <w:rPr>
                <w:rFonts w:ascii="Calibri" w:hAnsi="Calibri"/>
                <w:sz w:val="22"/>
                <w:szCs w:val="22"/>
              </w:rPr>
              <w:t>All WHO</w:t>
            </w:r>
          </w:p>
        </w:tc>
        <w:tc>
          <w:tcPr>
            <w:tcW w:w="1406" w:type="dxa"/>
            <w:gridSpan w:val="2"/>
            <w:tcBorders>
              <w:top w:val="single" w:sz="4" w:space="0" w:color="auto"/>
              <w:left w:val="single" w:sz="4" w:space="0" w:color="auto"/>
            </w:tcBorders>
            <w:shd w:val="clear" w:color="auto" w:fill="C6D9F1"/>
            <w:vAlign w:val="center"/>
          </w:tcPr>
          <w:p w:rsidR="009571FA" w:rsidRPr="00E84EFE" w:rsidRDefault="009571FA">
            <w:pPr>
              <w:spacing w:line="276" w:lineRule="auto"/>
              <w:jc w:val="center"/>
              <w:rPr>
                <w:rFonts w:ascii="Calibri" w:hAnsi="Calibri"/>
                <w:sz w:val="22"/>
              </w:rPr>
            </w:pPr>
            <w:r w:rsidRPr="00E84EFE">
              <w:rPr>
                <w:rFonts w:ascii="Calibri" w:hAnsi="Calibri"/>
                <w:sz w:val="22"/>
                <w:szCs w:val="22"/>
              </w:rPr>
              <w:t>AMRO/PAHO</w:t>
            </w:r>
          </w:p>
        </w:tc>
      </w:tr>
      <w:tr w:rsidR="009571FA" w:rsidTr="00810A14">
        <w:trPr>
          <w:trHeight w:val="312"/>
          <w:jc w:val="center"/>
        </w:trPr>
        <w:tc>
          <w:tcPr>
            <w:tcW w:w="0" w:type="auto"/>
            <w:vMerge/>
            <w:tcBorders>
              <w:top w:val="single" w:sz="4" w:space="0" w:color="auto"/>
              <w:bottom w:val="single" w:sz="4" w:space="0" w:color="auto"/>
              <w:right w:val="single" w:sz="4" w:space="0" w:color="auto"/>
            </w:tcBorders>
            <w:vAlign w:val="center"/>
          </w:tcPr>
          <w:p w:rsidR="009571FA" w:rsidRPr="00E84EFE" w:rsidRDefault="009571FA">
            <w:pPr>
              <w:rPr>
                <w:rFonts w:ascii="Calibri" w:hAnsi="Calibri"/>
                <w:b/>
                <w:sz w:val="22"/>
              </w:rPr>
            </w:pPr>
          </w:p>
        </w:tc>
        <w:tc>
          <w:tcPr>
            <w:tcW w:w="663" w:type="dxa"/>
            <w:tcBorders>
              <w:left w:val="single" w:sz="4" w:space="0" w:color="auto"/>
              <w:bottom w:val="single" w:sz="4" w:space="0" w:color="auto"/>
            </w:tcBorders>
            <w:shd w:val="clear" w:color="auto" w:fill="C6D9F1"/>
            <w:vAlign w:val="center"/>
          </w:tcPr>
          <w:p w:rsidR="009571FA" w:rsidRPr="00E84EFE" w:rsidRDefault="009571FA">
            <w:pPr>
              <w:spacing w:line="276" w:lineRule="auto"/>
              <w:jc w:val="center"/>
              <w:rPr>
                <w:rFonts w:ascii="Calibri" w:hAnsi="Calibri"/>
                <w:sz w:val="22"/>
              </w:rPr>
            </w:pPr>
            <w:r w:rsidRPr="00E84EFE">
              <w:rPr>
                <w:rFonts w:ascii="Calibri" w:hAnsi="Calibri"/>
                <w:sz w:val="22"/>
                <w:szCs w:val="22"/>
              </w:rPr>
              <w:t>n</w:t>
            </w:r>
          </w:p>
        </w:tc>
        <w:tc>
          <w:tcPr>
            <w:tcW w:w="607" w:type="dxa"/>
            <w:tcBorders>
              <w:bottom w:val="single" w:sz="4" w:space="0" w:color="auto"/>
              <w:right w:val="single" w:sz="4" w:space="0" w:color="auto"/>
            </w:tcBorders>
            <w:shd w:val="clear" w:color="auto" w:fill="C6D9F1"/>
            <w:vAlign w:val="center"/>
          </w:tcPr>
          <w:p w:rsidR="009571FA" w:rsidRPr="00E84EFE" w:rsidRDefault="009571FA">
            <w:pPr>
              <w:spacing w:line="276" w:lineRule="auto"/>
              <w:jc w:val="center"/>
              <w:rPr>
                <w:rFonts w:ascii="Calibri" w:hAnsi="Calibri"/>
                <w:sz w:val="22"/>
              </w:rPr>
            </w:pPr>
            <w:r w:rsidRPr="00E84EFE">
              <w:rPr>
                <w:rFonts w:ascii="Calibri" w:hAnsi="Calibri"/>
                <w:sz w:val="22"/>
                <w:szCs w:val="22"/>
              </w:rPr>
              <w:t>%</w:t>
            </w:r>
          </w:p>
        </w:tc>
        <w:tc>
          <w:tcPr>
            <w:tcW w:w="672" w:type="dxa"/>
            <w:tcBorders>
              <w:left w:val="single" w:sz="4" w:space="0" w:color="auto"/>
              <w:bottom w:val="single" w:sz="4" w:space="0" w:color="auto"/>
            </w:tcBorders>
            <w:shd w:val="clear" w:color="auto" w:fill="C6D9F1"/>
            <w:vAlign w:val="center"/>
          </w:tcPr>
          <w:p w:rsidR="009571FA" w:rsidRPr="00E84EFE" w:rsidRDefault="009571FA">
            <w:pPr>
              <w:spacing w:line="276" w:lineRule="auto"/>
              <w:jc w:val="center"/>
              <w:rPr>
                <w:rFonts w:ascii="Calibri" w:hAnsi="Calibri"/>
                <w:sz w:val="22"/>
              </w:rPr>
            </w:pPr>
            <w:r w:rsidRPr="00E84EFE">
              <w:rPr>
                <w:rFonts w:ascii="Calibri" w:hAnsi="Calibri"/>
                <w:sz w:val="22"/>
                <w:szCs w:val="22"/>
              </w:rPr>
              <w:t>n</w:t>
            </w:r>
          </w:p>
        </w:tc>
        <w:tc>
          <w:tcPr>
            <w:tcW w:w="734" w:type="dxa"/>
            <w:tcBorders>
              <w:bottom w:val="single" w:sz="4" w:space="0" w:color="auto"/>
            </w:tcBorders>
            <w:shd w:val="clear" w:color="auto" w:fill="C6D9F1"/>
            <w:vAlign w:val="center"/>
          </w:tcPr>
          <w:p w:rsidR="009571FA" w:rsidRPr="00E84EFE" w:rsidRDefault="009571FA">
            <w:pPr>
              <w:spacing w:line="276" w:lineRule="auto"/>
              <w:jc w:val="center"/>
              <w:rPr>
                <w:rFonts w:ascii="Calibri" w:hAnsi="Calibri"/>
                <w:sz w:val="22"/>
              </w:rPr>
            </w:pPr>
            <w:r w:rsidRPr="00E84EFE">
              <w:rPr>
                <w:rFonts w:ascii="Calibri" w:hAnsi="Calibri"/>
                <w:sz w:val="22"/>
                <w:szCs w:val="22"/>
              </w:rPr>
              <w:t>%</w:t>
            </w:r>
          </w:p>
        </w:tc>
      </w:tr>
      <w:tr w:rsidR="009571FA" w:rsidTr="00810A14">
        <w:trPr>
          <w:trHeight w:val="432"/>
          <w:jc w:val="center"/>
        </w:trPr>
        <w:tc>
          <w:tcPr>
            <w:tcW w:w="6070" w:type="dxa"/>
            <w:tcBorders>
              <w:top w:val="single" w:sz="4" w:space="0" w:color="auto"/>
              <w:right w:val="single" w:sz="4" w:space="0" w:color="auto"/>
            </w:tcBorders>
            <w:shd w:val="clear" w:color="auto" w:fill="EEECE1"/>
            <w:vAlign w:val="center"/>
          </w:tcPr>
          <w:p w:rsidR="009571FA" w:rsidRPr="00E84EFE" w:rsidRDefault="009571FA">
            <w:pPr>
              <w:spacing w:line="276" w:lineRule="auto"/>
              <w:rPr>
                <w:rFonts w:ascii="Calibri" w:hAnsi="Calibri"/>
                <w:sz w:val="22"/>
              </w:rPr>
            </w:pPr>
            <w:r>
              <w:rPr>
                <w:rFonts w:ascii="Calibri" w:hAnsi="Calibri"/>
                <w:sz w:val="22"/>
                <w:szCs w:val="22"/>
              </w:rPr>
              <w:t>Opportunities t</w:t>
            </w:r>
            <w:r w:rsidRPr="00E84EFE">
              <w:rPr>
                <w:rFonts w:ascii="Calibri" w:hAnsi="Calibri"/>
                <w:sz w:val="22"/>
                <w:szCs w:val="22"/>
              </w:rPr>
              <w:t>o learn or further develop skills in gender</w:t>
            </w:r>
          </w:p>
        </w:tc>
        <w:tc>
          <w:tcPr>
            <w:tcW w:w="663" w:type="dxa"/>
            <w:tcBorders>
              <w:top w:val="single" w:sz="4" w:space="0" w:color="auto"/>
              <w:left w:val="single" w:sz="4" w:space="0" w:color="auto"/>
            </w:tcBorders>
            <w:shd w:val="clear" w:color="auto" w:fill="EEECE1"/>
            <w:vAlign w:val="center"/>
          </w:tcPr>
          <w:p w:rsidR="009571FA" w:rsidRPr="00E84EFE" w:rsidRDefault="009571FA">
            <w:pPr>
              <w:spacing w:line="276" w:lineRule="auto"/>
              <w:jc w:val="center"/>
              <w:rPr>
                <w:rFonts w:ascii="Calibri" w:hAnsi="Calibri"/>
                <w:sz w:val="22"/>
              </w:rPr>
            </w:pPr>
            <w:r w:rsidRPr="00E84EFE">
              <w:rPr>
                <w:rFonts w:ascii="Calibri" w:hAnsi="Calibri"/>
                <w:sz w:val="22"/>
                <w:szCs w:val="22"/>
              </w:rPr>
              <w:t>1116</w:t>
            </w:r>
          </w:p>
        </w:tc>
        <w:tc>
          <w:tcPr>
            <w:tcW w:w="607" w:type="dxa"/>
            <w:tcBorders>
              <w:top w:val="single" w:sz="4" w:space="0" w:color="auto"/>
              <w:right w:val="single" w:sz="4" w:space="0" w:color="auto"/>
            </w:tcBorders>
            <w:shd w:val="clear" w:color="auto" w:fill="EEECE1"/>
            <w:vAlign w:val="center"/>
          </w:tcPr>
          <w:p w:rsidR="009571FA" w:rsidRPr="00E84EFE" w:rsidRDefault="009571FA">
            <w:pPr>
              <w:spacing w:line="276" w:lineRule="auto"/>
              <w:jc w:val="center"/>
              <w:rPr>
                <w:rFonts w:ascii="Calibri" w:hAnsi="Calibri"/>
                <w:sz w:val="22"/>
              </w:rPr>
            </w:pPr>
            <w:r w:rsidRPr="00E84EFE">
              <w:rPr>
                <w:rFonts w:ascii="Calibri" w:hAnsi="Calibri"/>
                <w:sz w:val="22"/>
                <w:szCs w:val="22"/>
              </w:rPr>
              <w:t>51.7</w:t>
            </w:r>
          </w:p>
        </w:tc>
        <w:tc>
          <w:tcPr>
            <w:tcW w:w="672" w:type="dxa"/>
            <w:tcBorders>
              <w:top w:val="single" w:sz="4" w:space="0" w:color="auto"/>
              <w:left w:val="single" w:sz="4" w:space="0" w:color="auto"/>
            </w:tcBorders>
            <w:shd w:val="clear" w:color="auto" w:fill="EEECE1"/>
            <w:vAlign w:val="center"/>
          </w:tcPr>
          <w:p w:rsidR="009571FA" w:rsidRPr="00E84EFE" w:rsidRDefault="009571FA">
            <w:pPr>
              <w:spacing w:line="276" w:lineRule="auto"/>
              <w:jc w:val="center"/>
              <w:rPr>
                <w:rFonts w:ascii="Calibri" w:hAnsi="Calibri"/>
                <w:sz w:val="22"/>
              </w:rPr>
            </w:pPr>
            <w:r w:rsidRPr="00E84EFE">
              <w:rPr>
                <w:rFonts w:ascii="Calibri" w:hAnsi="Calibri"/>
                <w:sz w:val="22"/>
                <w:szCs w:val="22"/>
              </w:rPr>
              <w:t>191</w:t>
            </w:r>
          </w:p>
        </w:tc>
        <w:tc>
          <w:tcPr>
            <w:tcW w:w="734" w:type="dxa"/>
            <w:tcBorders>
              <w:top w:val="single" w:sz="4" w:space="0" w:color="auto"/>
            </w:tcBorders>
            <w:shd w:val="clear" w:color="auto" w:fill="EEECE1"/>
            <w:vAlign w:val="center"/>
          </w:tcPr>
          <w:p w:rsidR="009571FA" w:rsidRPr="00E84EFE" w:rsidRDefault="009571FA">
            <w:pPr>
              <w:spacing w:line="276" w:lineRule="auto"/>
              <w:jc w:val="center"/>
              <w:rPr>
                <w:rFonts w:ascii="Calibri" w:hAnsi="Calibri"/>
                <w:sz w:val="22"/>
              </w:rPr>
            </w:pPr>
            <w:r w:rsidRPr="00E84EFE">
              <w:rPr>
                <w:rFonts w:ascii="Calibri" w:hAnsi="Calibri"/>
                <w:sz w:val="22"/>
                <w:szCs w:val="22"/>
              </w:rPr>
              <w:t>49.0</w:t>
            </w:r>
          </w:p>
        </w:tc>
      </w:tr>
      <w:tr w:rsidR="009571FA" w:rsidTr="00810A14">
        <w:trPr>
          <w:trHeight w:val="432"/>
          <w:jc w:val="center"/>
        </w:trPr>
        <w:tc>
          <w:tcPr>
            <w:tcW w:w="6070" w:type="dxa"/>
            <w:tcBorders>
              <w:top w:val="single" w:sz="4" w:space="0" w:color="auto"/>
              <w:right w:val="single" w:sz="4" w:space="0" w:color="auto"/>
            </w:tcBorders>
            <w:shd w:val="clear" w:color="auto" w:fill="EEECE1"/>
            <w:vAlign w:val="center"/>
          </w:tcPr>
          <w:p w:rsidR="009571FA" w:rsidRPr="00E84EFE" w:rsidRDefault="009571FA" w:rsidP="00C05423">
            <w:pPr>
              <w:spacing w:line="276" w:lineRule="auto"/>
              <w:rPr>
                <w:rFonts w:ascii="Calibri" w:hAnsi="Calibri"/>
                <w:sz w:val="22"/>
              </w:rPr>
            </w:pPr>
            <w:r w:rsidRPr="00E84EFE">
              <w:rPr>
                <w:rFonts w:ascii="Calibri" w:hAnsi="Calibri"/>
                <w:sz w:val="22"/>
                <w:szCs w:val="22"/>
              </w:rPr>
              <w:t>Data/Evidence on gender in my area of work</w:t>
            </w:r>
          </w:p>
        </w:tc>
        <w:tc>
          <w:tcPr>
            <w:tcW w:w="663" w:type="dxa"/>
            <w:tcBorders>
              <w:top w:val="single" w:sz="4" w:space="0" w:color="auto"/>
              <w:left w:val="single" w:sz="4" w:space="0" w:color="auto"/>
            </w:tcBorders>
            <w:shd w:val="clear" w:color="auto" w:fill="EEECE1"/>
            <w:vAlign w:val="center"/>
          </w:tcPr>
          <w:p w:rsidR="009571FA" w:rsidRPr="00E84EFE" w:rsidRDefault="009571FA" w:rsidP="00C05423">
            <w:pPr>
              <w:spacing w:line="276" w:lineRule="auto"/>
              <w:jc w:val="center"/>
              <w:rPr>
                <w:rFonts w:ascii="Calibri" w:hAnsi="Calibri"/>
                <w:sz w:val="22"/>
              </w:rPr>
            </w:pPr>
            <w:r w:rsidRPr="00E84EFE">
              <w:rPr>
                <w:rFonts w:ascii="Calibri" w:hAnsi="Calibri"/>
                <w:sz w:val="22"/>
                <w:szCs w:val="22"/>
              </w:rPr>
              <w:t>801</w:t>
            </w:r>
          </w:p>
        </w:tc>
        <w:tc>
          <w:tcPr>
            <w:tcW w:w="607" w:type="dxa"/>
            <w:tcBorders>
              <w:top w:val="single" w:sz="4" w:space="0" w:color="auto"/>
              <w:right w:val="single" w:sz="4" w:space="0" w:color="auto"/>
            </w:tcBorders>
            <w:shd w:val="clear" w:color="auto" w:fill="EEECE1"/>
            <w:vAlign w:val="center"/>
          </w:tcPr>
          <w:p w:rsidR="009571FA" w:rsidRPr="00E84EFE" w:rsidRDefault="009571FA" w:rsidP="00C05423">
            <w:pPr>
              <w:spacing w:line="276" w:lineRule="auto"/>
              <w:jc w:val="center"/>
              <w:rPr>
                <w:rFonts w:ascii="Calibri" w:hAnsi="Calibri"/>
                <w:sz w:val="22"/>
              </w:rPr>
            </w:pPr>
            <w:r w:rsidRPr="00E84EFE">
              <w:rPr>
                <w:rFonts w:ascii="Calibri" w:hAnsi="Calibri"/>
                <w:sz w:val="22"/>
                <w:szCs w:val="22"/>
              </w:rPr>
              <w:t>37.1</w:t>
            </w:r>
          </w:p>
        </w:tc>
        <w:tc>
          <w:tcPr>
            <w:tcW w:w="672" w:type="dxa"/>
            <w:tcBorders>
              <w:top w:val="single" w:sz="4" w:space="0" w:color="auto"/>
              <w:left w:val="single" w:sz="4" w:space="0" w:color="auto"/>
            </w:tcBorders>
            <w:shd w:val="clear" w:color="auto" w:fill="EEECE1"/>
            <w:vAlign w:val="center"/>
          </w:tcPr>
          <w:p w:rsidR="009571FA" w:rsidRPr="00E84EFE" w:rsidRDefault="009571FA" w:rsidP="00C05423">
            <w:pPr>
              <w:spacing w:line="276" w:lineRule="auto"/>
              <w:jc w:val="center"/>
              <w:rPr>
                <w:rFonts w:ascii="Calibri" w:hAnsi="Calibri"/>
                <w:sz w:val="22"/>
              </w:rPr>
            </w:pPr>
            <w:r w:rsidRPr="00E84EFE">
              <w:rPr>
                <w:rFonts w:ascii="Calibri" w:hAnsi="Calibri"/>
                <w:sz w:val="22"/>
                <w:szCs w:val="22"/>
              </w:rPr>
              <w:t>163</w:t>
            </w:r>
          </w:p>
        </w:tc>
        <w:tc>
          <w:tcPr>
            <w:tcW w:w="734" w:type="dxa"/>
            <w:tcBorders>
              <w:top w:val="single" w:sz="4" w:space="0" w:color="auto"/>
            </w:tcBorders>
            <w:shd w:val="clear" w:color="auto" w:fill="EEECE1"/>
            <w:vAlign w:val="center"/>
          </w:tcPr>
          <w:p w:rsidR="009571FA" w:rsidRPr="00E84EFE" w:rsidRDefault="009571FA" w:rsidP="00C05423">
            <w:pPr>
              <w:spacing w:line="276" w:lineRule="auto"/>
              <w:jc w:val="center"/>
              <w:rPr>
                <w:rFonts w:ascii="Calibri" w:hAnsi="Calibri"/>
                <w:sz w:val="22"/>
              </w:rPr>
            </w:pPr>
            <w:r w:rsidRPr="00E84EFE">
              <w:rPr>
                <w:rFonts w:ascii="Calibri" w:hAnsi="Calibri"/>
                <w:sz w:val="22"/>
                <w:szCs w:val="22"/>
              </w:rPr>
              <w:t>41.8</w:t>
            </w:r>
          </w:p>
        </w:tc>
      </w:tr>
      <w:tr w:rsidR="009571FA" w:rsidTr="00810A14">
        <w:trPr>
          <w:trHeight w:val="432"/>
          <w:jc w:val="center"/>
        </w:trPr>
        <w:tc>
          <w:tcPr>
            <w:tcW w:w="6070" w:type="dxa"/>
            <w:tcBorders>
              <w:top w:val="single" w:sz="4" w:space="0" w:color="auto"/>
              <w:right w:val="single" w:sz="4" w:space="0" w:color="auto"/>
            </w:tcBorders>
            <w:shd w:val="clear" w:color="auto" w:fill="EEECE1"/>
            <w:vAlign w:val="center"/>
          </w:tcPr>
          <w:p w:rsidR="009571FA" w:rsidRPr="00E84EFE" w:rsidRDefault="009571FA" w:rsidP="00C05423">
            <w:pPr>
              <w:spacing w:line="276" w:lineRule="auto"/>
              <w:rPr>
                <w:rFonts w:ascii="Calibri" w:hAnsi="Calibri"/>
                <w:sz w:val="22"/>
              </w:rPr>
            </w:pPr>
            <w:r w:rsidRPr="00E84EFE">
              <w:rPr>
                <w:rFonts w:ascii="Calibri" w:hAnsi="Calibri"/>
                <w:sz w:val="22"/>
                <w:szCs w:val="22"/>
              </w:rPr>
              <w:t>Technical support from Gender Focal Point(s)/Unit(s)</w:t>
            </w:r>
          </w:p>
        </w:tc>
        <w:tc>
          <w:tcPr>
            <w:tcW w:w="663" w:type="dxa"/>
            <w:tcBorders>
              <w:top w:val="single" w:sz="4" w:space="0" w:color="auto"/>
              <w:left w:val="single" w:sz="4" w:space="0" w:color="auto"/>
            </w:tcBorders>
            <w:shd w:val="clear" w:color="auto" w:fill="EEECE1"/>
            <w:vAlign w:val="center"/>
          </w:tcPr>
          <w:p w:rsidR="009571FA" w:rsidRPr="00E84EFE" w:rsidRDefault="009571FA" w:rsidP="00C05423">
            <w:pPr>
              <w:spacing w:line="276" w:lineRule="auto"/>
              <w:jc w:val="center"/>
              <w:rPr>
                <w:rFonts w:ascii="Calibri" w:hAnsi="Calibri"/>
                <w:sz w:val="22"/>
              </w:rPr>
            </w:pPr>
            <w:r w:rsidRPr="00E84EFE">
              <w:rPr>
                <w:rFonts w:ascii="Calibri" w:hAnsi="Calibri"/>
                <w:sz w:val="22"/>
                <w:szCs w:val="22"/>
              </w:rPr>
              <w:t>756</w:t>
            </w:r>
          </w:p>
        </w:tc>
        <w:tc>
          <w:tcPr>
            <w:tcW w:w="607" w:type="dxa"/>
            <w:tcBorders>
              <w:top w:val="single" w:sz="4" w:space="0" w:color="auto"/>
              <w:right w:val="single" w:sz="4" w:space="0" w:color="auto"/>
            </w:tcBorders>
            <w:shd w:val="clear" w:color="auto" w:fill="EEECE1"/>
            <w:vAlign w:val="center"/>
          </w:tcPr>
          <w:p w:rsidR="009571FA" w:rsidRPr="00E84EFE" w:rsidRDefault="009571FA" w:rsidP="00C05423">
            <w:pPr>
              <w:spacing w:line="276" w:lineRule="auto"/>
              <w:jc w:val="center"/>
              <w:rPr>
                <w:rFonts w:ascii="Calibri" w:hAnsi="Calibri"/>
                <w:sz w:val="22"/>
              </w:rPr>
            </w:pPr>
            <w:r w:rsidRPr="00E84EFE">
              <w:rPr>
                <w:rFonts w:ascii="Calibri" w:hAnsi="Calibri"/>
                <w:sz w:val="22"/>
                <w:szCs w:val="22"/>
              </w:rPr>
              <w:t>35.0</w:t>
            </w:r>
          </w:p>
        </w:tc>
        <w:tc>
          <w:tcPr>
            <w:tcW w:w="672" w:type="dxa"/>
            <w:tcBorders>
              <w:top w:val="single" w:sz="4" w:space="0" w:color="auto"/>
              <w:left w:val="single" w:sz="4" w:space="0" w:color="auto"/>
            </w:tcBorders>
            <w:shd w:val="clear" w:color="auto" w:fill="EEECE1"/>
            <w:vAlign w:val="center"/>
          </w:tcPr>
          <w:p w:rsidR="009571FA" w:rsidRPr="00E84EFE" w:rsidRDefault="009571FA" w:rsidP="00C05423">
            <w:pPr>
              <w:spacing w:line="276" w:lineRule="auto"/>
              <w:jc w:val="center"/>
              <w:rPr>
                <w:rFonts w:ascii="Calibri" w:hAnsi="Calibri"/>
                <w:sz w:val="22"/>
              </w:rPr>
            </w:pPr>
            <w:r w:rsidRPr="00E84EFE">
              <w:rPr>
                <w:rFonts w:ascii="Calibri" w:hAnsi="Calibri"/>
                <w:sz w:val="22"/>
                <w:szCs w:val="22"/>
              </w:rPr>
              <w:t>137</w:t>
            </w:r>
          </w:p>
        </w:tc>
        <w:tc>
          <w:tcPr>
            <w:tcW w:w="734" w:type="dxa"/>
            <w:tcBorders>
              <w:top w:val="single" w:sz="4" w:space="0" w:color="auto"/>
            </w:tcBorders>
            <w:shd w:val="clear" w:color="auto" w:fill="EEECE1"/>
            <w:vAlign w:val="center"/>
          </w:tcPr>
          <w:p w:rsidR="009571FA" w:rsidRPr="00E84EFE" w:rsidRDefault="009571FA" w:rsidP="00C05423">
            <w:pPr>
              <w:spacing w:line="276" w:lineRule="auto"/>
              <w:jc w:val="center"/>
              <w:rPr>
                <w:rFonts w:ascii="Calibri" w:hAnsi="Calibri"/>
                <w:sz w:val="22"/>
              </w:rPr>
            </w:pPr>
            <w:r w:rsidRPr="00E84EFE">
              <w:rPr>
                <w:rFonts w:ascii="Calibri" w:hAnsi="Calibri"/>
                <w:sz w:val="22"/>
                <w:szCs w:val="22"/>
              </w:rPr>
              <w:t>35.1</w:t>
            </w:r>
          </w:p>
        </w:tc>
      </w:tr>
      <w:tr w:rsidR="009571FA" w:rsidTr="00B63194">
        <w:trPr>
          <w:trHeight w:val="432"/>
          <w:jc w:val="center"/>
        </w:trPr>
        <w:tc>
          <w:tcPr>
            <w:tcW w:w="6070" w:type="dxa"/>
            <w:tcBorders>
              <w:top w:val="single" w:sz="4" w:space="0" w:color="auto"/>
              <w:right w:val="single" w:sz="4" w:space="0" w:color="auto"/>
            </w:tcBorders>
            <w:shd w:val="clear" w:color="auto" w:fill="F2F2F2"/>
            <w:vAlign w:val="center"/>
          </w:tcPr>
          <w:p w:rsidR="009571FA" w:rsidRPr="00E84EFE" w:rsidRDefault="009571FA" w:rsidP="00C05423">
            <w:pPr>
              <w:spacing w:line="276" w:lineRule="auto"/>
              <w:rPr>
                <w:rFonts w:ascii="Calibri" w:hAnsi="Calibri"/>
                <w:sz w:val="22"/>
              </w:rPr>
            </w:pPr>
            <w:r w:rsidRPr="00E84EFE">
              <w:rPr>
                <w:rFonts w:ascii="Calibri" w:hAnsi="Calibri"/>
                <w:sz w:val="22"/>
                <w:szCs w:val="22"/>
              </w:rPr>
              <w:t>Resource material</w:t>
            </w:r>
          </w:p>
        </w:tc>
        <w:tc>
          <w:tcPr>
            <w:tcW w:w="663" w:type="dxa"/>
            <w:tcBorders>
              <w:top w:val="single" w:sz="4" w:space="0" w:color="auto"/>
              <w:left w:val="single" w:sz="4" w:space="0" w:color="auto"/>
            </w:tcBorders>
            <w:shd w:val="clear" w:color="auto" w:fill="F2F2F2"/>
            <w:vAlign w:val="center"/>
          </w:tcPr>
          <w:p w:rsidR="009571FA" w:rsidRPr="00E84EFE" w:rsidRDefault="009571FA" w:rsidP="00C05423">
            <w:pPr>
              <w:spacing w:line="276" w:lineRule="auto"/>
              <w:jc w:val="center"/>
              <w:rPr>
                <w:rFonts w:ascii="Calibri" w:hAnsi="Calibri"/>
                <w:sz w:val="22"/>
              </w:rPr>
            </w:pPr>
            <w:r w:rsidRPr="00E84EFE">
              <w:rPr>
                <w:rFonts w:ascii="Calibri" w:hAnsi="Calibri"/>
                <w:sz w:val="22"/>
                <w:szCs w:val="22"/>
              </w:rPr>
              <w:t>759</w:t>
            </w:r>
          </w:p>
        </w:tc>
        <w:tc>
          <w:tcPr>
            <w:tcW w:w="607" w:type="dxa"/>
            <w:tcBorders>
              <w:top w:val="single" w:sz="4" w:space="0" w:color="auto"/>
              <w:right w:val="single" w:sz="4" w:space="0" w:color="auto"/>
            </w:tcBorders>
            <w:shd w:val="clear" w:color="auto" w:fill="F2F2F2"/>
            <w:vAlign w:val="center"/>
          </w:tcPr>
          <w:p w:rsidR="009571FA" w:rsidRPr="00E84EFE" w:rsidRDefault="009571FA" w:rsidP="00C05423">
            <w:pPr>
              <w:spacing w:line="276" w:lineRule="auto"/>
              <w:jc w:val="center"/>
              <w:rPr>
                <w:rFonts w:ascii="Calibri" w:hAnsi="Calibri"/>
                <w:sz w:val="22"/>
              </w:rPr>
            </w:pPr>
            <w:r w:rsidRPr="00E84EFE">
              <w:rPr>
                <w:rFonts w:ascii="Calibri" w:hAnsi="Calibri"/>
                <w:sz w:val="22"/>
                <w:szCs w:val="22"/>
              </w:rPr>
              <w:t>35.1</w:t>
            </w:r>
          </w:p>
        </w:tc>
        <w:tc>
          <w:tcPr>
            <w:tcW w:w="672" w:type="dxa"/>
            <w:tcBorders>
              <w:top w:val="single" w:sz="4" w:space="0" w:color="auto"/>
              <w:left w:val="single" w:sz="4" w:space="0" w:color="auto"/>
            </w:tcBorders>
            <w:shd w:val="clear" w:color="auto" w:fill="F2F2F2"/>
            <w:vAlign w:val="center"/>
          </w:tcPr>
          <w:p w:rsidR="009571FA" w:rsidRPr="00E84EFE" w:rsidRDefault="009571FA" w:rsidP="00C05423">
            <w:pPr>
              <w:spacing w:line="276" w:lineRule="auto"/>
              <w:jc w:val="center"/>
              <w:rPr>
                <w:rFonts w:ascii="Calibri" w:hAnsi="Calibri"/>
                <w:sz w:val="22"/>
              </w:rPr>
            </w:pPr>
            <w:r w:rsidRPr="00E84EFE">
              <w:rPr>
                <w:rFonts w:ascii="Calibri" w:hAnsi="Calibri"/>
                <w:sz w:val="22"/>
                <w:szCs w:val="22"/>
              </w:rPr>
              <w:t>126</w:t>
            </w:r>
          </w:p>
        </w:tc>
        <w:tc>
          <w:tcPr>
            <w:tcW w:w="734" w:type="dxa"/>
            <w:tcBorders>
              <w:top w:val="single" w:sz="4" w:space="0" w:color="auto"/>
            </w:tcBorders>
            <w:shd w:val="clear" w:color="auto" w:fill="F2F2F2"/>
            <w:vAlign w:val="center"/>
          </w:tcPr>
          <w:p w:rsidR="009571FA" w:rsidRPr="00E84EFE" w:rsidRDefault="009571FA" w:rsidP="00C05423">
            <w:pPr>
              <w:spacing w:line="276" w:lineRule="auto"/>
              <w:jc w:val="center"/>
              <w:rPr>
                <w:rFonts w:ascii="Calibri" w:hAnsi="Calibri"/>
                <w:sz w:val="22"/>
              </w:rPr>
            </w:pPr>
            <w:r w:rsidRPr="00E84EFE">
              <w:rPr>
                <w:rFonts w:ascii="Calibri" w:hAnsi="Calibri"/>
                <w:sz w:val="22"/>
                <w:szCs w:val="22"/>
              </w:rPr>
              <w:t>32.3</w:t>
            </w:r>
          </w:p>
        </w:tc>
      </w:tr>
      <w:tr w:rsidR="009571FA" w:rsidRPr="004538C3" w:rsidTr="00810A14">
        <w:trPr>
          <w:trHeight w:val="432"/>
          <w:jc w:val="center"/>
        </w:trPr>
        <w:tc>
          <w:tcPr>
            <w:tcW w:w="6070" w:type="dxa"/>
            <w:tcBorders>
              <w:right w:val="single" w:sz="4" w:space="0" w:color="auto"/>
            </w:tcBorders>
            <w:vAlign w:val="center"/>
          </w:tcPr>
          <w:p w:rsidR="009571FA" w:rsidRPr="004538C3" w:rsidRDefault="009571FA" w:rsidP="00C05423">
            <w:pPr>
              <w:spacing w:line="276" w:lineRule="auto"/>
              <w:rPr>
                <w:rFonts w:ascii="Calibri" w:hAnsi="Calibri"/>
              </w:rPr>
            </w:pPr>
            <w:r w:rsidRPr="004538C3">
              <w:rPr>
                <w:rFonts w:ascii="Calibri" w:hAnsi="Calibri"/>
                <w:szCs w:val="22"/>
              </w:rPr>
              <w:t>Funds to be allocated for work on addressing gender</w:t>
            </w:r>
          </w:p>
        </w:tc>
        <w:tc>
          <w:tcPr>
            <w:tcW w:w="663" w:type="dxa"/>
            <w:tcBorders>
              <w:left w:val="single" w:sz="4" w:space="0" w:color="auto"/>
            </w:tcBorders>
            <w:vAlign w:val="center"/>
          </w:tcPr>
          <w:p w:rsidR="009571FA" w:rsidRPr="004538C3" w:rsidRDefault="009571FA" w:rsidP="00C05423">
            <w:pPr>
              <w:spacing w:line="276" w:lineRule="auto"/>
              <w:jc w:val="center"/>
              <w:rPr>
                <w:rFonts w:ascii="Calibri" w:hAnsi="Calibri"/>
              </w:rPr>
            </w:pPr>
            <w:r w:rsidRPr="004538C3">
              <w:rPr>
                <w:rFonts w:ascii="Calibri" w:hAnsi="Calibri"/>
                <w:szCs w:val="22"/>
              </w:rPr>
              <w:t>565</w:t>
            </w:r>
          </w:p>
        </w:tc>
        <w:tc>
          <w:tcPr>
            <w:tcW w:w="607" w:type="dxa"/>
            <w:tcBorders>
              <w:right w:val="single" w:sz="4" w:space="0" w:color="auto"/>
            </w:tcBorders>
            <w:vAlign w:val="center"/>
          </w:tcPr>
          <w:p w:rsidR="009571FA" w:rsidRPr="004538C3" w:rsidRDefault="009571FA" w:rsidP="00C05423">
            <w:pPr>
              <w:spacing w:line="276" w:lineRule="auto"/>
              <w:jc w:val="center"/>
              <w:rPr>
                <w:rFonts w:ascii="Calibri" w:hAnsi="Calibri"/>
              </w:rPr>
            </w:pPr>
            <w:r w:rsidRPr="004538C3">
              <w:rPr>
                <w:rFonts w:ascii="Calibri" w:hAnsi="Calibri"/>
                <w:szCs w:val="22"/>
              </w:rPr>
              <w:t>26.2</w:t>
            </w:r>
          </w:p>
        </w:tc>
        <w:tc>
          <w:tcPr>
            <w:tcW w:w="672" w:type="dxa"/>
            <w:tcBorders>
              <w:left w:val="single" w:sz="4" w:space="0" w:color="auto"/>
            </w:tcBorders>
            <w:vAlign w:val="center"/>
          </w:tcPr>
          <w:p w:rsidR="009571FA" w:rsidRPr="004538C3" w:rsidRDefault="009571FA" w:rsidP="00C05423">
            <w:pPr>
              <w:spacing w:line="276" w:lineRule="auto"/>
              <w:jc w:val="center"/>
              <w:rPr>
                <w:rFonts w:ascii="Calibri" w:hAnsi="Calibri"/>
              </w:rPr>
            </w:pPr>
            <w:r w:rsidRPr="004538C3">
              <w:rPr>
                <w:rFonts w:ascii="Calibri" w:hAnsi="Calibri"/>
                <w:szCs w:val="22"/>
              </w:rPr>
              <w:t>110</w:t>
            </w:r>
          </w:p>
        </w:tc>
        <w:tc>
          <w:tcPr>
            <w:tcW w:w="734" w:type="dxa"/>
            <w:vAlign w:val="center"/>
          </w:tcPr>
          <w:p w:rsidR="009571FA" w:rsidRPr="004538C3" w:rsidRDefault="009571FA" w:rsidP="00C05423">
            <w:pPr>
              <w:spacing w:line="276" w:lineRule="auto"/>
              <w:jc w:val="center"/>
              <w:rPr>
                <w:rFonts w:ascii="Calibri" w:hAnsi="Calibri"/>
              </w:rPr>
            </w:pPr>
            <w:r w:rsidRPr="004538C3">
              <w:rPr>
                <w:rFonts w:ascii="Calibri" w:hAnsi="Calibri"/>
                <w:szCs w:val="22"/>
              </w:rPr>
              <w:t>28.2</w:t>
            </w:r>
          </w:p>
        </w:tc>
      </w:tr>
      <w:tr w:rsidR="009571FA" w:rsidRPr="004538C3" w:rsidTr="00810A14">
        <w:trPr>
          <w:trHeight w:val="432"/>
          <w:jc w:val="center"/>
        </w:trPr>
        <w:tc>
          <w:tcPr>
            <w:tcW w:w="6070" w:type="dxa"/>
            <w:tcBorders>
              <w:right w:val="single" w:sz="4" w:space="0" w:color="auto"/>
            </w:tcBorders>
            <w:vAlign w:val="center"/>
          </w:tcPr>
          <w:p w:rsidR="009571FA" w:rsidRPr="004538C3" w:rsidRDefault="009571FA">
            <w:pPr>
              <w:spacing w:line="276" w:lineRule="auto"/>
              <w:rPr>
                <w:rFonts w:ascii="Calibri" w:hAnsi="Calibri"/>
              </w:rPr>
            </w:pPr>
            <w:r w:rsidRPr="004538C3">
              <w:rPr>
                <w:rFonts w:ascii="Calibri" w:hAnsi="Calibri"/>
                <w:szCs w:val="22"/>
              </w:rPr>
              <w:t>Regular discussions with my supervisor on addressing gender in my work</w:t>
            </w:r>
          </w:p>
        </w:tc>
        <w:tc>
          <w:tcPr>
            <w:tcW w:w="663" w:type="dxa"/>
            <w:tcBorders>
              <w:left w:val="single" w:sz="4" w:space="0" w:color="auto"/>
            </w:tcBorders>
            <w:vAlign w:val="center"/>
          </w:tcPr>
          <w:p w:rsidR="009571FA" w:rsidRPr="004538C3" w:rsidRDefault="009571FA">
            <w:pPr>
              <w:spacing w:line="276" w:lineRule="auto"/>
              <w:jc w:val="center"/>
              <w:rPr>
                <w:rFonts w:ascii="Calibri" w:hAnsi="Calibri"/>
              </w:rPr>
            </w:pPr>
            <w:r w:rsidRPr="004538C3">
              <w:rPr>
                <w:rFonts w:ascii="Calibri" w:hAnsi="Calibri"/>
                <w:szCs w:val="22"/>
              </w:rPr>
              <w:t>420</w:t>
            </w:r>
          </w:p>
        </w:tc>
        <w:tc>
          <w:tcPr>
            <w:tcW w:w="607" w:type="dxa"/>
            <w:tcBorders>
              <w:right w:val="single" w:sz="4" w:space="0" w:color="auto"/>
            </w:tcBorders>
            <w:vAlign w:val="center"/>
          </w:tcPr>
          <w:p w:rsidR="009571FA" w:rsidRPr="004538C3" w:rsidRDefault="009571FA">
            <w:pPr>
              <w:spacing w:line="276" w:lineRule="auto"/>
              <w:jc w:val="center"/>
              <w:rPr>
                <w:rFonts w:ascii="Calibri" w:hAnsi="Calibri"/>
              </w:rPr>
            </w:pPr>
            <w:r w:rsidRPr="004538C3">
              <w:rPr>
                <w:rFonts w:ascii="Calibri" w:hAnsi="Calibri"/>
                <w:szCs w:val="22"/>
              </w:rPr>
              <w:t>19.4</w:t>
            </w:r>
          </w:p>
        </w:tc>
        <w:tc>
          <w:tcPr>
            <w:tcW w:w="672" w:type="dxa"/>
            <w:tcBorders>
              <w:left w:val="single" w:sz="4" w:space="0" w:color="auto"/>
            </w:tcBorders>
            <w:vAlign w:val="center"/>
          </w:tcPr>
          <w:p w:rsidR="009571FA" w:rsidRPr="004538C3" w:rsidRDefault="009571FA">
            <w:pPr>
              <w:spacing w:line="276" w:lineRule="auto"/>
              <w:jc w:val="center"/>
              <w:rPr>
                <w:rFonts w:ascii="Calibri" w:hAnsi="Calibri"/>
              </w:rPr>
            </w:pPr>
            <w:r w:rsidRPr="004538C3">
              <w:rPr>
                <w:rFonts w:ascii="Calibri" w:hAnsi="Calibri"/>
                <w:szCs w:val="22"/>
              </w:rPr>
              <w:t>82</w:t>
            </w:r>
          </w:p>
        </w:tc>
        <w:tc>
          <w:tcPr>
            <w:tcW w:w="734" w:type="dxa"/>
            <w:vAlign w:val="center"/>
          </w:tcPr>
          <w:p w:rsidR="009571FA" w:rsidRPr="004538C3" w:rsidRDefault="009571FA">
            <w:pPr>
              <w:spacing w:line="276" w:lineRule="auto"/>
              <w:jc w:val="center"/>
              <w:rPr>
                <w:rFonts w:ascii="Calibri" w:hAnsi="Calibri"/>
              </w:rPr>
            </w:pPr>
            <w:r w:rsidRPr="004538C3">
              <w:rPr>
                <w:rFonts w:ascii="Calibri" w:hAnsi="Calibri"/>
                <w:szCs w:val="22"/>
              </w:rPr>
              <w:t>21.0</w:t>
            </w:r>
          </w:p>
        </w:tc>
      </w:tr>
      <w:tr w:rsidR="009571FA" w:rsidRPr="004538C3" w:rsidTr="00810A14">
        <w:trPr>
          <w:trHeight w:val="432"/>
          <w:jc w:val="center"/>
        </w:trPr>
        <w:tc>
          <w:tcPr>
            <w:tcW w:w="6070" w:type="dxa"/>
            <w:tcBorders>
              <w:right w:val="single" w:sz="4" w:space="0" w:color="auto"/>
            </w:tcBorders>
            <w:vAlign w:val="center"/>
          </w:tcPr>
          <w:p w:rsidR="009571FA" w:rsidRPr="004538C3" w:rsidRDefault="009571FA">
            <w:pPr>
              <w:spacing w:line="276" w:lineRule="auto"/>
              <w:rPr>
                <w:rFonts w:ascii="Calibri" w:hAnsi="Calibri"/>
              </w:rPr>
            </w:pPr>
            <w:r w:rsidRPr="004538C3">
              <w:rPr>
                <w:rFonts w:ascii="Calibri" w:hAnsi="Calibri"/>
                <w:szCs w:val="22"/>
              </w:rPr>
              <w:t>Adjustments in my other responsibilities so that I can give more time to work on gender</w:t>
            </w:r>
          </w:p>
        </w:tc>
        <w:tc>
          <w:tcPr>
            <w:tcW w:w="663" w:type="dxa"/>
            <w:tcBorders>
              <w:left w:val="single" w:sz="4" w:space="0" w:color="auto"/>
            </w:tcBorders>
            <w:vAlign w:val="center"/>
          </w:tcPr>
          <w:p w:rsidR="009571FA" w:rsidRPr="004538C3" w:rsidRDefault="009571FA">
            <w:pPr>
              <w:spacing w:line="276" w:lineRule="auto"/>
              <w:jc w:val="center"/>
              <w:rPr>
                <w:rFonts w:ascii="Calibri" w:hAnsi="Calibri"/>
              </w:rPr>
            </w:pPr>
            <w:r w:rsidRPr="004538C3">
              <w:rPr>
                <w:rFonts w:ascii="Calibri" w:hAnsi="Calibri"/>
                <w:szCs w:val="22"/>
              </w:rPr>
              <w:t>325</w:t>
            </w:r>
          </w:p>
        </w:tc>
        <w:tc>
          <w:tcPr>
            <w:tcW w:w="607" w:type="dxa"/>
            <w:tcBorders>
              <w:right w:val="single" w:sz="4" w:space="0" w:color="auto"/>
            </w:tcBorders>
            <w:vAlign w:val="center"/>
          </w:tcPr>
          <w:p w:rsidR="009571FA" w:rsidRPr="004538C3" w:rsidRDefault="009571FA">
            <w:pPr>
              <w:spacing w:line="276" w:lineRule="auto"/>
              <w:jc w:val="center"/>
              <w:rPr>
                <w:rFonts w:ascii="Calibri" w:hAnsi="Calibri"/>
              </w:rPr>
            </w:pPr>
            <w:r w:rsidRPr="004538C3">
              <w:rPr>
                <w:rFonts w:ascii="Calibri" w:hAnsi="Calibri"/>
                <w:szCs w:val="22"/>
              </w:rPr>
              <w:t>15.1</w:t>
            </w:r>
          </w:p>
        </w:tc>
        <w:tc>
          <w:tcPr>
            <w:tcW w:w="672" w:type="dxa"/>
            <w:tcBorders>
              <w:left w:val="single" w:sz="4" w:space="0" w:color="auto"/>
            </w:tcBorders>
            <w:vAlign w:val="center"/>
          </w:tcPr>
          <w:p w:rsidR="009571FA" w:rsidRPr="004538C3" w:rsidRDefault="009571FA">
            <w:pPr>
              <w:spacing w:line="276" w:lineRule="auto"/>
              <w:jc w:val="center"/>
              <w:rPr>
                <w:rFonts w:ascii="Calibri" w:hAnsi="Calibri"/>
              </w:rPr>
            </w:pPr>
            <w:r w:rsidRPr="004538C3">
              <w:rPr>
                <w:rFonts w:ascii="Calibri" w:hAnsi="Calibri"/>
                <w:szCs w:val="22"/>
              </w:rPr>
              <w:t>62</w:t>
            </w:r>
          </w:p>
        </w:tc>
        <w:tc>
          <w:tcPr>
            <w:tcW w:w="734" w:type="dxa"/>
            <w:vAlign w:val="center"/>
          </w:tcPr>
          <w:p w:rsidR="009571FA" w:rsidRPr="004538C3" w:rsidRDefault="009571FA">
            <w:pPr>
              <w:spacing w:line="276" w:lineRule="auto"/>
              <w:jc w:val="center"/>
              <w:rPr>
                <w:rFonts w:ascii="Calibri" w:hAnsi="Calibri"/>
              </w:rPr>
            </w:pPr>
            <w:r w:rsidRPr="004538C3">
              <w:rPr>
                <w:rFonts w:ascii="Calibri" w:hAnsi="Calibri"/>
                <w:szCs w:val="22"/>
              </w:rPr>
              <w:t>15.9</w:t>
            </w:r>
          </w:p>
        </w:tc>
      </w:tr>
      <w:tr w:rsidR="009571FA" w:rsidRPr="004538C3" w:rsidTr="00810A14">
        <w:trPr>
          <w:trHeight w:val="432"/>
          <w:jc w:val="center"/>
        </w:trPr>
        <w:tc>
          <w:tcPr>
            <w:tcW w:w="6070" w:type="dxa"/>
            <w:tcBorders>
              <w:bottom w:val="single" w:sz="4" w:space="0" w:color="auto"/>
              <w:right w:val="single" w:sz="4" w:space="0" w:color="auto"/>
            </w:tcBorders>
            <w:vAlign w:val="center"/>
          </w:tcPr>
          <w:p w:rsidR="009571FA" w:rsidRPr="004538C3" w:rsidRDefault="009571FA">
            <w:pPr>
              <w:spacing w:line="276" w:lineRule="auto"/>
              <w:rPr>
                <w:rFonts w:ascii="Calibri" w:hAnsi="Calibri"/>
              </w:rPr>
            </w:pPr>
            <w:r w:rsidRPr="004538C3">
              <w:rPr>
                <w:rFonts w:ascii="Calibri" w:hAnsi="Calibri"/>
                <w:szCs w:val="22"/>
              </w:rPr>
              <w:t>Additional human resources to work on gender</w:t>
            </w:r>
          </w:p>
        </w:tc>
        <w:tc>
          <w:tcPr>
            <w:tcW w:w="663" w:type="dxa"/>
            <w:tcBorders>
              <w:left w:val="single" w:sz="4" w:space="0" w:color="auto"/>
              <w:bottom w:val="single" w:sz="4" w:space="0" w:color="auto"/>
            </w:tcBorders>
            <w:vAlign w:val="center"/>
          </w:tcPr>
          <w:p w:rsidR="009571FA" w:rsidRPr="004538C3" w:rsidRDefault="009571FA">
            <w:pPr>
              <w:spacing w:line="276" w:lineRule="auto"/>
              <w:jc w:val="center"/>
              <w:rPr>
                <w:rFonts w:ascii="Calibri" w:hAnsi="Calibri"/>
              </w:rPr>
            </w:pPr>
            <w:r w:rsidRPr="004538C3">
              <w:rPr>
                <w:rFonts w:ascii="Calibri" w:hAnsi="Calibri"/>
                <w:szCs w:val="22"/>
              </w:rPr>
              <w:t>394</w:t>
            </w:r>
          </w:p>
        </w:tc>
        <w:tc>
          <w:tcPr>
            <w:tcW w:w="607" w:type="dxa"/>
            <w:tcBorders>
              <w:bottom w:val="single" w:sz="4" w:space="0" w:color="auto"/>
              <w:right w:val="single" w:sz="4" w:space="0" w:color="auto"/>
            </w:tcBorders>
            <w:vAlign w:val="center"/>
          </w:tcPr>
          <w:p w:rsidR="009571FA" w:rsidRPr="004538C3" w:rsidRDefault="009571FA">
            <w:pPr>
              <w:spacing w:line="276" w:lineRule="auto"/>
              <w:jc w:val="center"/>
              <w:rPr>
                <w:rFonts w:ascii="Calibri" w:hAnsi="Calibri"/>
              </w:rPr>
            </w:pPr>
            <w:r w:rsidRPr="004538C3">
              <w:rPr>
                <w:rFonts w:ascii="Calibri" w:hAnsi="Calibri"/>
                <w:szCs w:val="22"/>
              </w:rPr>
              <w:t>18.2</w:t>
            </w:r>
          </w:p>
        </w:tc>
        <w:tc>
          <w:tcPr>
            <w:tcW w:w="672" w:type="dxa"/>
            <w:tcBorders>
              <w:left w:val="single" w:sz="4" w:space="0" w:color="auto"/>
              <w:bottom w:val="single" w:sz="4" w:space="0" w:color="auto"/>
            </w:tcBorders>
            <w:vAlign w:val="center"/>
          </w:tcPr>
          <w:p w:rsidR="009571FA" w:rsidRPr="004538C3" w:rsidRDefault="009571FA">
            <w:pPr>
              <w:spacing w:line="276" w:lineRule="auto"/>
              <w:jc w:val="center"/>
              <w:rPr>
                <w:rFonts w:ascii="Calibri" w:hAnsi="Calibri"/>
              </w:rPr>
            </w:pPr>
            <w:r w:rsidRPr="004538C3">
              <w:rPr>
                <w:rFonts w:ascii="Calibri" w:hAnsi="Calibri"/>
                <w:szCs w:val="22"/>
              </w:rPr>
              <w:t>70</w:t>
            </w:r>
          </w:p>
        </w:tc>
        <w:tc>
          <w:tcPr>
            <w:tcW w:w="734" w:type="dxa"/>
            <w:tcBorders>
              <w:bottom w:val="single" w:sz="4" w:space="0" w:color="auto"/>
            </w:tcBorders>
            <w:vAlign w:val="center"/>
          </w:tcPr>
          <w:p w:rsidR="009571FA" w:rsidRPr="004538C3" w:rsidRDefault="009571FA">
            <w:pPr>
              <w:spacing w:line="276" w:lineRule="auto"/>
              <w:jc w:val="center"/>
              <w:rPr>
                <w:rFonts w:ascii="Calibri" w:hAnsi="Calibri"/>
              </w:rPr>
            </w:pPr>
            <w:r w:rsidRPr="004538C3">
              <w:rPr>
                <w:rFonts w:ascii="Calibri" w:hAnsi="Calibri"/>
                <w:szCs w:val="22"/>
              </w:rPr>
              <w:t>18.0</w:t>
            </w:r>
          </w:p>
        </w:tc>
      </w:tr>
      <w:tr w:rsidR="009571FA" w:rsidRPr="004538C3" w:rsidTr="00810A14">
        <w:trPr>
          <w:trHeight w:val="312"/>
          <w:jc w:val="center"/>
        </w:trPr>
        <w:tc>
          <w:tcPr>
            <w:tcW w:w="6070" w:type="dxa"/>
            <w:tcBorders>
              <w:top w:val="single" w:sz="4" w:space="0" w:color="auto"/>
              <w:right w:val="single" w:sz="4" w:space="0" w:color="auto"/>
            </w:tcBorders>
            <w:vAlign w:val="center"/>
          </w:tcPr>
          <w:p w:rsidR="009571FA" w:rsidRPr="004538C3" w:rsidRDefault="009571FA">
            <w:pPr>
              <w:spacing w:line="276" w:lineRule="auto"/>
              <w:rPr>
                <w:rFonts w:ascii="Calibri" w:hAnsi="Calibri"/>
              </w:rPr>
            </w:pPr>
            <w:r w:rsidRPr="004538C3">
              <w:rPr>
                <w:rFonts w:ascii="Calibri" w:hAnsi="Calibri"/>
                <w:szCs w:val="22"/>
              </w:rPr>
              <w:t>All of the above</w:t>
            </w:r>
          </w:p>
        </w:tc>
        <w:tc>
          <w:tcPr>
            <w:tcW w:w="663" w:type="dxa"/>
            <w:tcBorders>
              <w:top w:val="single" w:sz="4" w:space="0" w:color="auto"/>
              <w:left w:val="single" w:sz="4" w:space="0" w:color="auto"/>
            </w:tcBorders>
            <w:vAlign w:val="center"/>
          </w:tcPr>
          <w:p w:rsidR="009571FA" w:rsidRPr="004538C3" w:rsidRDefault="009571FA">
            <w:pPr>
              <w:spacing w:line="276" w:lineRule="auto"/>
              <w:jc w:val="center"/>
              <w:rPr>
                <w:rFonts w:ascii="Calibri" w:hAnsi="Calibri"/>
              </w:rPr>
            </w:pPr>
            <w:r w:rsidRPr="004538C3">
              <w:rPr>
                <w:rFonts w:ascii="Calibri" w:hAnsi="Calibri"/>
                <w:szCs w:val="22"/>
              </w:rPr>
              <w:t>243</w:t>
            </w:r>
          </w:p>
        </w:tc>
        <w:tc>
          <w:tcPr>
            <w:tcW w:w="607" w:type="dxa"/>
            <w:tcBorders>
              <w:top w:val="single" w:sz="4" w:space="0" w:color="auto"/>
              <w:right w:val="single" w:sz="4" w:space="0" w:color="auto"/>
            </w:tcBorders>
            <w:vAlign w:val="center"/>
          </w:tcPr>
          <w:p w:rsidR="009571FA" w:rsidRPr="004538C3" w:rsidRDefault="009571FA">
            <w:pPr>
              <w:spacing w:line="276" w:lineRule="auto"/>
              <w:jc w:val="center"/>
              <w:rPr>
                <w:rFonts w:ascii="Calibri" w:hAnsi="Calibri"/>
              </w:rPr>
            </w:pPr>
            <w:r w:rsidRPr="004538C3">
              <w:rPr>
                <w:rFonts w:ascii="Calibri" w:hAnsi="Calibri"/>
                <w:szCs w:val="22"/>
              </w:rPr>
              <w:t>11.3</w:t>
            </w:r>
          </w:p>
        </w:tc>
        <w:tc>
          <w:tcPr>
            <w:tcW w:w="672" w:type="dxa"/>
            <w:tcBorders>
              <w:top w:val="single" w:sz="4" w:space="0" w:color="auto"/>
              <w:left w:val="single" w:sz="4" w:space="0" w:color="auto"/>
            </w:tcBorders>
            <w:vAlign w:val="center"/>
          </w:tcPr>
          <w:p w:rsidR="009571FA" w:rsidRPr="004538C3" w:rsidRDefault="009571FA">
            <w:pPr>
              <w:spacing w:line="276" w:lineRule="auto"/>
              <w:jc w:val="center"/>
              <w:rPr>
                <w:rFonts w:ascii="Calibri" w:hAnsi="Calibri"/>
              </w:rPr>
            </w:pPr>
            <w:r w:rsidRPr="004538C3">
              <w:rPr>
                <w:rFonts w:ascii="Calibri" w:hAnsi="Calibri"/>
                <w:szCs w:val="22"/>
              </w:rPr>
              <w:t>47</w:t>
            </w:r>
          </w:p>
        </w:tc>
        <w:tc>
          <w:tcPr>
            <w:tcW w:w="734" w:type="dxa"/>
            <w:tcBorders>
              <w:top w:val="single" w:sz="4" w:space="0" w:color="auto"/>
            </w:tcBorders>
            <w:vAlign w:val="center"/>
          </w:tcPr>
          <w:p w:rsidR="009571FA" w:rsidRPr="004538C3" w:rsidRDefault="009571FA">
            <w:pPr>
              <w:spacing w:line="276" w:lineRule="auto"/>
              <w:jc w:val="center"/>
              <w:rPr>
                <w:rFonts w:ascii="Calibri" w:hAnsi="Calibri"/>
              </w:rPr>
            </w:pPr>
            <w:r w:rsidRPr="004538C3">
              <w:rPr>
                <w:rFonts w:ascii="Calibri" w:hAnsi="Calibri"/>
                <w:szCs w:val="22"/>
              </w:rPr>
              <w:t>12.1</w:t>
            </w:r>
          </w:p>
        </w:tc>
      </w:tr>
      <w:tr w:rsidR="009571FA" w:rsidRPr="004538C3" w:rsidTr="00810A14">
        <w:trPr>
          <w:trHeight w:val="312"/>
          <w:jc w:val="center"/>
        </w:trPr>
        <w:tc>
          <w:tcPr>
            <w:tcW w:w="6070" w:type="dxa"/>
            <w:tcBorders>
              <w:right w:val="single" w:sz="4" w:space="0" w:color="auto"/>
            </w:tcBorders>
            <w:vAlign w:val="center"/>
          </w:tcPr>
          <w:p w:rsidR="009571FA" w:rsidRPr="004538C3" w:rsidRDefault="009571FA">
            <w:pPr>
              <w:spacing w:line="276" w:lineRule="auto"/>
              <w:rPr>
                <w:rFonts w:ascii="Calibri" w:hAnsi="Calibri"/>
              </w:rPr>
            </w:pPr>
            <w:r w:rsidRPr="004538C3">
              <w:rPr>
                <w:rFonts w:ascii="Calibri" w:hAnsi="Calibri"/>
                <w:szCs w:val="22"/>
              </w:rPr>
              <w:t>Other</w:t>
            </w:r>
          </w:p>
        </w:tc>
        <w:tc>
          <w:tcPr>
            <w:tcW w:w="663" w:type="dxa"/>
            <w:tcBorders>
              <w:left w:val="single" w:sz="4" w:space="0" w:color="auto"/>
            </w:tcBorders>
            <w:vAlign w:val="center"/>
          </w:tcPr>
          <w:p w:rsidR="009571FA" w:rsidRPr="004538C3" w:rsidRDefault="009571FA">
            <w:pPr>
              <w:spacing w:line="276" w:lineRule="auto"/>
              <w:jc w:val="center"/>
              <w:rPr>
                <w:rFonts w:ascii="Calibri" w:hAnsi="Calibri"/>
              </w:rPr>
            </w:pPr>
            <w:r w:rsidRPr="004538C3">
              <w:rPr>
                <w:rFonts w:ascii="Calibri" w:hAnsi="Calibri"/>
                <w:szCs w:val="22"/>
              </w:rPr>
              <w:t>41</w:t>
            </w:r>
          </w:p>
        </w:tc>
        <w:tc>
          <w:tcPr>
            <w:tcW w:w="607" w:type="dxa"/>
            <w:tcBorders>
              <w:right w:val="single" w:sz="4" w:space="0" w:color="auto"/>
            </w:tcBorders>
            <w:vAlign w:val="center"/>
          </w:tcPr>
          <w:p w:rsidR="009571FA" w:rsidRPr="004538C3" w:rsidRDefault="009571FA">
            <w:pPr>
              <w:spacing w:line="276" w:lineRule="auto"/>
              <w:jc w:val="center"/>
              <w:rPr>
                <w:rFonts w:ascii="Calibri" w:hAnsi="Calibri"/>
              </w:rPr>
            </w:pPr>
            <w:r w:rsidRPr="004538C3">
              <w:rPr>
                <w:rFonts w:ascii="Calibri" w:hAnsi="Calibri"/>
                <w:szCs w:val="22"/>
              </w:rPr>
              <w:t>1.9</w:t>
            </w:r>
          </w:p>
        </w:tc>
        <w:tc>
          <w:tcPr>
            <w:tcW w:w="672" w:type="dxa"/>
            <w:tcBorders>
              <w:left w:val="single" w:sz="4" w:space="0" w:color="auto"/>
            </w:tcBorders>
            <w:vAlign w:val="center"/>
          </w:tcPr>
          <w:p w:rsidR="009571FA" w:rsidRPr="004538C3" w:rsidRDefault="009571FA">
            <w:pPr>
              <w:spacing w:line="276" w:lineRule="auto"/>
              <w:jc w:val="center"/>
              <w:rPr>
                <w:rFonts w:ascii="Calibri" w:hAnsi="Calibri"/>
              </w:rPr>
            </w:pPr>
            <w:r w:rsidRPr="004538C3">
              <w:rPr>
                <w:rFonts w:ascii="Calibri" w:hAnsi="Calibri"/>
                <w:szCs w:val="22"/>
              </w:rPr>
              <w:t>5</w:t>
            </w:r>
          </w:p>
        </w:tc>
        <w:tc>
          <w:tcPr>
            <w:tcW w:w="734" w:type="dxa"/>
            <w:vAlign w:val="center"/>
          </w:tcPr>
          <w:p w:rsidR="009571FA" w:rsidRPr="004538C3" w:rsidRDefault="009571FA">
            <w:pPr>
              <w:spacing w:line="276" w:lineRule="auto"/>
              <w:jc w:val="center"/>
              <w:rPr>
                <w:rFonts w:ascii="Calibri" w:hAnsi="Calibri"/>
              </w:rPr>
            </w:pPr>
            <w:r w:rsidRPr="004538C3">
              <w:rPr>
                <w:rFonts w:ascii="Calibri" w:hAnsi="Calibri"/>
                <w:szCs w:val="22"/>
              </w:rPr>
              <w:t>1.3</w:t>
            </w:r>
          </w:p>
        </w:tc>
      </w:tr>
      <w:tr w:rsidR="009571FA" w:rsidRPr="004538C3" w:rsidTr="00810A14">
        <w:trPr>
          <w:trHeight w:val="312"/>
          <w:jc w:val="center"/>
        </w:trPr>
        <w:tc>
          <w:tcPr>
            <w:tcW w:w="6070" w:type="dxa"/>
            <w:tcBorders>
              <w:right w:val="single" w:sz="4" w:space="0" w:color="auto"/>
            </w:tcBorders>
            <w:vAlign w:val="center"/>
          </w:tcPr>
          <w:p w:rsidR="009571FA" w:rsidRPr="004538C3" w:rsidRDefault="009571FA">
            <w:pPr>
              <w:spacing w:line="276" w:lineRule="auto"/>
              <w:rPr>
                <w:rFonts w:ascii="Calibri" w:hAnsi="Calibri"/>
              </w:rPr>
            </w:pPr>
            <w:r w:rsidRPr="004538C3">
              <w:rPr>
                <w:rFonts w:ascii="Calibri" w:hAnsi="Calibri"/>
                <w:szCs w:val="22"/>
              </w:rPr>
              <w:t>No support needed</w:t>
            </w:r>
          </w:p>
        </w:tc>
        <w:tc>
          <w:tcPr>
            <w:tcW w:w="663" w:type="dxa"/>
            <w:tcBorders>
              <w:left w:val="single" w:sz="4" w:space="0" w:color="auto"/>
            </w:tcBorders>
            <w:vAlign w:val="center"/>
          </w:tcPr>
          <w:p w:rsidR="009571FA" w:rsidRPr="004538C3" w:rsidRDefault="009571FA">
            <w:pPr>
              <w:spacing w:line="276" w:lineRule="auto"/>
              <w:jc w:val="center"/>
              <w:rPr>
                <w:rFonts w:ascii="Calibri" w:hAnsi="Calibri"/>
              </w:rPr>
            </w:pPr>
            <w:r w:rsidRPr="004538C3">
              <w:rPr>
                <w:rFonts w:ascii="Calibri" w:hAnsi="Calibri"/>
                <w:szCs w:val="22"/>
              </w:rPr>
              <w:t>190</w:t>
            </w:r>
          </w:p>
        </w:tc>
        <w:tc>
          <w:tcPr>
            <w:tcW w:w="607" w:type="dxa"/>
            <w:tcBorders>
              <w:right w:val="single" w:sz="4" w:space="0" w:color="auto"/>
            </w:tcBorders>
            <w:vAlign w:val="center"/>
          </w:tcPr>
          <w:p w:rsidR="009571FA" w:rsidRPr="004538C3" w:rsidRDefault="009571FA">
            <w:pPr>
              <w:spacing w:line="276" w:lineRule="auto"/>
              <w:jc w:val="center"/>
              <w:rPr>
                <w:rFonts w:ascii="Calibri" w:hAnsi="Calibri"/>
              </w:rPr>
            </w:pPr>
            <w:r w:rsidRPr="004538C3">
              <w:rPr>
                <w:rFonts w:ascii="Calibri" w:hAnsi="Calibri"/>
                <w:szCs w:val="22"/>
              </w:rPr>
              <w:t>8.8</w:t>
            </w:r>
          </w:p>
        </w:tc>
        <w:tc>
          <w:tcPr>
            <w:tcW w:w="672" w:type="dxa"/>
            <w:tcBorders>
              <w:left w:val="single" w:sz="4" w:space="0" w:color="auto"/>
            </w:tcBorders>
            <w:vAlign w:val="center"/>
          </w:tcPr>
          <w:p w:rsidR="009571FA" w:rsidRPr="004538C3" w:rsidRDefault="009571FA">
            <w:pPr>
              <w:spacing w:line="276" w:lineRule="auto"/>
              <w:jc w:val="center"/>
              <w:rPr>
                <w:rFonts w:ascii="Calibri" w:hAnsi="Calibri"/>
              </w:rPr>
            </w:pPr>
            <w:r w:rsidRPr="004538C3">
              <w:rPr>
                <w:rFonts w:ascii="Calibri" w:hAnsi="Calibri"/>
                <w:szCs w:val="22"/>
              </w:rPr>
              <w:t>28</w:t>
            </w:r>
          </w:p>
        </w:tc>
        <w:tc>
          <w:tcPr>
            <w:tcW w:w="734" w:type="dxa"/>
            <w:vAlign w:val="center"/>
          </w:tcPr>
          <w:p w:rsidR="009571FA" w:rsidRPr="004538C3" w:rsidRDefault="009571FA">
            <w:pPr>
              <w:spacing w:line="276" w:lineRule="auto"/>
              <w:jc w:val="center"/>
              <w:rPr>
                <w:rFonts w:ascii="Calibri" w:hAnsi="Calibri"/>
              </w:rPr>
            </w:pPr>
            <w:r w:rsidRPr="004538C3">
              <w:rPr>
                <w:rFonts w:ascii="Calibri" w:hAnsi="Calibri"/>
                <w:szCs w:val="22"/>
              </w:rPr>
              <w:t>7.2</w:t>
            </w:r>
          </w:p>
        </w:tc>
      </w:tr>
      <w:tr w:rsidR="009571FA" w:rsidRPr="004538C3" w:rsidTr="00810A14">
        <w:trPr>
          <w:trHeight w:val="312"/>
          <w:jc w:val="center"/>
        </w:trPr>
        <w:tc>
          <w:tcPr>
            <w:tcW w:w="6070" w:type="dxa"/>
            <w:tcBorders>
              <w:bottom w:val="single" w:sz="4" w:space="0" w:color="auto"/>
              <w:right w:val="single" w:sz="4" w:space="0" w:color="auto"/>
            </w:tcBorders>
            <w:vAlign w:val="center"/>
          </w:tcPr>
          <w:p w:rsidR="009571FA" w:rsidRPr="004538C3" w:rsidRDefault="009571FA">
            <w:pPr>
              <w:spacing w:line="276" w:lineRule="auto"/>
              <w:rPr>
                <w:rFonts w:ascii="Calibri" w:hAnsi="Calibri"/>
              </w:rPr>
            </w:pPr>
            <w:r w:rsidRPr="004538C3">
              <w:rPr>
                <w:rFonts w:ascii="Calibri" w:hAnsi="Calibri"/>
                <w:szCs w:val="22"/>
              </w:rPr>
              <w:t>Don't Know</w:t>
            </w:r>
          </w:p>
        </w:tc>
        <w:tc>
          <w:tcPr>
            <w:tcW w:w="663" w:type="dxa"/>
            <w:tcBorders>
              <w:left w:val="single" w:sz="4" w:space="0" w:color="auto"/>
              <w:bottom w:val="single" w:sz="4" w:space="0" w:color="auto"/>
            </w:tcBorders>
            <w:vAlign w:val="center"/>
          </w:tcPr>
          <w:p w:rsidR="009571FA" w:rsidRPr="004538C3" w:rsidRDefault="009571FA">
            <w:pPr>
              <w:spacing w:line="276" w:lineRule="auto"/>
              <w:jc w:val="center"/>
              <w:rPr>
                <w:rFonts w:ascii="Calibri" w:hAnsi="Calibri"/>
              </w:rPr>
            </w:pPr>
            <w:r w:rsidRPr="004538C3">
              <w:rPr>
                <w:rFonts w:ascii="Calibri" w:hAnsi="Calibri"/>
                <w:szCs w:val="22"/>
              </w:rPr>
              <w:t>211</w:t>
            </w:r>
          </w:p>
        </w:tc>
        <w:tc>
          <w:tcPr>
            <w:tcW w:w="607" w:type="dxa"/>
            <w:tcBorders>
              <w:bottom w:val="single" w:sz="4" w:space="0" w:color="auto"/>
              <w:right w:val="single" w:sz="4" w:space="0" w:color="auto"/>
            </w:tcBorders>
            <w:vAlign w:val="center"/>
          </w:tcPr>
          <w:p w:rsidR="009571FA" w:rsidRPr="004538C3" w:rsidRDefault="009571FA">
            <w:pPr>
              <w:spacing w:line="276" w:lineRule="auto"/>
              <w:jc w:val="center"/>
              <w:rPr>
                <w:rFonts w:ascii="Calibri" w:hAnsi="Calibri"/>
              </w:rPr>
            </w:pPr>
            <w:r w:rsidRPr="004538C3">
              <w:rPr>
                <w:rFonts w:ascii="Calibri" w:hAnsi="Calibri"/>
                <w:szCs w:val="22"/>
              </w:rPr>
              <w:t>9.8</w:t>
            </w:r>
          </w:p>
        </w:tc>
        <w:tc>
          <w:tcPr>
            <w:tcW w:w="672" w:type="dxa"/>
            <w:tcBorders>
              <w:left w:val="single" w:sz="4" w:space="0" w:color="auto"/>
              <w:bottom w:val="single" w:sz="4" w:space="0" w:color="auto"/>
            </w:tcBorders>
            <w:vAlign w:val="center"/>
          </w:tcPr>
          <w:p w:rsidR="009571FA" w:rsidRPr="004538C3" w:rsidRDefault="009571FA">
            <w:pPr>
              <w:spacing w:line="276" w:lineRule="auto"/>
              <w:jc w:val="center"/>
              <w:rPr>
                <w:rFonts w:ascii="Calibri" w:hAnsi="Calibri"/>
              </w:rPr>
            </w:pPr>
            <w:r w:rsidRPr="004538C3">
              <w:rPr>
                <w:rFonts w:ascii="Calibri" w:hAnsi="Calibri"/>
                <w:szCs w:val="22"/>
              </w:rPr>
              <w:t>26</w:t>
            </w:r>
          </w:p>
        </w:tc>
        <w:tc>
          <w:tcPr>
            <w:tcW w:w="734" w:type="dxa"/>
            <w:tcBorders>
              <w:bottom w:val="single" w:sz="4" w:space="0" w:color="auto"/>
            </w:tcBorders>
            <w:vAlign w:val="center"/>
          </w:tcPr>
          <w:p w:rsidR="009571FA" w:rsidRPr="004538C3" w:rsidRDefault="009571FA">
            <w:pPr>
              <w:spacing w:line="276" w:lineRule="auto"/>
              <w:jc w:val="center"/>
              <w:rPr>
                <w:rFonts w:ascii="Calibri" w:hAnsi="Calibri"/>
              </w:rPr>
            </w:pPr>
            <w:r w:rsidRPr="004538C3">
              <w:rPr>
                <w:rFonts w:ascii="Calibri" w:hAnsi="Calibri"/>
                <w:szCs w:val="22"/>
              </w:rPr>
              <w:t>6.7</w:t>
            </w:r>
          </w:p>
        </w:tc>
      </w:tr>
    </w:tbl>
    <w:p w:rsidR="009571FA" w:rsidRDefault="009571FA" w:rsidP="008856C2">
      <w:pPr>
        <w:rPr>
          <w:rFonts w:ascii="Corbel" w:hAnsi="Corbel"/>
          <w:sz w:val="18"/>
          <w:lang w:val="es-ES_tradnl"/>
        </w:rPr>
      </w:pPr>
    </w:p>
    <w:p w:rsidR="009571FA" w:rsidRDefault="009571FA" w:rsidP="00CD5BEF">
      <w:pPr>
        <w:jc w:val="both"/>
        <w:rPr>
          <w:color w:val="000000"/>
          <w:sz w:val="22"/>
          <w:lang w:val="en-US"/>
        </w:rPr>
      </w:pPr>
    </w:p>
    <w:p w:rsidR="009571FA" w:rsidRDefault="009571FA" w:rsidP="007C65A5">
      <w:pPr>
        <w:jc w:val="both"/>
        <w:rPr>
          <w:b/>
          <w:color w:val="000000"/>
          <w:sz w:val="24"/>
          <w:lang w:val="en-US"/>
        </w:rPr>
      </w:pPr>
      <w:r>
        <w:rPr>
          <w:b/>
          <w:color w:val="000000"/>
          <w:sz w:val="24"/>
          <w:lang w:val="en-US"/>
        </w:rPr>
        <w:t xml:space="preserve">7. </w:t>
      </w:r>
      <w:r w:rsidR="007C65A5">
        <w:rPr>
          <w:b/>
          <w:color w:val="000000"/>
          <w:sz w:val="24"/>
          <w:lang w:val="en-US"/>
        </w:rPr>
        <w:t xml:space="preserve">  </w:t>
      </w:r>
      <w:r>
        <w:rPr>
          <w:b/>
          <w:color w:val="000000"/>
          <w:sz w:val="24"/>
          <w:lang w:val="en-US"/>
        </w:rPr>
        <w:t xml:space="preserve"> </w:t>
      </w:r>
      <w:r w:rsidRPr="008D70E4">
        <w:rPr>
          <w:b/>
          <w:color w:val="000000"/>
          <w:sz w:val="24"/>
          <w:lang w:val="en-US"/>
        </w:rPr>
        <w:t>Limitations</w:t>
      </w:r>
      <w:r>
        <w:rPr>
          <w:b/>
          <w:color w:val="000000"/>
          <w:sz w:val="24"/>
          <w:lang w:val="en-US"/>
        </w:rPr>
        <w:t xml:space="preserve"> of the findings</w:t>
      </w:r>
    </w:p>
    <w:p w:rsidR="009571FA" w:rsidRPr="00E4026E" w:rsidRDefault="009571FA" w:rsidP="008D70E4">
      <w:pPr>
        <w:pStyle w:val="ListParagraph"/>
        <w:jc w:val="both"/>
        <w:rPr>
          <w:rFonts w:cs="Arial"/>
          <w:sz w:val="10"/>
          <w:szCs w:val="22"/>
        </w:rPr>
      </w:pPr>
    </w:p>
    <w:p w:rsidR="009571FA" w:rsidRPr="005A2BFD" w:rsidRDefault="009571FA" w:rsidP="008D70E4">
      <w:pPr>
        <w:jc w:val="both"/>
        <w:rPr>
          <w:rFonts w:cs="Arial"/>
          <w:sz w:val="22"/>
          <w:szCs w:val="22"/>
        </w:rPr>
      </w:pPr>
      <w:r w:rsidRPr="005A2BFD">
        <w:rPr>
          <w:rFonts w:cs="Arial"/>
          <w:sz w:val="22"/>
          <w:szCs w:val="22"/>
        </w:rPr>
        <w:t xml:space="preserve">As already stated, the sample –although reasonable in size--, may not be representative since in this type of surveys, respondents are self-selected. </w:t>
      </w:r>
    </w:p>
    <w:p w:rsidR="009571FA" w:rsidRPr="005A2BFD" w:rsidRDefault="009571FA" w:rsidP="008D70E4">
      <w:pPr>
        <w:jc w:val="both"/>
        <w:rPr>
          <w:rFonts w:cs="Arial"/>
          <w:sz w:val="22"/>
          <w:szCs w:val="22"/>
        </w:rPr>
      </w:pPr>
    </w:p>
    <w:p w:rsidR="009571FA" w:rsidRPr="005A2BFD" w:rsidRDefault="009571FA" w:rsidP="008D70E4">
      <w:pPr>
        <w:jc w:val="both"/>
        <w:rPr>
          <w:color w:val="000000"/>
          <w:sz w:val="22"/>
          <w:lang w:val="en-US"/>
        </w:rPr>
      </w:pPr>
      <w:r w:rsidRPr="005A2BFD">
        <w:rPr>
          <w:rFonts w:cs="Arial"/>
          <w:sz w:val="22"/>
          <w:szCs w:val="22"/>
        </w:rPr>
        <w:t xml:space="preserve">The analysis was constrained by the non availability of cross-tabulations by </w:t>
      </w:r>
      <w:r w:rsidRPr="00E265C4">
        <w:rPr>
          <w:rFonts w:cs="Arial"/>
          <w:b/>
          <w:sz w:val="22"/>
          <w:szCs w:val="22"/>
        </w:rPr>
        <w:t>location,</w:t>
      </w:r>
      <w:r w:rsidRPr="005A2BFD">
        <w:rPr>
          <w:rFonts w:cs="Arial"/>
          <w:sz w:val="22"/>
          <w:szCs w:val="22"/>
        </w:rPr>
        <w:t xml:space="preserve"> i.e., HQ and Country Offices. The data provided by WHO to the Regions was disaggregated only by two variables: sex and grade. And regarding sex, a further limitation was experienced, since this variable was disaggregated only </w:t>
      </w:r>
      <w:r>
        <w:rPr>
          <w:rFonts w:cs="Arial"/>
          <w:sz w:val="22"/>
          <w:szCs w:val="22"/>
        </w:rPr>
        <w:t xml:space="preserve">for the total staff, </w:t>
      </w:r>
      <w:r w:rsidRPr="005A2BFD">
        <w:rPr>
          <w:rFonts w:cs="Arial"/>
          <w:sz w:val="22"/>
          <w:szCs w:val="22"/>
        </w:rPr>
        <w:t xml:space="preserve">not </w:t>
      </w:r>
      <w:r w:rsidR="00E9770E">
        <w:rPr>
          <w:rFonts w:cs="Arial"/>
          <w:sz w:val="22"/>
          <w:szCs w:val="22"/>
        </w:rPr>
        <w:t>for</w:t>
      </w:r>
      <w:r w:rsidRPr="005A2BFD">
        <w:rPr>
          <w:rFonts w:cs="Arial"/>
          <w:sz w:val="22"/>
          <w:szCs w:val="22"/>
        </w:rPr>
        <w:t xml:space="preserve"> grade categories. </w:t>
      </w:r>
      <w:r w:rsidRPr="005A2BFD">
        <w:rPr>
          <w:color w:val="000000"/>
          <w:sz w:val="22"/>
          <w:lang w:val="en-US"/>
        </w:rPr>
        <w:t xml:space="preserve">This circumstance did not permit sound inferences about </w:t>
      </w:r>
      <w:r w:rsidRPr="005A2BFD">
        <w:rPr>
          <w:b/>
          <w:color w:val="000000"/>
          <w:sz w:val="22"/>
          <w:lang w:val="en-US"/>
        </w:rPr>
        <w:t xml:space="preserve">sex differentials </w:t>
      </w:r>
      <w:r w:rsidRPr="005A2BFD">
        <w:rPr>
          <w:color w:val="000000"/>
          <w:sz w:val="22"/>
          <w:lang w:val="en-US"/>
        </w:rPr>
        <w:t>along selected indicators</w:t>
      </w:r>
      <w:r>
        <w:rPr>
          <w:color w:val="000000"/>
          <w:sz w:val="22"/>
          <w:lang w:val="en-US"/>
        </w:rPr>
        <w:t xml:space="preserve"> and staff groups</w:t>
      </w:r>
      <w:r w:rsidRPr="005A2BFD">
        <w:rPr>
          <w:color w:val="000000"/>
          <w:sz w:val="22"/>
          <w:lang w:val="en-US"/>
        </w:rPr>
        <w:t xml:space="preserve">, since these differentials were </w:t>
      </w:r>
      <w:r>
        <w:rPr>
          <w:color w:val="000000"/>
          <w:sz w:val="22"/>
          <w:lang w:val="en-US"/>
        </w:rPr>
        <w:t xml:space="preserve">biased </w:t>
      </w:r>
      <w:r w:rsidRPr="005A2BFD">
        <w:rPr>
          <w:color w:val="000000"/>
          <w:sz w:val="22"/>
          <w:lang w:val="en-US"/>
        </w:rPr>
        <w:t>by the large share of Gs among the total staff and the female predominance (80%) in this G category</w:t>
      </w:r>
      <w:r>
        <w:rPr>
          <w:color w:val="000000"/>
          <w:sz w:val="22"/>
          <w:lang w:val="en-US"/>
        </w:rPr>
        <w:t>,</w:t>
      </w:r>
      <w:r w:rsidRPr="005A2BFD">
        <w:rPr>
          <w:color w:val="000000"/>
          <w:sz w:val="22"/>
          <w:lang w:val="en-US"/>
        </w:rPr>
        <w:t xml:space="preserve"> traditionally not a priority target for gender mainstreaming actions. To arrive at </w:t>
      </w:r>
      <w:r w:rsidR="00833DB8">
        <w:rPr>
          <w:color w:val="000000"/>
          <w:sz w:val="22"/>
          <w:lang w:val="en-US"/>
        </w:rPr>
        <w:t xml:space="preserve">non spurious </w:t>
      </w:r>
      <w:r w:rsidRPr="005A2BFD">
        <w:rPr>
          <w:color w:val="000000"/>
          <w:sz w:val="22"/>
          <w:lang w:val="en-US"/>
        </w:rPr>
        <w:t>conclusion in this respect, sex differentials would have to be calculated within grades.</w:t>
      </w:r>
    </w:p>
    <w:p w:rsidR="009571FA" w:rsidRDefault="009571FA" w:rsidP="008D70E4">
      <w:pPr>
        <w:jc w:val="both"/>
        <w:rPr>
          <w:color w:val="000000"/>
          <w:sz w:val="22"/>
          <w:highlight w:val="yellow"/>
          <w:lang w:val="en-US"/>
        </w:rPr>
      </w:pPr>
    </w:p>
    <w:p w:rsidR="00DE30BA" w:rsidRDefault="00DE30BA" w:rsidP="008D70E4">
      <w:pPr>
        <w:jc w:val="both"/>
        <w:rPr>
          <w:color w:val="000000"/>
          <w:sz w:val="22"/>
          <w:highlight w:val="yellow"/>
          <w:lang w:val="en-US"/>
        </w:rPr>
      </w:pPr>
    </w:p>
    <w:p w:rsidR="00DE30BA" w:rsidRDefault="00DE30BA" w:rsidP="008D70E4">
      <w:pPr>
        <w:jc w:val="both"/>
        <w:rPr>
          <w:color w:val="000000"/>
          <w:sz w:val="22"/>
          <w:highlight w:val="yellow"/>
          <w:lang w:val="en-US"/>
        </w:rPr>
      </w:pPr>
    </w:p>
    <w:p w:rsidR="00DE30BA" w:rsidRDefault="00DE30BA" w:rsidP="008D70E4">
      <w:pPr>
        <w:jc w:val="both"/>
        <w:rPr>
          <w:color w:val="000000"/>
          <w:sz w:val="22"/>
          <w:highlight w:val="yellow"/>
          <w:lang w:val="en-US"/>
        </w:rPr>
      </w:pPr>
    </w:p>
    <w:p w:rsidR="00DE30BA" w:rsidRDefault="00DE30BA" w:rsidP="008D70E4">
      <w:pPr>
        <w:jc w:val="both"/>
        <w:rPr>
          <w:color w:val="000000"/>
          <w:sz w:val="22"/>
          <w:highlight w:val="yellow"/>
          <w:lang w:val="en-US"/>
        </w:rPr>
      </w:pPr>
    </w:p>
    <w:p w:rsidR="00DE30BA" w:rsidRDefault="00DE30BA" w:rsidP="008D70E4">
      <w:pPr>
        <w:jc w:val="both"/>
        <w:rPr>
          <w:highlight w:val="yellow"/>
        </w:rPr>
      </w:pPr>
    </w:p>
    <w:tbl>
      <w:tblPr>
        <w:tblW w:w="0" w:type="auto"/>
        <w:tblBorders>
          <w:top w:val="single" w:sz="4" w:space="0" w:color="auto"/>
          <w:left w:val="single" w:sz="4" w:space="0" w:color="auto"/>
          <w:bottom w:val="single" w:sz="4" w:space="0" w:color="auto"/>
          <w:right w:val="single" w:sz="4" w:space="0" w:color="auto"/>
        </w:tblBorders>
        <w:shd w:val="clear" w:color="auto" w:fill="DBE5F1"/>
        <w:tblLook w:val="00A0"/>
      </w:tblPr>
      <w:tblGrid>
        <w:gridCol w:w="9576"/>
      </w:tblGrid>
      <w:tr w:rsidR="009571FA" w:rsidRPr="00855532" w:rsidTr="00010DAB">
        <w:trPr>
          <w:trHeight w:val="890"/>
        </w:trPr>
        <w:tc>
          <w:tcPr>
            <w:tcW w:w="9576" w:type="dxa"/>
            <w:shd w:val="clear" w:color="auto" w:fill="DBE5F1"/>
          </w:tcPr>
          <w:p w:rsidR="009571FA" w:rsidRPr="004437D0" w:rsidRDefault="009F2CA7" w:rsidP="009F2CA7">
            <w:pPr>
              <w:pStyle w:val="Heading1"/>
              <w:ind w:left="288"/>
              <w:rPr>
                <w:sz w:val="2"/>
              </w:rPr>
            </w:pPr>
            <w:r>
              <w:rPr>
                <w:rFonts w:ascii="Arial" w:hAnsi="Arial" w:cs="Arial"/>
                <w:sz w:val="24"/>
              </w:rPr>
              <w:t>STR</w:t>
            </w:r>
            <w:r w:rsidR="009571FA" w:rsidRPr="00010DAB">
              <w:rPr>
                <w:rFonts w:ascii="Arial" w:hAnsi="Arial" w:cs="Arial"/>
                <w:sz w:val="24"/>
              </w:rPr>
              <w:t xml:space="preserve">ATEGIC DIRECTION </w:t>
            </w:r>
            <w:r w:rsidR="00010DAB" w:rsidRPr="00010DAB">
              <w:rPr>
                <w:rFonts w:ascii="Arial" w:hAnsi="Arial" w:cs="Arial"/>
                <w:sz w:val="24"/>
              </w:rPr>
              <w:t>2:</w:t>
            </w:r>
            <w:r w:rsidR="009571FA" w:rsidRPr="00010DAB">
              <w:rPr>
                <w:rFonts w:ascii="Arial" w:hAnsi="Arial" w:cs="Arial"/>
                <w:sz w:val="24"/>
              </w:rPr>
              <w:t xml:space="preserve"> BRINGING GENDER INTO THE MAINSTREAM OF PAHO’S MANAGEMENT</w:t>
            </w:r>
          </w:p>
        </w:tc>
      </w:tr>
    </w:tbl>
    <w:p w:rsidR="009571FA" w:rsidRPr="00C93705" w:rsidRDefault="009571FA" w:rsidP="00CB64BF">
      <w:pPr>
        <w:ind w:left="2880" w:firstLine="720"/>
        <w:rPr>
          <w:b/>
          <w:bCs/>
          <w:sz w:val="18"/>
          <w:szCs w:val="20"/>
        </w:rPr>
      </w:pPr>
    </w:p>
    <w:p w:rsidR="00DC034A" w:rsidRDefault="00DC034A" w:rsidP="00AC445A">
      <w:pPr>
        <w:rPr>
          <w:bCs/>
          <w:sz w:val="22"/>
          <w:szCs w:val="22"/>
        </w:rPr>
      </w:pPr>
    </w:p>
    <w:p w:rsidR="009571FA" w:rsidRDefault="009571FA" w:rsidP="00AC445A">
      <w:pPr>
        <w:rPr>
          <w:bCs/>
          <w:sz w:val="22"/>
          <w:szCs w:val="22"/>
        </w:rPr>
      </w:pPr>
      <w:r w:rsidRPr="00AD2B13">
        <w:rPr>
          <w:bCs/>
          <w:sz w:val="22"/>
          <w:szCs w:val="22"/>
        </w:rPr>
        <w:t xml:space="preserve">The extent of gender integration into the mainstream of PAHO’s management was assessed in </w:t>
      </w:r>
      <w:r>
        <w:rPr>
          <w:bCs/>
          <w:sz w:val="22"/>
          <w:szCs w:val="22"/>
        </w:rPr>
        <w:t xml:space="preserve">terms of </w:t>
      </w:r>
      <w:r w:rsidRPr="00AD2B13">
        <w:rPr>
          <w:bCs/>
          <w:sz w:val="22"/>
          <w:szCs w:val="22"/>
        </w:rPr>
        <w:t xml:space="preserve">three </w:t>
      </w:r>
      <w:r>
        <w:rPr>
          <w:bCs/>
          <w:sz w:val="22"/>
          <w:szCs w:val="22"/>
        </w:rPr>
        <w:t>dimensions</w:t>
      </w:r>
      <w:r w:rsidR="00DE30BA">
        <w:rPr>
          <w:bCs/>
          <w:sz w:val="22"/>
          <w:szCs w:val="22"/>
        </w:rPr>
        <w:t xml:space="preserve">: </w:t>
      </w:r>
      <w:r>
        <w:rPr>
          <w:bCs/>
          <w:sz w:val="22"/>
          <w:szCs w:val="22"/>
        </w:rPr>
        <w:t>(a) o</w:t>
      </w:r>
      <w:r w:rsidRPr="00AD2B13">
        <w:rPr>
          <w:bCs/>
          <w:sz w:val="22"/>
          <w:szCs w:val="22"/>
        </w:rPr>
        <w:t>perational planning and programme cycle process</w:t>
      </w:r>
      <w:r>
        <w:rPr>
          <w:bCs/>
          <w:sz w:val="22"/>
          <w:szCs w:val="22"/>
        </w:rPr>
        <w:t>es; (b) C</w:t>
      </w:r>
      <w:r w:rsidRPr="00AD2B13">
        <w:rPr>
          <w:bCs/>
          <w:sz w:val="22"/>
          <w:szCs w:val="22"/>
        </w:rPr>
        <w:t xml:space="preserve">ountry Cooperation </w:t>
      </w:r>
      <w:r>
        <w:rPr>
          <w:bCs/>
          <w:sz w:val="22"/>
          <w:szCs w:val="22"/>
        </w:rPr>
        <w:t>S</w:t>
      </w:r>
      <w:r w:rsidRPr="00AD2B13">
        <w:rPr>
          <w:bCs/>
          <w:sz w:val="22"/>
          <w:szCs w:val="22"/>
        </w:rPr>
        <w:t>trategies (CCS) and their corresponding two-year work plans</w:t>
      </w:r>
      <w:r>
        <w:rPr>
          <w:bCs/>
          <w:sz w:val="22"/>
          <w:szCs w:val="22"/>
        </w:rPr>
        <w:t xml:space="preserve">; and (c) level of sex parity among staff. </w:t>
      </w:r>
      <w:r w:rsidR="00DE30BA">
        <w:rPr>
          <w:bCs/>
          <w:sz w:val="22"/>
          <w:szCs w:val="22"/>
        </w:rPr>
        <w:t>Each dimension will be analyzed separately in this section.</w:t>
      </w:r>
    </w:p>
    <w:p w:rsidR="00DC034A" w:rsidRDefault="00DC034A" w:rsidP="00CB64BF">
      <w:pPr>
        <w:rPr>
          <w:b/>
          <w:bCs/>
          <w:sz w:val="28"/>
        </w:rPr>
      </w:pPr>
    </w:p>
    <w:p w:rsidR="009571FA" w:rsidRPr="00010DAB" w:rsidRDefault="009571FA" w:rsidP="00581596">
      <w:pPr>
        <w:numPr>
          <w:ilvl w:val="0"/>
          <w:numId w:val="28"/>
        </w:numPr>
        <w:rPr>
          <w:b/>
          <w:bCs/>
          <w:sz w:val="24"/>
        </w:rPr>
      </w:pPr>
      <w:r w:rsidRPr="00010DAB">
        <w:rPr>
          <w:b/>
          <w:bCs/>
          <w:sz w:val="24"/>
        </w:rPr>
        <w:t xml:space="preserve"> Gender integration </w:t>
      </w:r>
      <w:r w:rsidR="00010DAB">
        <w:rPr>
          <w:b/>
          <w:bCs/>
          <w:sz w:val="24"/>
        </w:rPr>
        <w:t>in</w:t>
      </w:r>
      <w:r w:rsidRPr="00010DAB">
        <w:rPr>
          <w:b/>
          <w:bCs/>
          <w:sz w:val="24"/>
        </w:rPr>
        <w:t xml:space="preserve"> the operational planning and programme cycle process</w:t>
      </w:r>
    </w:p>
    <w:p w:rsidR="009571FA" w:rsidRPr="00C93705" w:rsidRDefault="009571FA" w:rsidP="00CB64BF">
      <w:pPr>
        <w:rPr>
          <w:bCs/>
          <w:sz w:val="14"/>
          <w:szCs w:val="22"/>
        </w:rPr>
      </w:pPr>
    </w:p>
    <w:p w:rsidR="00C93705" w:rsidRDefault="009571FA" w:rsidP="00C93705">
      <w:pPr>
        <w:pStyle w:val="ListParagraph"/>
        <w:ind w:left="0"/>
        <w:rPr>
          <w:iCs/>
          <w:sz w:val="22"/>
        </w:rPr>
      </w:pPr>
      <w:r w:rsidRPr="00D56D59">
        <w:rPr>
          <w:bCs/>
          <w:sz w:val="22"/>
          <w:szCs w:val="22"/>
        </w:rPr>
        <w:t xml:space="preserve">The tool chosen for this component was an interview with Planning </w:t>
      </w:r>
      <w:r w:rsidR="00833DB8">
        <w:rPr>
          <w:bCs/>
          <w:sz w:val="22"/>
          <w:szCs w:val="22"/>
        </w:rPr>
        <w:t xml:space="preserve">Focal Points (PFP) </w:t>
      </w:r>
      <w:r w:rsidR="00C93705">
        <w:rPr>
          <w:bCs/>
          <w:sz w:val="22"/>
          <w:szCs w:val="22"/>
        </w:rPr>
        <w:t xml:space="preserve">aimed to assess </w:t>
      </w:r>
      <w:r w:rsidRPr="00D56D59">
        <w:rPr>
          <w:sz w:val="22"/>
          <w:szCs w:val="22"/>
        </w:rPr>
        <w:t>the extent to whi</w:t>
      </w:r>
      <w:r w:rsidR="00010DAB">
        <w:rPr>
          <w:sz w:val="22"/>
          <w:szCs w:val="22"/>
        </w:rPr>
        <w:t xml:space="preserve">ch the </w:t>
      </w:r>
      <w:r w:rsidRPr="00D56D59">
        <w:rPr>
          <w:sz w:val="22"/>
          <w:szCs w:val="22"/>
        </w:rPr>
        <w:t>programm</w:t>
      </w:r>
      <w:r w:rsidR="00010DAB">
        <w:rPr>
          <w:sz w:val="22"/>
          <w:szCs w:val="22"/>
        </w:rPr>
        <w:t>ing</w:t>
      </w:r>
      <w:r w:rsidRPr="00D56D59">
        <w:rPr>
          <w:sz w:val="22"/>
          <w:szCs w:val="22"/>
        </w:rPr>
        <w:t xml:space="preserve"> cycle processe</w:t>
      </w:r>
      <w:r w:rsidR="00383369">
        <w:rPr>
          <w:sz w:val="22"/>
          <w:szCs w:val="22"/>
        </w:rPr>
        <w:t>s facilitate gender integration</w:t>
      </w:r>
      <w:r w:rsidR="00C93705">
        <w:rPr>
          <w:sz w:val="22"/>
          <w:szCs w:val="22"/>
        </w:rPr>
        <w:t>,</w:t>
      </w:r>
      <w:r w:rsidR="003A28DD">
        <w:rPr>
          <w:sz w:val="22"/>
          <w:szCs w:val="22"/>
        </w:rPr>
        <w:t xml:space="preserve"> </w:t>
      </w:r>
      <w:r w:rsidRPr="00D56D59">
        <w:rPr>
          <w:sz w:val="22"/>
          <w:szCs w:val="22"/>
        </w:rPr>
        <w:t xml:space="preserve">and </w:t>
      </w:r>
      <w:r w:rsidR="00C93705">
        <w:rPr>
          <w:sz w:val="22"/>
          <w:szCs w:val="22"/>
        </w:rPr>
        <w:t xml:space="preserve">the institution supports this integration. </w:t>
      </w:r>
      <w:r w:rsidRPr="00D56D59">
        <w:rPr>
          <w:iCs/>
          <w:sz w:val="22"/>
          <w:szCs w:val="22"/>
        </w:rPr>
        <w:t xml:space="preserve">While other tools in this baseline assessment </w:t>
      </w:r>
      <w:r>
        <w:rPr>
          <w:iCs/>
          <w:sz w:val="22"/>
          <w:szCs w:val="22"/>
        </w:rPr>
        <w:t>were</w:t>
      </w:r>
      <w:r w:rsidRPr="00D56D59">
        <w:rPr>
          <w:iCs/>
          <w:sz w:val="22"/>
          <w:szCs w:val="22"/>
        </w:rPr>
        <w:t xml:space="preserve"> intended to measure gender integration in products, this tool examine</w:t>
      </w:r>
      <w:r w:rsidR="00383369">
        <w:rPr>
          <w:iCs/>
          <w:sz w:val="22"/>
          <w:szCs w:val="22"/>
        </w:rPr>
        <w:t>d</w:t>
      </w:r>
      <w:r w:rsidRPr="00D56D59">
        <w:rPr>
          <w:iCs/>
          <w:sz w:val="22"/>
          <w:szCs w:val="22"/>
        </w:rPr>
        <w:t xml:space="preserve"> the </w:t>
      </w:r>
      <w:r w:rsidRPr="00010DAB">
        <w:rPr>
          <w:i/>
          <w:iCs/>
          <w:sz w:val="22"/>
          <w:szCs w:val="22"/>
        </w:rPr>
        <w:t>processes</w:t>
      </w:r>
      <w:r w:rsidRPr="00D56D59">
        <w:rPr>
          <w:iCs/>
          <w:sz w:val="22"/>
          <w:szCs w:val="22"/>
        </w:rPr>
        <w:t xml:space="preserve"> in which these</w:t>
      </w:r>
      <w:r w:rsidRPr="00777306">
        <w:rPr>
          <w:iCs/>
          <w:sz w:val="22"/>
        </w:rPr>
        <w:t xml:space="preserve"> products </w:t>
      </w:r>
      <w:r>
        <w:rPr>
          <w:iCs/>
          <w:sz w:val="22"/>
        </w:rPr>
        <w:t>were</w:t>
      </w:r>
      <w:r w:rsidRPr="00777306">
        <w:rPr>
          <w:iCs/>
          <w:sz w:val="22"/>
        </w:rPr>
        <w:t xml:space="preserve"> developed.  </w:t>
      </w:r>
      <w:r w:rsidR="00383369">
        <w:rPr>
          <w:iCs/>
          <w:sz w:val="22"/>
        </w:rPr>
        <w:t xml:space="preserve">The selected indicators and their corresponding values are presented in the following </w:t>
      </w:r>
      <w:r w:rsidR="00C93705">
        <w:rPr>
          <w:iCs/>
          <w:sz w:val="22"/>
        </w:rPr>
        <w:t xml:space="preserve">chart. </w:t>
      </w:r>
    </w:p>
    <w:p w:rsidR="00D71FEA" w:rsidRDefault="00D71FEA" w:rsidP="00C93705">
      <w:pPr>
        <w:pStyle w:val="ListParagraph"/>
        <w:ind w:left="0"/>
        <w:rPr>
          <w:sz w:val="22"/>
        </w:rPr>
      </w:pPr>
    </w:p>
    <w:p w:rsidR="00D71FEA" w:rsidRDefault="00D71FEA" w:rsidP="00D71FEA">
      <w:pPr>
        <w:ind w:right="-180"/>
        <w:jc w:val="center"/>
        <w:rPr>
          <w:iCs/>
          <w:sz w:val="8"/>
        </w:rPr>
      </w:pPr>
    </w:p>
    <w:p w:rsidR="003A28DD" w:rsidRPr="00D62772" w:rsidRDefault="003A28DD" w:rsidP="00D71FEA">
      <w:pPr>
        <w:ind w:right="-180"/>
        <w:jc w:val="center"/>
        <w:rPr>
          <w:rFonts w:cs="Arial"/>
          <w:sz w:val="22"/>
        </w:rPr>
      </w:pPr>
      <w:r w:rsidRPr="00D62772">
        <w:rPr>
          <w:rFonts w:cs="Arial"/>
          <w:b/>
          <w:sz w:val="22"/>
        </w:rPr>
        <w:t>Level of Gender Integration in</w:t>
      </w:r>
      <w:r w:rsidR="00D71FEA">
        <w:rPr>
          <w:rFonts w:cs="Arial"/>
          <w:b/>
          <w:sz w:val="22"/>
        </w:rPr>
        <w:t>to</w:t>
      </w:r>
      <w:r w:rsidRPr="00D62772">
        <w:rPr>
          <w:rFonts w:cs="Arial"/>
          <w:b/>
          <w:sz w:val="22"/>
        </w:rPr>
        <w:t xml:space="preserve"> the PAHO Operational Programming</w:t>
      </w:r>
      <w:r w:rsidR="006B0FAA" w:rsidRPr="00D62772">
        <w:rPr>
          <w:rFonts w:cs="Arial"/>
          <w:b/>
          <w:sz w:val="22"/>
        </w:rPr>
        <w:t xml:space="preserve"> </w:t>
      </w:r>
      <w:r w:rsidRPr="00D62772">
        <w:rPr>
          <w:rFonts w:cs="Arial"/>
          <w:b/>
          <w:sz w:val="22"/>
        </w:rPr>
        <w:t>Cycle</w:t>
      </w:r>
      <w:r w:rsidR="00D71FEA">
        <w:rPr>
          <w:rFonts w:cs="Arial"/>
          <w:b/>
          <w:sz w:val="22"/>
        </w:rPr>
        <w:t>.</w:t>
      </w:r>
      <w:r w:rsidRPr="00D62772">
        <w:rPr>
          <w:rFonts w:cs="Arial"/>
          <w:sz w:val="22"/>
        </w:rPr>
        <w:t xml:space="preserve">  </w:t>
      </w:r>
      <w:r w:rsidR="00723142" w:rsidRPr="00D62772">
        <w:rPr>
          <w:rFonts w:cs="Arial"/>
          <w:sz w:val="22"/>
        </w:rPr>
        <w:t xml:space="preserve">    </w:t>
      </w:r>
      <w:r w:rsidR="00446BA2" w:rsidRPr="00D62772">
        <w:rPr>
          <w:rFonts w:cs="Arial"/>
          <w:sz w:val="22"/>
        </w:rPr>
        <w:t xml:space="preserve">      </w:t>
      </w:r>
      <w:r w:rsidRPr="00D62772">
        <w:rPr>
          <w:rFonts w:cs="Arial"/>
          <w:b/>
          <w:sz w:val="22"/>
        </w:rPr>
        <w:t xml:space="preserve">Summary of </w:t>
      </w:r>
      <w:r w:rsidR="006B0FAA" w:rsidRPr="00D62772">
        <w:rPr>
          <w:rFonts w:cs="Arial"/>
          <w:b/>
          <w:sz w:val="22"/>
        </w:rPr>
        <w:t>Selected</w:t>
      </w:r>
      <w:r w:rsidRPr="00D62772">
        <w:rPr>
          <w:rFonts w:cs="Arial"/>
          <w:b/>
          <w:sz w:val="22"/>
        </w:rPr>
        <w:t xml:space="preserve"> Indicators</w:t>
      </w:r>
    </w:p>
    <w:p w:rsidR="006B0FAA" w:rsidRPr="00C93705" w:rsidRDefault="006B0FAA" w:rsidP="006B0FAA">
      <w:pPr>
        <w:pStyle w:val="ListParagraph"/>
        <w:ind w:left="1152" w:right="-180"/>
        <w:rPr>
          <w:rFonts w:cs="Arial"/>
          <w:b/>
          <w:sz w:val="16"/>
        </w:rPr>
      </w:pPr>
    </w:p>
    <w:tbl>
      <w:tblPr>
        <w:tblW w:w="0" w:type="auto"/>
        <w:tblInd w:w="498" w:type="dxa"/>
        <w:tblBorders>
          <w:top w:val="single" w:sz="4" w:space="0" w:color="auto"/>
          <w:left w:val="single" w:sz="4" w:space="0" w:color="auto"/>
          <w:bottom w:val="single" w:sz="4" w:space="0" w:color="auto"/>
          <w:right w:val="single" w:sz="4" w:space="0" w:color="auto"/>
        </w:tblBorders>
        <w:shd w:val="clear" w:color="auto" w:fill="DBE5F1"/>
        <w:tblLook w:val="04A0"/>
      </w:tblPr>
      <w:tblGrid>
        <w:gridCol w:w="3060"/>
        <w:gridCol w:w="1620"/>
        <w:gridCol w:w="1890"/>
        <w:gridCol w:w="1800"/>
      </w:tblGrid>
      <w:tr w:rsidR="003A28DD" w:rsidTr="00D71FEA">
        <w:tc>
          <w:tcPr>
            <w:tcW w:w="8370" w:type="dxa"/>
            <w:gridSpan w:val="4"/>
            <w:shd w:val="clear" w:color="auto" w:fill="DBE5F1"/>
          </w:tcPr>
          <w:p w:rsidR="0023487A" w:rsidRDefault="0023487A" w:rsidP="006B0FAA">
            <w:pPr>
              <w:pStyle w:val="ListParagraph"/>
              <w:ind w:left="0" w:right="-180"/>
              <w:rPr>
                <w:rFonts w:cs="Arial"/>
                <w:b/>
                <w:sz w:val="8"/>
                <w:szCs w:val="20"/>
              </w:rPr>
            </w:pPr>
          </w:p>
          <w:p w:rsidR="0023487A" w:rsidRDefault="00D62772" w:rsidP="0023487A">
            <w:pPr>
              <w:pStyle w:val="ListParagraph"/>
              <w:ind w:left="0" w:right="-180"/>
              <w:rPr>
                <w:szCs w:val="20"/>
              </w:rPr>
            </w:pPr>
            <w:r>
              <w:rPr>
                <w:szCs w:val="20"/>
              </w:rPr>
              <w:t xml:space="preserve">Percentage </w:t>
            </w:r>
            <w:r w:rsidR="003A28DD">
              <w:rPr>
                <w:szCs w:val="20"/>
              </w:rPr>
              <w:t xml:space="preserve">of </w:t>
            </w:r>
            <w:r w:rsidR="00DC034A" w:rsidRPr="003A28DD">
              <w:rPr>
                <w:szCs w:val="20"/>
              </w:rPr>
              <w:t xml:space="preserve">Planning Focal Points </w:t>
            </w:r>
            <w:r w:rsidR="00DC034A">
              <w:rPr>
                <w:szCs w:val="20"/>
              </w:rPr>
              <w:t xml:space="preserve">(PFP) </w:t>
            </w:r>
            <w:r w:rsidR="003A28DD" w:rsidRPr="003A28DD">
              <w:rPr>
                <w:szCs w:val="20"/>
              </w:rPr>
              <w:t>whose responses reflected</w:t>
            </w:r>
            <w:r w:rsidR="0023487A">
              <w:rPr>
                <w:szCs w:val="20"/>
              </w:rPr>
              <w:t xml:space="preserve"> </w:t>
            </w:r>
            <w:r w:rsidR="0023487A" w:rsidRPr="0023487A">
              <w:rPr>
                <w:b/>
                <w:szCs w:val="20"/>
              </w:rPr>
              <w:t>STRONG</w:t>
            </w:r>
            <w:r w:rsidR="003A28DD" w:rsidRPr="0023487A">
              <w:rPr>
                <w:szCs w:val="20"/>
              </w:rPr>
              <w:t xml:space="preserve"> gender integration</w:t>
            </w:r>
            <w:r>
              <w:rPr>
                <w:szCs w:val="20"/>
              </w:rPr>
              <w:t xml:space="preserve"> during the recent </w:t>
            </w:r>
            <w:r w:rsidR="00D71FEA">
              <w:rPr>
                <w:szCs w:val="20"/>
              </w:rPr>
              <w:t xml:space="preserve">programming </w:t>
            </w:r>
            <w:r>
              <w:rPr>
                <w:szCs w:val="20"/>
              </w:rPr>
              <w:t xml:space="preserve">processes of: </w:t>
            </w:r>
            <w:r w:rsidR="003A28DD" w:rsidRPr="003A28DD">
              <w:rPr>
                <w:szCs w:val="20"/>
              </w:rPr>
              <w:t xml:space="preserve"> </w:t>
            </w:r>
          </w:p>
          <w:p w:rsidR="003A28DD" w:rsidRPr="003A28DD" w:rsidRDefault="0023487A" w:rsidP="0023487A">
            <w:pPr>
              <w:pStyle w:val="ListParagraph"/>
              <w:ind w:left="0" w:right="-180"/>
              <w:rPr>
                <w:rFonts w:ascii="Calibri" w:hAnsi="Calibri"/>
                <w:i/>
                <w:szCs w:val="20"/>
                <w:lang w:val="en-US"/>
              </w:rPr>
            </w:pPr>
            <w:r>
              <w:rPr>
                <w:szCs w:val="20"/>
              </w:rPr>
              <w:t xml:space="preserve">  </w:t>
            </w:r>
          </w:p>
        </w:tc>
      </w:tr>
      <w:tr w:rsidR="006B0FAA" w:rsidTr="00D71FEA">
        <w:tc>
          <w:tcPr>
            <w:tcW w:w="8370" w:type="dxa"/>
            <w:gridSpan w:val="4"/>
            <w:shd w:val="clear" w:color="auto" w:fill="DAEEF3"/>
          </w:tcPr>
          <w:p w:rsidR="006B0FAA" w:rsidRPr="00D62772" w:rsidRDefault="006B0FAA" w:rsidP="006B0FAA">
            <w:pPr>
              <w:pStyle w:val="ListParagraph"/>
              <w:ind w:left="0" w:right="-180"/>
              <w:rPr>
                <w:rFonts w:ascii="Calibri" w:hAnsi="Calibri"/>
                <w:szCs w:val="20"/>
                <w:lang w:val="en-US"/>
              </w:rPr>
            </w:pPr>
            <w:r>
              <w:rPr>
                <w:rFonts w:ascii="Calibri" w:hAnsi="Calibri"/>
                <w:i/>
                <w:szCs w:val="20"/>
                <w:lang w:val="en-US"/>
              </w:rPr>
              <w:t xml:space="preserve">                                                                           </w:t>
            </w:r>
            <w:r w:rsidRPr="00D62772">
              <w:rPr>
                <w:rFonts w:ascii="Calibri" w:hAnsi="Calibri"/>
                <w:szCs w:val="20"/>
                <w:lang w:val="en-US"/>
              </w:rPr>
              <w:t>Operational                   Program</w:t>
            </w:r>
            <w:r w:rsidR="00D62772">
              <w:rPr>
                <w:rFonts w:ascii="Calibri" w:hAnsi="Calibri"/>
                <w:szCs w:val="20"/>
                <w:lang w:val="en-US"/>
              </w:rPr>
              <w:t xml:space="preserve">                         </w:t>
            </w:r>
            <w:r w:rsidRPr="00D62772">
              <w:rPr>
                <w:rFonts w:ascii="Calibri" w:hAnsi="Calibri"/>
                <w:szCs w:val="20"/>
                <w:lang w:val="en-US"/>
              </w:rPr>
              <w:t xml:space="preserve">Program </w:t>
            </w:r>
          </w:p>
          <w:p w:rsidR="00D62772" w:rsidRPr="00D62772" w:rsidRDefault="006B0FAA" w:rsidP="006B0FAA">
            <w:pPr>
              <w:pStyle w:val="ListParagraph"/>
              <w:ind w:left="0" w:right="-180"/>
              <w:rPr>
                <w:rFonts w:ascii="Calibri" w:hAnsi="Calibri"/>
                <w:szCs w:val="20"/>
                <w:lang w:val="en-US"/>
              </w:rPr>
            </w:pPr>
            <w:r w:rsidRPr="00D62772">
              <w:rPr>
                <w:rFonts w:ascii="Calibri" w:hAnsi="Calibri"/>
                <w:szCs w:val="20"/>
                <w:lang w:val="en-US"/>
              </w:rPr>
              <w:t xml:space="preserve">                                                                 </w:t>
            </w:r>
            <w:r w:rsidR="00A60938" w:rsidRPr="00D62772">
              <w:rPr>
                <w:rFonts w:ascii="Calibri" w:hAnsi="Calibri"/>
                <w:szCs w:val="20"/>
                <w:lang w:val="en-US"/>
              </w:rPr>
              <w:t xml:space="preserve">           </w:t>
            </w:r>
            <w:r w:rsidRPr="00D62772">
              <w:rPr>
                <w:rFonts w:ascii="Calibri" w:hAnsi="Calibri"/>
                <w:szCs w:val="20"/>
                <w:lang w:val="en-US"/>
              </w:rPr>
              <w:t xml:space="preserve"> Planning                Implementation                Monitoring</w:t>
            </w:r>
          </w:p>
          <w:p w:rsidR="006B0FAA" w:rsidRPr="003A28DD" w:rsidRDefault="006B0FAA" w:rsidP="00D62772">
            <w:pPr>
              <w:pStyle w:val="ListParagraph"/>
              <w:ind w:left="0" w:right="-180"/>
              <w:rPr>
                <w:rFonts w:cs="Arial"/>
                <w:b/>
                <w:szCs w:val="20"/>
              </w:rPr>
            </w:pPr>
            <w:r w:rsidRPr="003A28DD">
              <w:rPr>
                <w:rFonts w:ascii="Calibri" w:hAnsi="Calibri"/>
                <w:i/>
                <w:szCs w:val="20"/>
                <w:lang w:val="en-US"/>
              </w:rPr>
              <w:t xml:space="preserve">        </w:t>
            </w:r>
            <w:r w:rsidR="00D62772">
              <w:rPr>
                <w:rFonts w:ascii="Calibri" w:hAnsi="Calibri"/>
                <w:i/>
                <w:szCs w:val="20"/>
                <w:lang w:val="en-US"/>
              </w:rPr>
              <w:t xml:space="preserve">                                                                   </w:t>
            </w:r>
            <w:r w:rsidR="00D62772">
              <w:rPr>
                <w:rFonts w:ascii="Calibri" w:hAnsi="Calibri"/>
                <w:szCs w:val="20"/>
                <w:lang w:val="en-US"/>
              </w:rPr>
              <w:t>(</w:t>
            </w:r>
            <w:r w:rsidR="00D62772" w:rsidRPr="00D62772">
              <w:rPr>
                <w:rFonts w:ascii="Calibri" w:hAnsi="Calibri"/>
                <w:szCs w:val="20"/>
                <w:lang w:val="en-US"/>
              </w:rPr>
              <w:t>2008-2012</w:t>
            </w:r>
            <w:r w:rsidR="00D62772">
              <w:rPr>
                <w:rFonts w:ascii="Calibri" w:hAnsi="Calibri"/>
                <w:szCs w:val="20"/>
                <w:lang w:val="en-US"/>
              </w:rPr>
              <w:t>)</w:t>
            </w:r>
            <w:r w:rsidR="00D62772">
              <w:rPr>
                <w:rFonts w:ascii="Calibri" w:hAnsi="Calibri"/>
                <w:i/>
                <w:szCs w:val="20"/>
                <w:lang w:val="en-US"/>
              </w:rPr>
              <w:t xml:space="preserve">                </w:t>
            </w:r>
            <w:r w:rsidR="00D62772">
              <w:rPr>
                <w:rFonts w:ascii="Calibri" w:hAnsi="Calibri"/>
                <w:szCs w:val="20"/>
                <w:lang w:val="en-US"/>
              </w:rPr>
              <w:t>(</w:t>
            </w:r>
            <w:r w:rsidR="00D62772" w:rsidRPr="00D62772">
              <w:rPr>
                <w:rFonts w:ascii="Calibri" w:hAnsi="Calibri"/>
                <w:szCs w:val="20"/>
                <w:lang w:val="en-US"/>
              </w:rPr>
              <w:t>2006-2007</w:t>
            </w:r>
            <w:r w:rsidR="00D62772">
              <w:rPr>
                <w:rFonts w:ascii="Calibri" w:hAnsi="Calibri"/>
                <w:szCs w:val="20"/>
                <w:lang w:val="en-US"/>
              </w:rPr>
              <w:t>)                  (</w:t>
            </w:r>
            <w:r w:rsidR="00D62772" w:rsidRPr="00D62772">
              <w:rPr>
                <w:rFonts w:ascii="Calibri" w:hAnsi="Calibri"/>
                <w:szCs w:val="20"/>
                <w:lang w:val="en-US"/>
              </w:rPr>
              <w:t>2006-2007</w:t>
            </w:r>
            <w:r w:rsidR="00D62772">
              <w:rPr>
                <w:rFonts w:ascii="Calibri" w:hAnsi="Calibri"/>
                <w:szCs w:val="20"/>
                <w:lang w:val="en-US"/>
              </w:rPr>
              <w:t>)</w:t>
            </w:r>
          </w:p>
        </w:tc>
      </w:tr>
      <w:tr w:rsidR="003A28DD" w:rsidTr="00D71FEA">
        <w:tc>
          <w:tcPr>
            <w:tcW w:w="3060" w:type="dxa"/>
            <w:shd w:val="clear" w:color="auto" w:fill="EEECE1"/>
            <w:hideMark/>
          </w:tcPr>
          <w:p w:rsidR="003A28DD" w:rsidRPr="003A28DD" w:rsidRDefault="00D71FEA" w:rsidP="00DC034A">
            <w:pPr>
              <w:pStyle w:val="ListParagraph"/>
              <w:ind w:left="0" w:right="-180"/>
              <w:rPr>
                <w:rFonts w:ascii="Calibri" w:hAnsi="Calibri" w:cs="Arial"/>
                <w:b/>
                <w:szCs w:val="20"/>
              </w:rPr>
            </w:pPr>
            <w:r>
              <w:rPr>
                <w:rFonts w:ascii="Calibri" w:hAnsi="Calibri"/>
                <w:b/>
                <w:szCs w:val="20"/>
                <w:lang w:val="en-US"/>
              </w:rPr>
              <w:t xml:space="preserve"> </w:t>
            </w:r>
            <w:r w:rsidR="00723142">
              <w:rPr>
                <w:rFonts w:ascii="Calibri" w:hAnsi="Calibri"/>
                <w:b/>
                <w:szCs w:val="20"/>
                <w:lang w:val="en-US"/>
              </w:rPr>
              <w:t xml:space="preserve">  </w:t>
            </w:r>
            <w:r w:rsidR="003A28DD" w:rsidRPr="003A28DD">
              <w:rPr>
                <w:rFonts w:ascii="Calibri" w:hAnsi="Calibri"/>
                <w:b/>
                <w:szCs w:val="20"/>
                <w:lang w:val="en-US"/>
              </w:rPr>
              <w:t xml:space="preserve">PAHO </w:t>
            </w:r>
            <w:r w:rsidR="00DC034A">
              <w:rPr>
                <w:rFonts w:ascii="Calibri" w:hAnsi="Calibri"/>
                <w:b/>
                <w:szCs w:val="20"/>
                <w:lang w:val="en-US"/>
              </w:rPr>
              <w:t xml:space="preserve">PFP </w:t>
            </w:r>
            <w:r w:rsidR="003A28DD" w:rsidRPr="003A28DD">
              <w:rPr>
                <w:rFonts w:ascii="Calibri" w:hAnsi="Calibri"/>
                <w:b/>
                <w:szCs w:val="20"/>
                <w:lang w:val="en-US"/>
              </w:rPr>
              <w:t xml:space="preserve">sample                 </w:t>
            </w:r>
          </w:p>
        </w:tc>
        <w:tc>
          <w:tcPr>
            <w:tcW w:w="1620" w:type="dxa"/>
            <w:shd w:val="clear" w:color="auto" w:fill="EEECE1"/>
            <w:hideMark/>
          </w:tcPr>
          <w:p w:rsidR="003A28DD" w:rsidRPr="003A28DD" w:rsidRDefault="003A28DD">
            <w:pPr>
              <w:pStyle w:val="ListParagraph"/>
              <w:ind w:left="0" w:right="-180"/>
              <w:jc w:val="center"/>
              <w:rPr>
                <w:rFonts w:ascii="Calibri" w:hAnsi="Calibri" w:cs="Arial"/>
                <w:b/>
                <w:szCs w:val="20"/>
              </w:rPr>
            </w:pPr>
            <w:r w:rsidRPr="003A28DD">
              <w:rPr>
                <w:rFonts w:ascii="Calibri" w:hAnsi="Calibri"/>
                <w:b/>
                <w:szCs w:val="20"/>
                <w:lang w:val="en-US"/>
              </w:rPr>
              <w:t>38.9</w:t>
            </w:r>
          </w:p>
        </w:tc>
        <w:tc>
          <w:tcPr>
            <w:tcW w:w="1890" w:type="dxa"/>
            <w:shd w:val="clear" w:color="auto" w:fill="EEECE1"/>
            <w:hideMark/>
          </w:tcPr>
          <w:p w:rsidR="003A28DD" w:rsidRPr="003A28DD" w:rsidRDefault="003A28DD">
            <w:pPr>
              <w:pStyle w:val="ListParagraph"/>
              <w:ind w:left="0" w:right="-180"/>
              <w:jc w:val="center"/>
              <w:rPr>
                <w:rFonts w:ascii="Calibri" w:hAnsi="Calibri" w:cs="Arial"/>
                <w:b/>
                <w:szCs w:val="20"/>
              </w:rPr>
            </w:pPr>
            <w:r w:rsidRPr="003A28DD">
              <w:rPr>
                <w:rFonts w:ascii="Calibri" w:hAnsi="Calibri"/>
                <w:b/>
                <w:szCs w:val="20"/>
                <w:lang w:val="en-US"/>
              </w:rPr>
              <w:t>0.0</w:t>
            </w:r>
          </w:p>
        </w:tc>
        <w:tc>
          <w:tcPr>
            <w:tcW w:w="1800" w:type="dxa"/>
            <w:shd w:val="clear" w:color="auto" w:fill="EEECE1"/>
            <w:hideMark/>
          </w:tcPr>
          <w:p w:rsidR="003A28DD" w:rsidRPr="003A28DD" w:rsidRDefault="003A28DD">
            <w:pPr>
              <w:pStyle w:val="ListParagraph"/>
              <w:ind w:left="0" w:right="-180"/>
              <w:jc w:val="center"/>
              <w:rPr>
                <w:rFonts w:ascii="Calibri" w:hAnsi="Calibri" w:cs="Arial"/>
                <w:b/>
                <w:szCs w:val="20"/>
              </w:rPr>
            </w:pPr>
            <w:r w:rsidRPr="003A28DD">
              <w:rPr>
                <w:rFonts w:ascii="Calibri" w:hAnsi="Calibri"/>
                <w:b/>
                <w:szCs w:val="20"/>
                <w:lang w:val="en-US"/>
              </w:rPr>
              <w:t>0.0</w:t>
            </w:r>
          </w:p>
        </w:tc>
      </w:tr>
      <w:tr w:rsidR="003A28DD" w:rsidTr="00D71FEA">
        <w:tc>
          <w:tcPr>
            <w:tcW w:w="3060" w:type="dxa"/>
            <w:shd w:val="clear" w:color="auto" w:fill="EEECE1"/>
            <w:hideMark/>
          </w:tcPr>
          <w:p w:rsidR="003A28DD" w:rsidRPr="003A28DD" w:rsidRDefault="00723142" w:rsidP="00D71FEA">
            <w:pPr>
              <w:pStyle w:val="ListParagraph"/>
              <w:ind w:left="0" w:right="-180"/>
              <w:rPr>
                <w:rFonts w:ascii="Calibri" w:hAnsi="Calibri"/>
                <w:szCs w:val="20"/>
                <w:lang w:val="en-US"/>
              </w:rPr>
            </w:pPr>
            <w:r>
              <w:rPr>
                <w:rFonts w:ascii="Calibri" w:hAnsi="Calibri"/>
                <w:szCs w:val="20"/>
                <w:lang w:val="en-US"/>
              </w:rPr>
              <w:t xml:space="preserve">      </w:t>
            </w:r>
            <w:r w:rsidR="00D71FEA">
              <w:rPr>
                <w:rFonts w:ascii="Calibri" w:hAnsi="Calibri"/>
                <w:szCs w:val="20"/>
                <w:lang w:val="en-US"/>
              </w:rPr>
              <w:t xml:space="preserve"> </w:t>
            </w:r>
            <w:r w:rsidR="003A28DD" w:rsidRPr="003A28DD">
              <w:rPr>
                <w:rFonts w:ascii="Calibri" w:hAnsi="Calibri"/>
                <w:szCs w:val="20"/>
                <w:lang w:val="en-US"/>
              </w:rPr>
              <w:t>By sex</w:t>
            </w:r>
          </w:p>
        </w:tc>
        <w:tc>
          <w:tcPr>
            <w:tcW w:w="1620" w:type="dxa"/>
            <w:shd w:val="clear" w:color="auto" w:fill="EEECE1"/>
          </w:tcPr>
          <w:p w:rsidR="003A28DD" w:rsidRPr="003A28DD" w:rsidRDefault="003A28DD">
            <w:pPr>
              <w:pStyle w:val="ListParagraph"/>
              <w:ind w:left="0" w:right="-180"/>
              <w:jc w:val="center"/>
              <w:rPr>
                <w:rFonts w:ascii="Calibri" w:hAnsi="Calibri"/>
                <w:szCs w:val="20"/>
                <w:lang w:val="en-US"/>
              </w:rPr>
            </w:pPr>
          </w:p>
        </w:tc>
        <w:tc>
          <w:tcPr>
            <w:tcW w:w="1890" w:type="dxa"/>
            <w:shd w:val="clear" w:color="auto" w:fill="EEECE1"/>
          </w:tcPr>
          <w:p w:rsidR="003A28DD" w:rsidRPr="003A28DD" w:rsidRDefault="003A28DD">
            <w:pPr>
              <w:pStyle w:val="ListParagraph"/>
              <w:ind w:left="0" w:right="-180"/>
              <w:jc w:val="center"/>
              <w:rPr>
                <w:rFonts w:ascii="Calibri" w:hAnsi="Calibri"/>
                <w:szCs w:val="20"/>
                <w:lang w:val="en-US"/>
              </w:rPr>
            </w:pPr>
          </w:p>
        </w:tc>
        <w:tc>
          <w:tcPr>
            <w:tcW w:w="1800" w:type="dxa"/>
            <w:shd w:val="clear" w:color="auto" w:fill="EEECE1"/>
          </w:tcPr>
          <w:p w:rsidR="003A28DD" w:rsidRPr="003A28DD" w:rsidRDefault="003A28DD">
            <w:pPr>
              <w:pStyle w:val="ListParagraph"/>
              <w:ind w:left="0" w:right="-180"/>
              <w:jc w:val="center"/>
              <w:rPr>
                <w:rFonts w:ascii="Calibri" w:hAnsi="Calibri"/>
                <w:szCs w:val="20"/>
                <w:lang w:val="en-US"/>
              </w:rPr>
            </w:pPr>
          </w:p>
        </w:tc>
      </w:tr>
      <w:tr w:rsidR="003A28DD" w:rsidTr="00D71FEA">
        <w:tc>
          <w:tcPr>
            <w:tcW w:w="3060" w:type="dxa"/>
            <w:shd w:val="clear" w:color="auto" w:fill="EEECE1"/>
            <w:hideMark/>
          </w:tcPr>
          <w:p w:rsidR="003A28DD" w:rsidRPr="003A28DD" w:rsidRDefault="003A28DD">
            <w:pPr>
              <w:pStyle w:val="ListParagraph"/>
              <w:ind w:left="0" w:right="-180"/>
              <w:rPr>
                <w:rFonts w:ascii="Calibri" w:hAnsi="Calibri" w:cs="Arial"/>
                <w:b/>
                <w:szCs w:val="20"/>
              </w:rPr>
            </w:pPr>
            <w:r w:rsidRPr="003A28DD">
              <w:rPr>
                <w:rFonts w:ascii="Calibri" w:hAnsi="Calibri"/>
                <w:szCs w:val="20"/>
                <w:lang w:val="en-US"/>
              </w:rPr>
              <w:t xml:space="preserve">  </w:t>
            </w:r>
            <w:r w:rsidR="00723142">
              <w:rPr>
                <w:rFonts w:ascii="Calibri" w:hAnsi="Calibri"/>
                <w:szCs w:val="20"/>
                <w:lang w:val="en-US"/>
              </w:rPr>
              <w:t xml:space="preserve">         </w:t>
            </w:r>
            <w:r w:rsidRPr="003A28DD">
              <w:rPr>
                <w:rFonts w:ascii="Calibri" w:hAnsi="Calibri"/>
                <w:szCs w:val="20"/>
                <w:lang w:val="en-US"/>
              </w:rPr>
              <w:t xml:space="preserve">     Female Staff                                 </w:t>
            </w:r>
          </w:p>
        </w:tc>
        <w:tc>
          <w:tcPr>
            <w:tcW w:w="1620" w:type="dxa"/>
            <w:shd w:val="clear" w:color="auto" w:fill="EEECE1"/>
            <w:hideMark/>
          </w:tcPr>
          <w:p w:rsidR="003A28DD" w:rsidRPr="003A28DD" w:rsidRDefault="003A28DD">
            <w:pPr>
              <w:pStyle w:val="ListParagraph"/>
              <w:ind w:left="0" w:right="-180"/>
              <w:jc w:val="center"/>
              <w:rPr>
                <w:rFonts w:ascii="Calibri" w:hAnsi="Calibri" w:cs="Arial"/>
                <w:szCs w:val="20"/>
              </w:rPr>
            </w:pPr>
            <w:r w:rsidRPr="003A28DD">
              <w:rPr>
                <w:rFonts w:ascii="Calibri" w:hAnsi="Calibri"/>
                <w:szCs w:val="20"/>
                <w:lang w:val="en-US"/>
              </w:rPr>
              <w:t>40.0</w:t>
            </w:r>
          </w:p>
        </w:tc>
        <w:tc>
          <w:tcPr>
            <w:tcW w:w="1890" w:type="dxa"/>
            <w:shd w:val="clear" w:color="auto" w:fill="EEECE1"/>
            <w:hideMark/>
          </w:tcPr>
          <w:p w:rsidR="003A28DD" w:rsidRPr="003A28DD" w:rsidRDefault="003A28DD">
            <w:pPr>
              <w:pStyle w:val="ListParagraph"/>
              <w:ind w:left="0" w:right="-180"/>
              <w:jc w:val="center"/>
              <w:rPr>
                <w:rFonts w:ascii="Calibri" w:hAnsi="Calibri" w:cs="Arial"/>
                <w:b/>
                <w:szCs w:val="20"/>
              </w:rPr>
            </w:pPr>
            <w:r w:rsidRPr="003A28DD">
              <w:rPr>
                <w:rFonts w:ascii="Calibri" w:hAnsi="Calibri"/>
                <w:szCs w:val="20"/>
                <w:lang w:val="en-US"/>
              </w:rPr>
              <w:t>0.0</w:t>
            </w:r>
          </w:p>
        </w:tc>
        <w:tc>
          <w:tcPr>
            <w:tcW w:w="1800" w:type="dxa"/>
            <w:shd w:val="clear" w:color="auto" w:fill="EEECE1"/>
            <w:hideMark/>
          </w:tcPr>
          <w:p w:rsidR="003A28DD" w:rsidRPr="003A28DD" w:rsidRDefault="003A28DD">
            <w:pPr>
              <w:pStyle w:val="ListParagraph"/>
              <w:ind w:left="0" w:right="-180"/>
              <w:jc w:val="center"/>
              <w:rPr>
                <w:rFonts w:ascii="Calibri" w:hAnsi="Calibri" w:cs="Arial"/>
                <w:b/>
                <w:szCs w:val="20"/>
              </w:rPr>
            </w:pPr>
            <w:r w:rsidRPr="003A28DD">
              <w:rPr>
                <w:rFonts w:ascii="Calibri" w:hAnsi="Calibri"/>
                <w:szCs w:val="20"/>
                <w:lang w:val="en-US"/>
              </w:rPr>
              <w:t>0.0</w:t>
            </w:r>
          </w:p>
        </w:tc>
      </w:tr>
      <w:tr w:rsidR="003A28DD" w:rsidTr="00D71FEA">
        <w:tc>
          <w:tcPr>
            <w:tcW w:w="3060" w:type="dxa"/>
            <w:shd w:val="clear" w:color="auto" w:fill="EEECE1"/>
            <w:hideMark/>
          </w:tcPr>
          <w:p w:rsidR="003A28DD" w:rsidRPr="003A28DD" w:rsidRDefault="003A28DD">
            <w:pPr>
              <w:pStyle w:val="ListParagraph"/>
              <w:ind w:left="0" w:right="-180"/>
              <w:rPr>
                <w:rFonts w:ascii="Calibri" w:hAnsi="Calibri" w:cs="Arial"/>
                <w:b/>
                <w:szCs w:val="20"/>
              </w:rPr>
            </w:pPr>
            <w:r w:rsidRPr="003A28DD">
              <w:rPr>
                <w:rFonts w:ascii="Calibri" w:hAnsi="Calibri"/>
                <w:szCs w:val="20"/>
                <w:lang w:val="en-US"/>
              </w:rPr>
              <w:t xml:space="preserve">   </w:t>
            </w:r>
            <w:r w:rsidR="00723142">
              <w:rPr>
                <w:rFonts w:ascii="Calibri" w:hAnsi="Calibri"/>
                <w:szCs w:val="20"/>
                <w:lang w:val="en-US"/>
              </w:rPr>
              <w:t xml:space="preserve">         </w:t>
            </w:r>
            <w:r w:rsidRPr="003A28DD">
              <w:rPr>
                <w:rFonts w:ascii="Calibri" w:hAnsi="Calibri"/>
                <w:szCs w:val="20"/>
                <w:lang w:val="en-US"/>
              </w:rPr>
              <w:t xml:space="preserve">    Male Staff                                 </w:t>
            </w:r>
          </w:p>
        </w:tc>
        <w:tc>
          <w:tcPr>
            <w:tcW w:w="1620" w:type="dxa"/>
            <w:shd w:val="clear" w:color="auto" w:fill="EEECE1"/>
            <w:hideMark/>
          </w:tcPr>
          <w:p w:rsidR="003A28DD" w:rsidRPr="003A28DD" w:rsidRDefault="003A28DD">
            <w:pPr>
              <w:pStyle w:val="ListParagraph"/>
              <w:ind w:left="0" w:right="-180"/>
              <w:jc w:val="center"/>
              <w:rPr>
                <w:rFonts w:ascii="Calibri" w:hAnsi="Calibri" w:cs="Arial"/>
                <w:szCs w:val="20"/>
              </w:rPr>
            </w:pPr>
            <w:r w:rsidRPr="003A28DD">
              <w:rPr>
                <w:rFonts w:ascii="Calibri" w:hAnsi="Calibri"/>
                <w:szCs w:val="20"/>
                <w:lang w:val="en-US"/>
              </w:rPr>
              <w:t>38.4</w:t>
            </w:r>
          </w:p>
        </w:tc>
        <w:tc>
          <w:tcPr>
            <w:tcW w:w="1890" w:type="dxa"/>
            <w:shd w:val="clear" w:color="auto" w:fill="EEECE1"/>
            <w:hideMark/>
          </w:tcPr>
          <w:p w:rsidR="003A28DD" w:rsidRPr="003A28DD" w:rsidRDefault="003A28DD">
            <w:pPr>
              <w:pStyle w:val="ListParagraph"/>
              <w:ind w:left="0" w:right="-180"/>
              <w:jc w:val="center"/>
              <w:rPr>
                <w:rFonts w:ascii="Calibri" w:hAnsi="Calibri" w:cs="Arial"/>
                <w:b/>
                <w:szCs w:val="20"/>
              </w:rPr>
            </w:pPr>
            <w:r w:rsidRPr="003A28DD">
              <w:rPr>
                <w:rFonts w:ascii="Calibri" w:hAnsi="Calibri"/>
                <w:szCs w:val="20"/>
                <w:lang w:val="en-US"/>
              </w:rPr>
              <w:t>0.0</w:t>
            </w:r>
          </w:p>
        </w:tc>
        <w:tc>
          <w:tcPr>
            <w:tcW w:w="1800" w:type="dxa"/>
            <w:shd w:val="clear" w:color="auto" w:fill="EEECE1"/>
            <w:hideMark/>
          </w:tcPr>
          <w:p w:rsidR="003A28DD" w:rsidRPr="003A28DD" w:rsidRDefault="003A28DD">
            <w:pPr>
              <w:pStyle w:val="ListParagraph"/>
              <w:ind w:left="0" w:right="-180"/>
              <w:jc w:val="center"/>
              <w:rPr>
                <w:rFonts w:ascii="Calibri" w:hAnsi="Calibri" w:cs="Arial"/>
                <w:b/>
                <w:szCs w:val="20"/>
              </w:rPr>
            </w:pPr>
            <w:r w:rsidRPr="003A28DD">
              <w:rPr>
                <w:rFonts w:ascii="Calibri" w:hAnsi="Calibri"/>
                <w:szCs w:val="20"/>
                <w:lang w:val="en-US"/>
              </w:rPr>
              <w:t>0.0</w:t>
            </w:r>
          </w:p>
        </w:tc>
      </w:tr>
      <w:tr w:rsidR="003A28DD" w:rsidTr="00D71FEA">
        <w:tc>
          <w:tcPr>
            <w:tcW w:w="3060" w:type="dxa"/>
            <w:shd w:val="clear" w:color="auto" w:fill="EEECE1"/>
            <w:hideMark/>
          </w:tcPr>
          <w:p w:rsidR="003A28DD" w:rsidRPr="003A28DD" w:rsidRDefault="00723142">
            <w:pPr>
              <w:pStyle w:val="ListParagraph"/>
              <w:ind w:left="0" w:right="-180"/>
              <w:rPr>
                <w:rFonts w:ascii="Calibri" w:hAnsi="Calibri"/>
                <w:szCs w:val="20"/>
                <w:lang w:val="en-US"/>
              </w:rPr>
            </w:pPr>
            <w:r>
              <w:rPr>
                <w:rFonts w:ascii="Calibri" w:hAnsi="Calibri"/>
                <w:szCs w:val="20"/>
                <w:lang w:val="en-US"/>
              </w:rPr>
              <w:t xml:space="preserve">       </w:t>
            </w:r>
            <w:r w:rsidR="003A28DD" w:rsidRPr="003A28DD">
              <w:rPr>
                <w:rFonts w:ascii="Calibri" w:hAnsi="Calibri"/>
                <w:szCs w:val="20"/>
                <w:lang w:val="en-US"/>
              </w:rPr>
              <w:t>By Grade</w:t>
            </w:r>
          </w:p>
        </w:tc>
        <w:tc>
          <w:tcPr>
            <w:tcW w:w="1620" w:type="dxa"/>
            <w:shd w:val="clear" w:color="auto" w:fill="EEECE1"/>
          </w:tcPr>
          <w:p w:rsidR="003A28DD" w:rsidRPr="003A28DD" w:rsidRDefault="003A28DD">
            <w:pPr>
              <w:pStyle w:val="ListParagraph"/>
              <w:ind w:left="0" w:right="-180"/>
              <w:jc w:val="center"/>
              <w:rPr>
                <w:rFonts w:ascii="Calibri" w:hAnsi="Calibri"/>
                <w:szCs w:val="20"/>
                <w:lang w:val="en-US"/>
              </w:rPr>
            </w:pPr>
          </w:p>
        </w:tc>
        <w:tc>
          <w:tcPr>
            <w:tcW w:w="1890" w:type="dxa"/>
            <w:shd w:val="clear" w:color="auto" w:fill="EEECE1"/>
          </w:tcPr>
          <w:p w:rsidR="003A28DD" w:rsidRPr="003A28DD" w:rsidRDefault="003A28DD">
            <w:pPr>
              <w:pStyle w:val="ListParagraph"/>
              <w:ind w:left="0" w:right="-180"/>
              <w:jc w:val="center"/>
              <w:rPr>
                <w:rFonts w:ascii="Calibri" w:hAnsi="Calibri"/>
                <w:szCs w:val="20"/>
                <w:lang w:val="en-US"/>
              </w:rPr>
            </w:pPr>
          </w:p>
        </w:tc>
        <w:tc>
          <w:tcPr>
            <w:tcW w:w="1800" w:type="dxa"/>
            <w:shd w:val="clear" w:color="auto" w:fill="EEECE1"/>
          </w:tcPr>
          <w:p w:rsidR="003A28DD" w:rsidRPr="003A28DD" w:rsidRDefault="003A28DD">
            <w:pPr>
              <w:pStyle w:val="ListParagraph"/>
              <w:ind w:left="0" w:right="-180"/>
              <w:jc w:val="center"/>
              <w:rPr>
                <w:rFonts w:ascii="Calibri" w:hAnsi="Calibri"/>
                <w:szCs w:val="20"/>
                <w:lang w:val="en-US"/>
              </w:rPr>
            </w:pPr>
          </w:p>
        </w:tc>
      </w:tr>
      <w:tr w:rsidR="003A28DD" w:rsidTr="00D71FEA">
        <w:tc>
          <w:tcPr>
            <w:tcW w:w="3060" w:type="dxa"/>
            <w:shd w:val="clear" w:color="auto" w:fill="EEECE1"/>
            <w:hideMark/>
          </w:tcPr>
          <w:p w:rsidR="003A28DD" w:rsidRPr="003A28DD" w:rsidRDefault="003A28DD" w:rsidP="00723142">
            <w:pPr>
              <w:pStyle w:val="ListParagraph"/>
              <w:ind w:left="0" w:right="-180"/>
              <w:rPr>
                <w:rFonts w:ascii="Calibri" w:hAnsi="Calibri" w:cs="Arial"/>
                <w:szCs w:val="20"/>
              </w:rPr>
            </w:pPr>
            <w:r w:rsidRPr="003A28DD">
              <w:rPr>
                <w:rFonts w:ascii="Calibri" w:hAnsi="Calibri" w:cs="Arial"/>
                <w:szCs w:val="20"/>
              </w:rPr>
              <w:t xml:space="preserve">      </w:t>
            </w:r>
            <w:r w:rsidR="00723142">
              <w:rPr>
                <w:rFonts w:ascii="Calibri" w:hAnsi="Calibri" w:cs="Arial"/>
                <w:szCs w:val="20"/>
              </w:rPr>
              <w:t xml:space="preserve">          </w:t>
            </w:r>
            <w:r w:rsidRPr="003A28DD">
              <w:rPr>
                <w:rFonts w:ascii="Calibri" w:hAnsi="Calibri" w:cs="Arial"/>
                <w:szCs w:val="20"/>
              </w:rPr>
              <w:t>D</w:t>
            </w:r>
          </w:p>
        </w:tc>
        <w:tc>
          <w:tcPr>
            <w:tcW w:w="1620" w:type="dxa"/>
            <w:shd w:val="clear" w:color="auto" w:fill="EEECE1"/>
            <w:hideMark/>
          </w:tcPr>
          <w:p w:rsidR="003A28DD" w:rsidRPr="003A28DD" w:rsidRDefault="003A28DD">
            <w:pPr>
              <w:pStyle w:val="ListParagraph"/>
              <w:ind w:left="0" w:right="-180"/>
              <w:jc w:val="center"/>
              <w:rPr>
                <w:rFonts w:ascii="Calibri" w:hAnsi="Calibri" w:cs="Arial"/>
                <w:szCs w:val="20"/>
              </w:rPr>
            </w:pPr>
            <w:r w:rsidRPr="003A28DD">
              <w:rPr>
                <w:rFonts w:ascii="Calibri" w:hAnsi="Calibri" w:cs="Arial"/>
                <w:szCs w:val="20"/>
              </w:rPr>
              <w:t>60.0</w:t>
            </w:r>
          </w:p>
        </w:tc>
        <w:tc>
          <w:tcPr>
            <w:tcW w:w="1890" w:type="dxa"/>
            <w:shd w:val="clear" w:color="auto" w:fill="EEECE1"/>
            <w:hideMark/>
          </w:tcPr>
          <w:p w:rsidR="003A28DD" w:rsidRPr="003A28DD" w:rsidRDefault="003A28DD">
            <w:pPr>
              <w:pStyle w:val="ListParagraph"/>
              <w:ind w:left="0" w:right="-180"/>
              <w:jc w:val="center"/>
              <w:rPr>
                <w:rFonts w:ascii="Calibri" w:hAnsi="Calibri" w:cs="Arial"/>
                <w:szCs w:val="20"/>
              </w:rPr>
            </w:pPr>
            <w:r w:rsidRPr="003A28DD">
              <w:rPr>
                <w:rFonts w:ascii="Calibri" w:hAnsi="Calibri" w:cs="Arial"/>
                <w:szCs w:val="20"/>
              </w:rPr>
              <w:t>0.0</w:t>
            </w:r>
          </w:p>
        </w:tc>
        <w:tc>
          <w:tcPr>
            <w:tcW w:w="1800" w:type="dxa"/>
            <w:shd w:val="clear" w:color="auto" w:fill="EEECE1"/>
            <w:hideMark/>
          </w:tcPr>
          <w:p w:rsidR="003A28DD" w:rsidRPr="003A28DD" w:rsidRDefault="003A28DD">
            <w:pPr>
              <w:pStyle w:val="ListParagraph"/>
              <w:ind w:left="0" w:right="-180"/>
              <w:jc w:val="center"/>
              <w:rPr>
                <w:rFonts w:ascii="Calibri" w:hAnsi="Calibri" w:cs="Arial"/>
                <w:szCs w:val="20"/>
              </w:rPr>
            </w:pPr>
            <w:r w:rsidRPr="003A28DD">
              <w:rPr>
                <w:rFonts w:ascii="Calibri" w:hAnsi="Calibri" w:cs="Arial"/>
                <w:szCs w:val="20"/>
              </w:rPr>
              <w:t>0.0</w:t>
            </w:r>
          </w:p>
        </w:tc>
      </w:tr>
      <w:tr w:rsidR="003A28DD" w:rsidTr="00D71FEA">
        <w:tc>
          <w:tcPr>
            <w:tcW w:w="3060" w:type="dxa"/>
            <w:shd w:val="clear" w:color="auto" w:fill="EEECE1"/>
            <w:hideMark/>
          </w:tcPr>
          <w:p w:rsidR="003A28DD" w:rsidRPr="003A28DD" w:rsidRDefault="003A28DD">
            <w:pPr>
              <w:pStyle w:val="ListParagraph"/>
              <w:ind w:left="0" w:right="-180"/>
              <w:rPr>
                <w:rFonts w:ascii="Calibri" w:hAnsi="Calibri" w:cs="Arial"/>
                <w:szCs w:val="20"/>
              </w:rPr>
            </w:pPr>
            <w:r w:rsidRPr="003A28DD">
              <w:rPr>
                <w:rFonts w:ascii="Calibri" w:hAnsi="Calibri" w:cs="Arial"/>
                <w:szCs w:val="20"/>
              </w:rPr>
              <w:t xml:space="preserve">    </w:t>
            </w:r>
            <w:r w:rsidR="00723142">
              <w:rPr>
                <w:rFonts w:ascii="Calibri" w:hAnsi="Calibri" w:cs="Arial"/>
                <w:szCs w:val="20"/>
              </w:rPr>
              <w:t xml:space="preserve">         </w:t>
            </w:r>
            <w:r w:rsidRPr="003A28DD">
              <w:rPr>
                <w:rFonts w:ascii="Calibri" w:hAnsi="Calibri" w:cs="Arial"/>
                <w:szCs w:val="20"/>
              </w:rPr>
              <w:t xml:space="preserve">   P</w:t>
            </w:r>
          </w:p>
        </w:tc>
        <w:tc>
          <w:tcPr>
            <w:tcW w:w="1620" w:type="dxa"/>
            <w:shd w:val="clear" w:color="auto" w:fill="EEECE1"/>
            <w:hideMark/>
          </w:tcPr>
          <w:p w:rsidR="003A28DD" w:rsidRPr="003A28DD" w:rsidRDefault="003A28DD">
            <w:pPr>
              <w:pStyle w:val="ListParagraph"/>
              <w:ind w:left="0" w:right="-180"/>
              <w:jc w:val="center"/>
              <w:rPr>
                <w:rFonts w:ascii="Calibri" w:hAnsi="Calibri" w:cs="Arial"/>
                <w:szCs w:val="20"/>
              </w:rPr>
            </w:pPr>
            <w:r w:rsidRPr="003A28DD">
              <w:rPr>
                <w:rFonts w:ascii="Calibri" w:hAnsi="Calibri" w:cs="Arial"/>
                <w:szCs w:val="20"/>
              </w:rPr>
              <w:t>30.8</w:t>
            </w:r>
          </w:p>
        </w:tc>
        <w:tc>
          <w:tcPr>
            <w:tcW w:w="1890" w:type="dxa"/>
            <w:shd w:val="clear" w:color="auto" w:fill="EEECE1"/>
            <w:hideMark/>
          </w:tcPr>
          <w:p w:rsidR="003A28DD" w:rsidRPr="003A28DD" w:rsidRDefault="003A28DD">
            <w:pPr>
              <w:pStyle w:val="ListParagraph"/>
              <w:ind w:left="0" w:right="-180"/>
              <w:jc w:val="center"/>
              <w:rPr>
                <w:rFonts w:ascii="Calibri" w:hAnsi="Calibri" w:cs="Arial"/>
                <w:szCs w:val="20"/>
              </w:rPr>
            </w:pPr>
            <w:r w:rsidRPr="003A28DD">
              <w:rPr>
                <w:rFonts w:ascii="Calibri" w:hAnsi="Calibri" w:cs="Arial"/>
                <w:szCs w:val="20"/>
              </w:rPr>
              <w:t>0.0</w:t>
            </w:r>
          </w:p>
        </w:tc>
        <w:tc>
          <w:tcPr>
            <w:tcW w:w="1800" w:type="dxa"/>
            <w:shd w:val="clear" w:color="auto" w:fill="EEECE1"/>
            <w:hideMark/>
          </w:tcPr>
          <w:p w:rsidR="003A28DD" w:rsidRPr="003A28DD" w:rsidRDefault="003A28DD">
            <w:pPr>
              <w:pStyle w:val="ListParagraph"/>
              <w:ind w:left="0" w:right="-180"/>
              <w:jc w:val="center"/>
              <w:rPr>
                <w:rFonts w:ascii="Calibri" w:hAnsi="Calibri" w:cs="Arial"/>
                <w:szCs w:val="20"/>
              </w:rPr>
            </w:pPr>
            <w:r w:rsidRPr="003A28DD">
              <w:rPr>
                <w:rFonts w:ascii="Calibri" w:hAnsi="Calibri" w:cs="Arial"/>
                <w:szCs w:val="20"/>
              </w:rPr>
              <w:t>0.0</w:t>
            </w:r>
          </w:p>
        </w:tc>
      </w:tr>
      <w:tr w:rsidR="003A28DD" w:rsidTr="00D71FEA">
        <w:tc>
          <w:tcPr>
            <w:tcW w:w="3060" w:type="dxa"/>
            <w:shd w:val="clear" w:color="auto" w:fill="EEECE1"/>
            <w:hideMark/>
          </w:tcPr>
          <w:p w:rsidR="003A28DD" w:rsidRPr="003A28DD" w:rsidRDefault="00723142">
            <w:pPr>
              <w:pStyle w:val="ListParagraph"/>
              <w:ind w:left="0" w:right="-180"/>
              <w:rPr>
                <w:rFonts w:ascii="Calibri" w:hAnsi="Calibri" w:cs="Arial"/>
                <w:szCs w:val="20"/>
              </w:rPr>
            </w:pPr>
            <w:r>
              <w:rPr>
                <w:rFonts w:ascii="Calibri" w:hAnsi="Calibri" w:cs="Arial"/>
                <w:szCs w:val="20"/>
              </w:rPr>
              <w:t xml:space="preserve">       </w:t>
            </w:r>
            <w:r w:rsidR="003A28DD" w:rsidRPr="003A28DD">
              <w:rPr>
                <w:rFonts w:ascii="Calibri" w:hAnsi="Calibri" w:cs="Arial"/>
                <w:szCs w:val="20"/>
              </w:rPr>
              <w:t>By collaboration with GE</w:t>
            </w:r>
          </w:p>
        </w:tc>
        <w:tc>
          <w:tcPr>
            <w:tcW w:w="1620" w:type="dxa"/>
            <w:shd w:val="clear" w:color="auto" w:fill="EEECE1"/>
          </w:tcPr>
          <w:p w:rsidR="003A28DD" w:rsidRPr="003A28DD" w:rsidRDefault="003A28DD">
            <w:pPr>
              <w:pStyle w:val="ListParagraph"/>
              <w:ind w:left="0" w:right="-180"/>
              <w:jc w:val="center"/>
              <w:rPr>
                <w:rFonts w:ascii="Calibri" w:hAnsi="Calibri" w:cs="Arial"/>
                <w:szCs w:val="20"/>
              </w:rPr>
            </w:pPr>
          </w:p>
        </w:tc>
        <w:tc>
          <w:tcPr>
            <w:tcW w:w="1890" w:type="dxa"/>
            <w:shd w:val="clear" w:color="auto" w:fill="EEECE1"/>
          </w:tcPr>
          <w:p w:rsidR="003A28DD" w:rsidRPr="003A28DD" w:rsidRDefault="003A28DD">
            <w:pPr>
              <w:pStyle w:val="ListParagraph"/>
              <w:ind w:left="0" w:right="-180"/>
              <w:jc w:val="center"/>
              <w:rPr>
                <w:rFonts w:ascii="Calibri" w:hAnsi="Calibri" w:cs="Arial"/>
                <w:szCs w:val="20"/>
              </w:rPr>
            </w:pPr>
          </w:p>
        </w:tc>
        <w:tc>
          <w:tcPr>
            <w:tcW w:w="1800" w:type="dxa"/>
            <w:shd w:val="clear" w:color="auto" w:fill="EEECE1"/>
          </w:tcPr>
          <w:p w:rsidR="003A28DD" w:rsidRPr="003A28DD" w:rsidRDefault="003A28DD">
            <w:pPr>
              <w:pStyle w:val="ListParagraph"/>
              <w:ind w:left="0" w:right="-180"/>
              <w:jc w:val="center"/>
              <w:rPr>
                <w:rFonts w:ascii="Calibri" w:hAnsi="Calibri" w:cs="Arial"/>
                <w:szCs w:val="20"/>
              </w:rPr>
            </w:pPr>
          </w:p>
        </w:tc>
      </w:tr>
      <w:tr w:rsidR="003A28DD" w:rsidTr="00D71FEA">
        <w:tc>
          <w:tcPr>
            <w:tcW w:w="3060" w:type="dxa"/>
            <w:shd w:val="clear" w:color="auto" w:fill="EEECE1"/>
            <w:hideMark/>
          </w:tcPr>
          <w:p w:rsidR="003A28DD" w:rsidRPr="003A28DD" w:rsidRDefault="003A28DD">
            <w:pPr>
              <w:pStyle w:val="ListParagraph"/>
              <w:ind w:left="0" w:right="-180"/>
              <w:rPr>
                <w:rFonts w:ascii="Calibri" w:hAnsi="Calibri" w:cs="Arial"/>
                <w:szCs w:val="20"/>
              </w:rPr>
            </w:pPr>
            <w:r w:rsidRPr="003A28DD">
              <w:rPr>
                <w:rFonts w:ascii="Calibri" w:hAnsi="Calibri" w:cs="Arial"/>
                <w:szCs w:val="20"/>
              </w:rPr>
              <w:t xml:space="preserve">     </w:t>
            </w:r>
            <w:r w:rsidR="00723142">
              <w:rPr>
                <w:rFonts w:ascii="Calibri" w:hAnsi="Calibri" w:cs="Arial"/>
                <w:szCs w:val="20"/>
              </w:rPr>
              <w:t xml:space="preserve">          </w:t>
            </w:r>
            <w:r w:rsidRPr="003A28DD">
              <w:rPr>
                <w:rFonts w:ascii="Calibri" w:hAnsi="Calibri" w:cs="Arial"/>
                <w:szCs w:val="20"/>
              </w:rPr>
              <w:t xml:space="preserve"> Yes</w:t>
            </w:r>
          </w:p>
        </w:tc>
        <w:tc>
          <w:tcPr>
            <w:tcW w:w="1620" w:type="dxa"/>
            <w:shd w:val="clear" w:color="auto" w:fill="EEECE1"/>
            <w:hideMark/>
          </w:tcPr>
          <w:p w:rsidR="003A28DD" w:rsidRPr="003A28DD" w:rsidRDefault="003A28DD">
            <w:pPr>
              <w:pStyle w:val="ListParagraph"/>
              <w:ind w:left="0" w:right="-180"/>
              <w:jc w:val="center"/>
              <w:rPr>
                <w:rFonts w:ascii="Calibri" w:hAnsi="Calibri" w:cs="Arial"/>
                <w:szCs w:val="20"/>
              </w:rPr>
            </w:pPr>
            <w:r w:rsidRPr="003A28DD">
              <w:rPr>
                <w:rFonts w:ascii="Calibri" w:hAnsi="Calibri" w:cs="Arial"/>
                <w:szCs w:val="20"/>
              </w:rPr>
              <w:t>50.0</w:t>
            </w:r>
          </w:p>
        </w:tc>
        <w:tc>
          <w:tcPr>
            <w:tcW w:w="1890" w:type="dxa"/>
            <w:shd w:val="clear" w:color="auto" w:fill="EEECE1"/>
            <w:hideMark/>
          </w:tcPr>
          <w:p w:rsidR="003A28DD" w:rsidRPr="003A28DD" w:rsidRDefault="003A28DD">
            <w:pPr>
              <w:pStyle w:val="ListParagraph"/>
              <w:ind w:left="0" w:right="-180"/>
              <w:jc w:val="center"/>
              <w:rPr>
                <w:rFonts w:ascii="Calibri" w:hAnsi="Calibri" w:cs="Arial"/>
                <w:szCs w:val="20"/>
              </w:rPr>
            </w:pPr>
            <w:r w:rsidRPr="003A28DD">
              <w:rPr>
                <w:rFonts w:ascii="Calibri" w:hAnsi="Calibri" w:cs="Arial"/>
                <w:szCs w:val="20"/>
              </w:rPr>
              <w:t>0.0</w:t>
            </w:r>
          </w:p>
        </w:tc>
        <w:tc>
          <w:tcPr>
            <w:tcW w:w="1800" w:type="dxa"/>
            <w:shd w:val="clear" w:color="auto" w:fill="EEECE1"/>
            <w:hideMark/>
          </w:tcPr>
          <w:p w:rsidR="003A28DD" w:rsidRPr="003A28DD" w:rsidRDefault="003A28DD">
            <w:pPr>
              <w:pStyle w:val="ListParagraph"/>
              <w:ind w:left="0" w:right="-180"/>
              <w:jc w:val="center"/>
              <w:rPr>
                <w:rFonts w:ascii="Calibri" w:hAnsi="Calibri" w:cs="Arial"/>
                <w:szCs w:val="20"/>
              </w:rPr>
            </w:pPr>
            <w:r w:rsidRPr="003A28DD">
              <w:rPr>
                <w:rFonts w:ascii="Calibri" w:hAnsi="Calibri" w:cs="Arial"/>
                <w:szCs w:val="20"/>
              </w:rPr>
              <w:t>0.0</w:t>
            </w:r>
          </w:p>
        </w:tc>
      </w:tr>
      <w:tr w:rsidR="003A28DD" w:rsidTr="00D71FEA">
        <w:trPr>
          <w:trHeight w:val="305"/>
        </w:trPr>
        <w:tc>
          <w:tcPr>
            <w:tcW w:w="3060" w:type="dxa"/>
            <w:shd w:val="clear" w:color="auto" w:fill="EEECE1"/>
          </w:tcPr>
          <w:p w:rsidR="003A28DD" w:rsidRPr="003A28DD" w:rsidRDefault="003A28DD" w:rsidP="003A28DD">
            <w:pPr>
              <w:pStyle w:val="ListParagraph"/>
              <w:ind w:left="0" w:right="-180"/>
              <w:rPr>
                <w:rFonts w:ascii="Calibri" w:hAnsi="Calibri" w:cs="Arial"/>
                <w:szCs w:val="20"/>
              </w:rPr>
            </w:pPr>
            <w:r w:rsidRPr="003A28DD">
              <w:rPr>
                <w:rFonts w:ascii="Calibri" w:hAnsi="Calibri" w:cs="Arial"/>
                <w:szCs w:val="20"/>
              </w:rPr>
              <w:t xml:space="preserve">     </w:t>
            </w:r>
            <w:r w:rsidR="00723142">
              <w:rPr>
                <w:rFonts w:ascii="Calibri" w:hAnsi="Calibri" w:cs="Arial"/>
                <w:szCs w:val="20"/>
              </w:rPr>
              <w:t xml:space="preserve">          </w:t>
            </w:r>
            <w:r w:rsidRPr="003A28DD">
              <w:rPr>
                <w:rFonts w:ascii="Calibri" w:hAnsi="Calibri" w:cs="Arial"/>
                <w:szCs w:val="20"/>
              </w:rPr>
              <w:t xml:space="preserve"> No</w:t>
            </w:r>
          </w:p>
        </w:tc>
        <w:tc>
          <w:tcPr>
            <w:tcW w:w="1620" w:type="dxa"/>
            <w:shd w:val="clear" w:color="auto" w:fill="EEECE1"/>
            <w:hideMark/>
          </w:tcPr>
          <w:p w:rsidR="003A28DD" w:rsidRPr="003A28DD" w:rsidRDefault="003A28DD">
            <w:pPr>
              <w:pStyle w:val="ListParagraph"/>
              <w:ind w:left="0" w:right="-180"/>
              <w:jc w:val="center"/>
              <w:rPr>
                <w:rFonts w:ascii="Calibri" w:hAnsi="Calibri" w:cs="Arial"/>
                <w:szCs w:val="20"/>
              </w:rPr>
            </w:pPr>
            <w:r w:rsidRPr="003A28DD">
              <w:rPr>
                <w:rFonts w:ascii="Calibri" w:hAnsi="Calibri" w:cs="Arial"/>
                <w:szCs w:val="20"/>
              </w:rPr>
              <w:t>25.0</w:t>
            </w:r>
          </w:p>
        </w:tc>
        <w:tc>
          <w:tcPr>
            <w:tcW w:w="1890" w:type="dxa"/>
            <w:shd w:val="clear" w:color="auto" w:fill="EEECE1"/>
            <w:hideMark/>
          </w:tcPr>
          <w:p w:rsidR="003A28DD" w:rsidRPr="003A28DD" w:rsidRDefault="003A28DD">
            <w:pPr>
              <w:pStyle w:val="ListParagraph"/>
              <w:ind w:left="0" w:right="-180"/>
              <w:jc w:val="center"/>
              <w:rPr>
                <w:rFonts w:ascii="Calibri" w:hAnsi="Calibri" w:cs="Arial"/>
                <w:szCs w:val="20"/>
              </w:rPr>
            </w:pPr>
            <w:r w:rsidRPr="003A28DD">
              <w:rPr>
                <w:rFonts w:ascii="Calibri" w:hAnsi="Calibri" w:cs="Arial"/>
                <w:szCs w:val="20"/>
              </w:rPr>
              <w:t>0.0</w:t>
            </w:r>
          </w:p>
        </w:tc>
        <w:tc>
          <w:tcPr>
            <w:tcW w:w="1800" w:type="dxa"/>
            <w:shd w:val="clear" w:color="auto" w:fill="EEECE1"/>
            <w:hideMark/>
          </w:tcPr>
          <w:p w:rsidR="003A28DD" w:rsidRPr="003A28DD" w:rsidRDefault="003A28DD">
            <w:pPr>
              <w:pStyle w:val="ListParagraph"/>
              <w:ind w:left="0" w:right="-180"/>
              <w:jc w:val="center"/>
              <w:rPr>
                <w:rFonts w:ascii="Calibri" w:hAnsi="Calibri" w:cs="Arial"/>
                <w:szCs w:val="20"/>
              </w:rPr>
            </w:pPr>
            <w:r w:rsidRPr="003A28DD">
              <w:rPr>
                <w:rFonts w:ascii="Calibri" w:hAnsi="Calibri" w:cs="Arial"/>
                <w:szCs w:val="20"/>
              </w:rPr>
              <w:t>0.0</w:t>
            </w:r>
          </w:p>
        </w:tc>
      </w:tr>
    </w:tbl>
    <w:p w:rsidR="00446BA2" w:rsidRPr="00833DB8" w:rsidRDefault="00446BA2" w:rsidP="00833DB8">
      <w:pPr>
        <w:rPr>
          <w:b/>
          <w:sz w:val="22"/>
        </w:rPr>
      </w:pPr>
    </w:p>
    <w:p w:rsidR="003573C1" w:rsidRDefault="003573C1" w:rsidP="003573C1">
      <w:pPr>
        <w:tabs>
          <w:tab w:val="left" w:pos="990"/>
        </w:tabs>
        <w:jc w:val="both"/>
      </w:pPr>
    </w:p>
    <w:p w:rsidR="00DE30BA" w:rsidRDefault="00DE30BA" w:rsidP="00DC034A">
      <w:pPr>
        <w:pStyle w:val="ListParagraph"/>
        <w:tabs>
          <w:tab w:val="left" w:pos="990"/>
        </w:tabs>
        <w:ind w:left="0"/>
        <w:rPr>
          <w:b/>
          <w:sz w:val="22"/>
          <w:lang w:val="en-US"/>
        </w:rPr>
      </w:pPr>
    </w:p>
    <w:p w:rsidR="00030429" w:rsidRDefault="00DC034A" w:rsidP="00DC034A">
      <w:pPr>
        <w:pStyle w:val="ListParagraph"/>
        <w:tabs>
          <w:tab w:val="left" w:pos="990"/>
        </w:tabs>
        <w:ind w:left="0"/>
        <w:rPr>
          <w:iCs/>
          <w:sz w:val="22"/>
        </w:rPr>
      </w:pPr>
      <w:r>
        <w:rPr>
          <w:b/>
          <w:sz w:val="22"/>
          <w:lang w:val="en-US"/>
        </w:rPr>
        <w:t>Description of the s</w:t>
      </w:r>
      <w:r>
        <w:rPr>
          <w:b/>
          <w:sz w:val="22"/>
        </w:rPr>
        <w:t xml:space="preserve">ample: </w:t>
      </w:r>
      <w:r w:rsidRPr="00777306">
        <w:rPr>
          <w:iCs/>
          <w:sz w:val="22"/>
        </w:rPr>
        <w:t xml:space="preserve"> </w:t>
      </w:r>
      <w:r>
        <w:rPr>
          <w:iCs/>
          <w:sz w:val="22"/>
        </w:rPr>
        <w:t xml:space="preserve">The </w:t>
      </w:r>
      <w:r w:rsidR="00030429">
        <w:rPr>
          <w:iCs/>
          <w:sz w:val="22"/>
        </w:rPr>
        <w:t xml:space="preserve">initially </w:t>
      </w:r>
      <w:r w:rsidR="00DE30BA">
        <w:rPr>
          <w:iCs/>
          <w:sz w:val="22"/>
        </w:rPr>
        <w:t>selected PAHO sample included twenty nine</w:t>
      </w:r>
      <w:r w:rsidRPr="00777306">
        <w:rPr>
          <w:iCs/>
          <w:sz w:val="22"/>
        </w:rPr>
        <w:t xml:space="preserve"> </w:t>
      </w:r>
      <w:r w:rsidR="009B1A00">
        <w:rPr>
          <w:iCs/>
          <w:sz w:val="22"/>
        </w:rPr>
        <w:t xml:space="preserve">(29) </w:t>
      </w:r>
      <w:r w:rsidRPr="00777306">
        <w:rPr>
          <w:iCs/>
          <w:sz w:val="22"/>
        </w:rPr>
        <w:t>planning focal points</w:t>
      </w:r>
      <w:r>
        <w:rPr>
          <w:iCs/>
          <w:sz w:val="22"/>
        </w:rPr>
        <w:t xml:space="preserve">. </w:t>
      </w:r>
      <w:r w:rsidRPr="00777306">
        <w:rPr>
          <w:iCs/>
          <w:sz w:val="22"/>
        </w:rPr>
        <w:t xml:space="preserve"> The number actually interviewed was </w:t>
      </w:r>
      <w:r w:rsidR="009B1A00">
        <w:rPr>
          <w:iCs/>
          <w:sz w:val="22"/>
        </w:rPr>
        <w:t>twenty one (21)</w:t>
      </w:r>
      <w:r w:rsidR="00030429">
        <w:rPr>
          <w:iCs/>
          <w:sz w:val="22"/>
        </w:rPr>
        <w:t xml:space="preserve">. However, </w:t>
      </w:r>
      <w:r>
        <w:rPr>
          <w:iCs/>
          <w:sz w:val="22"/>
        </w:rPr>
        <w:t xml:space="preserve">due to some “don’t know’ answers, this total was </w:t>
      </w:r>
      <w:r w:rsidR="00030429">
        <w:rPr>
          <w:iCs/>
          <w:sz w:val="22"/>
        </w:rPr>
        <w:t xml:space="preserve">respectively </w:t>
      </w:r>
      <w:r>
        <w:rPr>
          <w:iCs/>
          <w:sz w:val="22"/>
        </w:rPr>
        <w:t xml:space="preserve">reduced to 18, 17, and 16, </w:t>
      </w:r>
      <w:r w:rsidR="00030429">
        <w:rPr>
          <w:iCs/>
          <w:sz w:val="22"/>
        </w:rPr>
        <w:t xml:space="preserve">when </w:t>
      </w:r>
      <w:r>
        <w:rPr>
          <w:iCs/>
          <w:sz w:val="22"/>
        </w:rPr>
        <w:t xml:space="preserve">gender integration scores </w:t>
      </w:r>
      <w:r w:rsidR="00DE30BA">
        <w:rPr>
          <w:iCs/>
          <w:sz w:val="22"/>
        </w:rPr>
        <w:t xml:space="preserve">were calculated for the different stages of </w:t>
      </w:r>
      <w:r>
        <w:rPr>
          <w:iCs/>
          <w:sz w:val="22"/>
        </w:rPr>
        <w:t>planning, implementation and monitoring</w:t>
      </w:r>
      <w:r w:rsidR="00030429">
        <w:rPr>
          <w:iCs/>
          <w:sz w:val="22"/>
        </w:rPr>
        <w:t xml:space="preserve">. The analysis of </w:t>
      </w:r>
      <w:r w:rsidR="009B1A00">
        <w:rPr>
          <w:iCs/>
          <w:sz w:val="22"/>
        </w:rPr>
        <w:t xml:space="preserve">six </w:t>
      </w:r>
      <w:r w:rsidR="00030429">
        <w:rPr>
          <w:iCs/>
          <w:sz w:val="22"/>
        </w:rPr>
        <w:t xml:space="preserve">open-ended questions </w:t>
      </w:r>
      <w:r w:rsidR="009B1A00">
        <w:rPr>
          <w:iCs/>
          <w:sz w:val="22"/>
        </w:rPr>
        <w:t xml:space="preserve">on inhibiting and facilitating factors for gender integration into each of these stages </w:t>
      </w:r>
      <w:r w:rsidR="00030429">
        <w:rPr>
          <w:iCs/>
          <w:sz w:val="22"/>
        </w:rPr>
        <w:t xml:space="preserve">did include all </w:t>
      </w:r>
      <w:r w:rsidR="009B1A00">
        <w:rPr>
          <w:iCs/>
          <w:sz w:val="22"/>
        </w:rPr>
        <w:t>twenty-one i</w:t>
      </w:r>
      <w:r w:rsidR="00030429">
        <w:rPr>
          <w:iCs/>
          <w:sz w:val="22"/>
        </w:rPr>
        <w:t>nterview</w:t>
      </w:r>
      <w:r w:rsidR="009B1A00">
        <w:rPr>
          <w:iCs/>
          <w:sz w:val="22"/>
        </w:rPr>
        <w:t>s</w:t>
      </w:r>
      <w:r w:rsidR="00030429">
        <w:rPr>
          <w:iCs/>
          <w:sz w:val="22"/>
        </w:rPr>
        <w:t xml:space="preserve">. </w:t>
      </w:r>
    </w:p>
    <w:p w:rsidR="00030429" w:rsidRDefault="00030429" w:rsidP="00DC034A">
      <w:pPr>
        <w:pStyle w:val="ListParagraph"/>
        <w:tabs>
          <w:tab w:val="left" w:pos="990"/>
        </w:tabs>
        <w:ind w:left="0"/>
        <w:rPr>
          <w:iCs/>
          <w:sz w:val="22"/>
        </w:rPr>
      </w:pPr>
    </w:p>
    <w:p w:rsidR="00030429" w:rsidRDefault="00030429" w:rsidP="00DC034A">
      <w:pPr>
        <w:pStyle w:val="ListParagraph"/>
        <w:tabs>
          <w:tab w:val="left" w:pos="990"/>
        </w:tabs>
        <w:ind w:left="0"/>
        <w:rPr>
          <w:iCs/>
          <w:sz w:val="22"/>
        </w:rPr>
      </w:pPr>
    </w:p>
    <w:p w:rsidR="00030429" w:rsidRDefault="00030429" w:rsidP="00DC034A">
      <w:pPr>
        <w:pStyle w:val="ListParagraph"/>
        <w:tabs>
          <w:tab w:val="left" w:pos="990"/>
        </w:tabs>
        <w:ind w:left="0"/>
        <w:rPr>
          <w:iCs/>
          <w:sz w:val="22"/>
        </w:rPr>
      </w:pPr>
    </w:p>
    <w:tbl>
      <w:tblPr>
        <w:tblpPr w:leftFromText="180" w:rightFromText="180" w:vertAnchor="text" w:horzAnchor="margin" w:tblpY="505"/>
        <w:tblW w:w="8748" w:type="dxa"/>
        <w:tblLook w:val="00A0"/>
      </w:tblPr>
      <w:tblGrid>
        <w:gridCol w:w="3618"/>
        <w:gridCol w:w="792"/>
        <w:gridCol w:w="1080"/>
        <w:gridCol w:w="918"/>
        <w:gridCol w:w="1152"/>
        <w:gridCol w:w="1188"/>
      </w:tblGrid>
      <w:tr w:rsidR="00B20C86" w:rsidRPr="008A7A60" w:rsidTr="00B20C86">
        <w:tc>
          <w:tcPr>
            <w:tcW w:w="3618" w:type="dxa"/>
            <w:shd w:val="clear" w:color="auto" w:fill="auto"/>
          </w:tcPr>
          <w:p w:rsidR="00B20C86" w:rsidRPr="008A7A60" w:rsidRDefault="00B20C86" w:rsidP="00B20C86">
            <w:pPr>
              <w:pStyle w:val="ListParagraph"/>
              <w:ind w:left="0"/>
              <w:rPr>
                <w:iCs/>
              </w:rPr>
            </w:pPr>
          </w:p>
        </w:tc>
        <w:tc>
          <w:tcPr>
            <w:tcW w:w="792" w:type="dxa"/>
            <w:shd w:val="clear" w:color="auto" w:fill="auto"/>
          </w:tcPr>
          <w:p w:rsidR="00B20C86" w:rsidRDefault="00B20C86" w:rsidP="00B20C86">
            <w:pPr>
              <w:pStyle w:val="ListParagraph"/>
              <w:ind w:left="0"/>
              <w:jc w:val="center"/>
              <w:rPr>
                <w:iCs/>
              </w:rPr>
            </w:pPr>
          </w:p>
          <w:p w:rsidR="00B20C86" w:rsidRPr="00EE2E02" w:rsidRDefault="00B20C86" w:rsidP="00B20C86">
            <w:pPr>
              <w:pStyle w:val="ListParagraph"/>
              <w:ind w:left="0"/>
              <w:jc w:val="center"/>
              <w:rPr>
                <w:iCs/>
              </w:rPr>
            </w:pPr>
            <w:r w:rsidRPr="00EE2E02">
              <w:rPr>
                <w:iCs/>
              </w:rPr>
              <w:t>N</w:t>
            </w:r>
          </w:p>
        </w:tc>
        <w:tc>
          <w:tcPr>
            <w:tcW w:w="1080" w:type="dxa"/>
            <w:shd w:val="clear" w:color="auto" w:fill="auto"/>
          </w:tcPr>
          <w:p w:rsidR="00B20C86" w:rsidRPr="00EE2E02" w:rsidRDefault="00B20C86" w:rsidP="00B20C86">
            <w:pPr>
              <w:pStyle w:val="ListParagraph"/>
              <w:ind w:left="0"/>
              <w:jc w:val="center"/>
              <w:rPr>
                <w:iCs/>
                <w:sz w:val="10"/>
              </w:rPr>
            </w:pPr>
          </w:p>
          <w:p w:rsidR="00B20C86" w:rsidRPr="008A7A60" w:rsidRDefault="00B20C86" w:rsidP="00B20C86">
            <w:pPr>
              <w:pStyle w:val="ListParagraph"/>
              <w:ind w:left="0"/>
              <w:jc w:val="center"/>
              <w:rPr>
                <w:iCs/>
              </w:rPr>
            </w:pPr>
            <w:r w:rsidRPr="008A7A60">
              <w:rPr>
                <w:iCs/>
              </w:rPr>
              <w:t>Females</w:t>
            </w:r>
          </w:p>
        </w:tc>
        <w:tc>
          <w:tcPr>
            <w:tcW w:w="918" w:type="dxa"/>
            <w:shd w:val="clear" w:color="auto" w:fill="auto"/>
          </w:tcPr>
          <w:p w:rsidR="00B20C86" w:rsidRPr="00EE2E02" w:rsidRDefault="00B20C86" w:rsidP="00B20C86">
            <w:pPr>
              <w:pStyle w:val="ListParagraph"/>
              <w:ind w:left="0"/>
              <w:jc w:val="center"/>
              <w:rPr>
                <w:iCs/>
                <w:sz w:val="10"/>
              </w:rPr>
            </w:pPr>
          </w:p>
          <w:p w:rsidR="00B20C86" w:rsidRPr="008A7A60" w:rsidRDefault="00B20C86" w:rsidP="00B20C86">
            <w:pPr>
              <w:pStyle w:val="ListParagraph"/>
              <w:ind w:left="0"/>
              <w:jc w:val="center"/>
              <w:rPr>
                <w:iCs/>
              </w:rPr>
            </w:pPr>
            <w:r w:rsidRPr="008A7A60">
              <w:rPr>
                <w:iCs/>
              </w:rPr>
              <w:t>Males</w:t>
            </w:r>
          </w:p>
        </w:tc>
        <w:tc>
          <w:tcPr>
            <w:tcW w:w="1152" w:type="dxa"/>
            <w:shd w:val="clear" w:color="auto" w:fill="auto"/>
          </w:tcPr>
          <w:p w:rsidR="00B20C86" w:rsidRPr="00EE2E02" w:rsidRDefault="00B20C86" w:rsidP="00B20C86">
            <w:pPr>
              <w:pStyle w:val="ListParagraph"/>
              <w:ind w:left="0"/>
              <w:jc w:val="center"/>
              <w:rPr>
                <w:iCs/>
              </w:rPr>
            </w:pPr>
            <w:r w:rsidRPr="00EE2E02">
              <w:rPr>
                <w:iCs/>
              </w:rPr>
              <w:t xml:space="preserve">GE </w:t>
            </w:r>
            <w:r>
              <w:rPr>
                <w:iCs/>
              </w:rPr>
              <w:t xml:space="preserve">   </w:t>
            </w:r>
            <w:r w:rsidRPr="00EE2E02">
              <w:rPr>
                <w:iCs/>
              </w:rPr>
              <w:t>Collab</w:t>
            </w:r>
            <w:r>
              <w:rPr>
                <w:iCs/>
              </w:rPr>
              <w:t>.</w:t>
            </w:r>
          </w:p>
        </w:tc>
        <w:tc>
          <w:tcPr>
            <w:tcW w:w="1188" w:type="dxa"/>
            <w:shd w:val="clear" w:color="auto" w:fill="auto"/>
          </w:tcPr>
          <w:p w:rsidR="00B20C86" w:rsidRPr="00EE2E02" w:rsidRDefault="00B20C86" w:rsidP="00B20C86">
            <w:pPr>
              <w:pStyle w:val="ListParagraph"/>
              <w:ind w:left="0"/>
              <w:jc w:val="center"/>
              <w:rPr>
                <w:iCs/>
              </w:rPr>
            </w:pPr>
            <w:r w:rsidRPr="00EE2E02">
              <w:rPr>
                <w:iCs/>
              </w:rPr>
              <w:t>GE Non-Collab</w:t>
            </w:r>
            <w:r>
              <w:rPr>
                <w:iCs/>
              </w:rPr>
              <w:t>.</w:t>
            </w:r>
            <w:r w:rsidRPr="00EE2E02">
              <w:rPr>
                <w:iCs/>
              </w:rPr>
              <w:t>.</w:t>
            </w:r>
          </w:p>
          <w:p w:rsidR="00B20C86" w:rsidRPr="00EE2E02" w:rsidRDefault="00B20C86" w:rsidP="00B20C86">
            <w:pPr>
              <w:pStyle w:val="ListParagraph"/>
              <w:ind w:left="0"/>
              <w:jc w:val="center"/>
              <w:rPr>
                <w:iCs/>
              </w:rPr>
            </w:pPr>
          </w:p>
        </w:tc>
      </w:tr>
      <w:tr w:rsidR="00B20C86" w:rsidRPr="008A7A60" w:rsidTr="00B20C86">
        <w:trPr>
          <w:trHeight w:val="20"/>
        </w:trPr>
        <w:tc>
          <w:tcPr>
            <w:tcW w:w="3618" w:type="dxa"/>
            <w:shd w:val="clear" w:color="auto" w:fill="auto"/>
          </w:tcPr>
          <w:p w:rsidR="00B20C86" w:rsidRPr="008A7A60" w:rsidRDefault="00B20C86" w:rsidP="00B20C86">
            <w:pPr>
              <w:pStyle w:val="ListParagraph"/>
              <w:ind w:left="0"/>
              <w:rPr>
                <w:b/>
              </w:rPr>
            </w:pPr>
            <w:r>
              <w:rPr>
                <w:iCs/>
              </w:rPr>
              <w:t xml:space="preserve">  </w:t>
            </w:r>
            <w:r w:rsidRPr="008A7A60">
              <w:rPr>
                <w:iCs/>
              </w:rPr>
              <w:t xml:space="preserve">Managers acting as SO Coordinators           </w:t>
            </w:r>
          </w:p>
        </w:tc>
        <w:tc>
          <w:tcPr>
            <w:tcW w:w="792" w:type="dxa"/>
            <w:shd w:val="clear" w:color="auto" w:fill="auto"/>
          </w:tcPr>
          <w:p w:rsidR="00B20C86" w:rsidRPr="008A7A60" w:rsidRDefault="00B20C86" w:rsidP="00B20C86">
            <w:pPr>
              <w:pStyle w:val="ListParagraph"/>
              <w:ind w:left="0"/>
              <w:jc w:val="center"/>
              <w:rPr>
                <w:b/>
              </w:rPr>
            </w:pPr>
            <w:r w:rsidRPr="008A7A60">
              <w:rPr>
                <w:b/>
                <w:iCs/>
              </w:rPr>
              <w:t>6</w:t>
            </w:r>
          </w:p>
        </w:tc>
        <w:tc>
          <w:tcPr>
            <w:tcW w:w="1080" w:type="dxa"/>
            <w:shd w:val="clear" w:color="auto" w:fill="auto"/>
          </w:tcPr>
          <w:p w:rsidR="00B20C86" w:rsidRPr="008A7A60" w:rsidRDefault="00B20C86" w:rsidP="00B20C86">
            <w:pPr>
              <w:pStyle w:val="ListParagraph"/>
              <w:ind w:left="0"/>
              <w:jc w:val="center"/>
              <w:rPr>
                <w:b/>
              </w:rPr>
            </w:pPr>
            <w:r w:rsidRPr="008A7A60">
              <w:rPr>
                <w:iCs/>
              </w:rPr>
              <w:t>1</w:t>
            </w:r>
          </w:p>
        </w:tc>
        <w:tc>
          <w:tcPr>
            <w:tcW w:w="918" w:type="dxa"/>
            <w:shd w:val="clear" w:color="auto" w:fill="auto"/>
          </w:tcPr>
          <w:p w:rsidR="00B20C86" w:rsidRPr="008A7A60" w:rsidRDefault="00B20C86" w:rsidP="00B20C86">
            <w:pPr>
              <w:pStyle w:val="ListParagraph"/>
              <w:ind w:left="0"/>
              <w:jc w:val="center"/>
              <w:rPr>
                <w:b/>
              </w:rPr>
            </w:pPr>
            <w:r w:rsidRPr="008A7A60">
              <w:rPr>
                <w:iCs/>
              </w:rPr>
              <w:t>5</w:t>
            </w:r>
          </w:p>
        </w:tc>
        <w:tc>
          <w:tcPr>
            <w:tcW w:w="1152" w:type="dxa"/>
            <w:shd w:val="clear" w:color="auto" w:fill="auto"/>
          </w:tcPr>
          <w:p w:rsidR="00B20C86" w:rsidRPr="008A7A60" w:rsidRDefault="00B20C86" w:rsidP="00B20C86">
            <w:pPr>
              <w:pStyle w:val="ListParagraph"/>
              <w:ind w:left="0"/>
              <w:jc w:val="center"/>
              <w:rPr>
                <w:b/>
              </w:rPr>
            </w:pPr>
            <w:r w:rsidRPr="008A7A60">
              <w:rPr>
                <w:iCs/>
              </w:rPr>
              <w:t>2</w:t>
            </w:r>
          </w:p>
        </w:tc>
        <w:tc>
          <w:tcPr>
            <w:tcW w:w="1188" w:type="dxa"/>
            <w:shd w:val="clear" w:color="auto" w:fill="auto"/>
          </w:tcPr>
          <w:p w:rsidR="00B20C86" w:rsidRDefault="00B20C86" w:rsidP="00B20C86">
            <w:pPr>
              <w:pStyle w:val="ListParagraph"/>
              <w:ind w:left="0"/>
              <w:jc w:val="center"/>
              <w:rPr>
                <w:iCs/>
              </w:rPr>
            </w:pPr>
            <w:r w:rsidRPr="008A7A60">
              <w:rPr>
                <w:iCs/>
              </w:rPr>
              <w:t>4</w:t>
            </w:r>
          </w:p>
          <w:p w:rsidR="00B20C86" w:rsidRPr="008A7A60" w:rsidRDefault="00B20C86" w:rsidP="00B20C86">
            <w:pPr>
              <w:pStyle w:val="ListParagraph"/>
              <w:ind w:left="0"/>
              <w:jc w:val="center"/>
              <w:rPr>
                <w:b/>
              </w:rPr>
            </w:pPr>
          </w:p>
        </w:tc>
      </w:tr>
      <w:tr w:rsidR="00B20C86" w:rsidRPr="008A7A60" w:rsidTr="00B20C86">
        <w:trPr>
          <w:trHeight w:val="20"/>
        </w:trPr>
        <w:tc>
          <w:tcPr>
            <w:tcW w:w="3618" w:type="dxa"/>
            <w:shd w:val="clear" w:color="auto" w:fill="auto"/>
          </w:tcPr>
          <w:p w:rsidR="00B20C86" w:rsidRPr="008A7A60" w:rsidRDefault="00B20C86" w:rsidP="00B20C86">
            <w:pPr>
              <w:pStyle w:val="ListParagraph"/>
              <w:ind w:left="0"/>
              <w:rPr>
                <w:b/>
              </w:rPr>
            </w:pPr>
            <w:r>
              <w:rPr>
                <w:iCs/>
              </w:rPr>
              <w:t xml:space="preserve">  </w:t>
            </w:r>
            <w:r w:rsidRPr="008A7A60">
              <w:rPr>
                <w:iCs/>
              </w:rPr>
              <w:t xml:space="preserve">Country Representatives                              </w:t>
            </w:r>
            <w:r w:rsidRPr="008A7A60">
              <w:rPr>
                <w:b/>
                <w:iCs/>
              </w:rPr>
              <w:t xml:space="preserve"> </w:t>
            </w:r>
          </w:p>
        </w:tc>
        <w:tc>
          <w:tcPr>
            <w:tcW w:w="792" w:type="dxa"/>
            <w:shd w:val="clear" w:color="auto" w:fill="auto"/>
          </w:tcPr>
          <w:p w:rsidR="00B20C86" w:rsidRPr="008A7A60" w:rsidRDefault="00B20C86" w:rsidP="00B20C86">
            <w:pPr>
              <w:pStyle w:val="ListParagraph"/>
              <w:ind w:left="0"/>
              <w:jc w:val="center"/>
              <w:rPr>
                <w:b/>
              </w:rPr>
            </w:pPr>
            <w:r w:rsidRPr="008A7A60">
              <w:rPr>
                <w:b/>
                <w:iCs/>
              </w:rPr>
              <w:t>3</w:t>
            </w:r>
          </w:p>
        </w:tc>
        <w:tc>
          <w:tcPr>
            <w:tcW w:w="1080" w:type="dxa"/>
            <w:shd w:val="clear" w:color="auto" w:fill="auto"/>
          </w:tcPr>
          <w:p w:rsidR="00B20C86" w:rsidRPr="008A7A60" w:rsidRDefault="00B20C86" w:rsidP="00B20C86">
            <w:pPr>
              <w:pStyle w:val="ListParagraph"/>
              <w:ind w:left="0"/>
              <w:jc w:val="center"/>
              <w:rPr>
                <w:b/>
              </w:rPr>
            </w:pPr>
            <w:r w:rsidRPr="008A7A60">
              <w:rPr>
                <w:iCs/>
              </w:rPr>
              <w:t>3</w:t>
            </w:r>
          </w:p>
        </w:tc>
        <w:tc>
          <w:tcPr>
            <w:tcW w:w="918" w:type="dxa"/>
            <w:shd w:val="clear" w:color="auto" w:fill="auto"/>
          </w:tcPr>
          <w:p w:rsidR="00B20C86" w:rsidRPr="008A7A60" w:rsidRDefault="00B20C86" w:rsidP="00B20C86">
            <w:pPr>
              <w:pStyle w:val="ListParagraph"/>
              <w:ind w:left="0"/>
              <w:jc w:val="center"/>
              <w:rPr>
                <w:b/>
              </w:rPr>
            </w:pPr>
            <w:r w:rsidRPr="008A7A60">
              <w:rPr>
                <w:iCs/>
              </w:rPr>
              <w:t>--</w:t>
            </w:r>
          </w:p>
        </w:tc>
        <w:tc>
          <w:tcPr>
            <w:tcW w:w="1152" w:type="dxa"/>
            <w:shd w:val="clear" w:color="auto" w:fill="auto"/>
          </w:tcPr>
          <w:p w:rsidR="00B20C86" w:rsidRPr="008A7A60" w:rsidRDefault="00B20C86" w:rsidP="00B20C86">
            <w:pPr>
              <w:pStyle w:val="ListParagraph"/>
              <w:ind w:left="0"/>
              <w:jc w:val="center"/>
              <w:rPr>
                <w:b/>
              </w:rPr>
            </w:pPr>
            <w:r w:rsidRPr="008A7A60">
              <w:rPr>
                <w:iCs/>
              </w:rPr>
              <w:t>2</w:t>
            </w:r>
          </w:p>
        </w:tc>
        <w:tc>
          <w:tcPr>
            <w:tcW w:w="1188" w:type="dxa"/>
            <w:shd w:val="clear" w:color="auto" w:fill="auto"/>
          </w:tcPr>
          <w:p w:rsidR="00B20C86" w:rsidRPr="008A7A60" w:rsidRDefault="00B20C86" w:rsidP="00B20C86">
            <w:pPr>
              <w:pStyle w:val="ListParagraph"/>
              <w:ind w:left="0"/>
              <w:jc w:val="center"/>
              <w:rPr>
                <w:iCs/>
              </w:rPr>
            </w:pPr>
            <w:r w:rsidRPr="008A7A60">
              <w:rPr>
                <w:iCs/>
              </w:rPr>
              <w:t>1</w:t>
            </w:r>
          </w:p>
          <w:p w:rsidR="00B20C86" w:rsidRPr="008A7A60" w:rsidRDefault="00B20C86" w:rsidP="00B20C86">
            <w:pPr>
              <w:pStyle w:val="ListParagraph"/>
              <w:ind w:left="0"/>
              <w:jc w:val="center"/>
              <w:rPr>
                <w:b/>
              </w:rPr>
            </w:pPr>
          </w:p>
        </w:tc>
      </w:tr>
      <w:tr w:rsidR="00B20C86" w:rsidRPr="008A7A60" w:rsidTr="00B20C86">
        <w:tc>
          <w:tcPr>
            <w:tcW w:w="3618" w:type="dxa"/>
            <w:shd w:val="clear" w:color="auto" w:fill="auto"/>
          </w:tcPr>
          <w:p w:rsidR="00B20C86" w:rsidRPr="008A7A60" w:rsidRDefault="00B20C86" w:rsidP="00B20C86">
            <w:pPr>
              <w:jc w:val="both"/>
              <w:rPr>
                <w:iCs/>
              </w:rPr>
            </w:pPr>
            <w:r>
              <w:rPr>
                <w:iCs/>
              </w:rPr>
              <w:t xml:space="preserve">  </w:t>
            </w:r>
            <w:r w:rsidRPr="008A7A60">
              <w:rPr>
                <w:iCs/>
              </w:rPr>
              <w:t xml:space="preserve">Unit Chiefs, Team Leaders and </w:t>
            </w:r>
          </w:p>
          <w:p w:rsidR="00B20C86" w:rsidRPr="008A7A60" w:rsidRDefault="00B20C86" w:rsidP="00B20C86">
            <w:pPr>
              <w:jc w:val="both"/>
              <w:rPr>
                <w:iCs/>
              </w:rPr>
            </w:pPr>
            <w:r w:rsidRPr="008A7A60">
              <w:rPr>
                <w:iCs/>
              </w:rPr>
              <w:t xml:space="preserve"> </w:t>
            </w:r>
            <w:r>
              <w:rPr>
                <w:iCs/>
              </w:rPr>
              <w:t xml:space="preserve"> </w:t>
            </w:r>
            <w:r w:rsidRPr="008A7A60">
              <w:rPr>
                <w:iCs/>
              </w:rPr>
              <w:t xml:space="preserve">Regional Advisers                                        </w:t>
            </w:r>
          </w:p>
          <w:p w:rsidR="00B20C86" w:rsidRPr="008A7A60" w:rsidRDefault="00B20C86" w:rsidP="00B20C86">
            <w:pPr>
              <w:pStyle w:val="ListParagraph"/>
              <w:ind w:left="0"/>
              <w:rPr>
                <w:b/>
              </w:rPr>
            </w:pPr>
          </w:p>
        </w:tc>
        <w:tc>
          <w:tcPr>
            <w:tcW w:w="792" w:type="dxa"/>
            <w:shd w:val="clear" w:color="auto" w:fill="auto"/>
          </w:tcPr>
          <w:p w:rsidR="00B20C86" w:rsidRPr="008A7A60" w:rsidRDefault="00B20C86" w:rsidP="00B20C86">
            <w:pPr>
              <w:pStyle w:val="ListParagraph"/>
              <w:ind w:left="0"/>
              <w:rPr>
                <w:b/>
              </w:rPr>
            </w:pPr>
            <w:r>
              <w:rPr>
                <w:b/>
                <w:iCs/>
              </w:rPr>
              <w:t xml:space="preserve">   </w:t>
            </w:r>
            <w:r w:rsidRPr="008A7A60">
              <w:rPr>
                <w:b/>
                <w:iCs/>
              </w:rPr>
              <w:t>12</w:t>
            </w:r>
          </w:p>
        </w:tc>
        <w:tc>
          <w:tcPr>
            <w:tcW w:w="1080" w:type="dxa"/>
            <w:shd w:val="clear" w:color="auto" w:fill="auto"/>
          </w:tcPr>
          <w:p w:rsidR="00B20C86" w:rsidRPr="008A7A60" w:rsidRDefault="00B20C86" w:rsidP="00B20C86">
            <w:pPr>
              <w:pStyle w:val="ListParagraph"/>
              <w:ind w:left="0"/>
              <w:jc w:val="center"/>
              <w:rPr>
                <w:b/>
              </w:rPr>
            </w:pPr>
            <w:r w:rsidRPr="008A7A60">
              <w:rPr>
                <w:iCs/>
              </w:rPr>
              <w:t>4</w:t>
            </w:r>
          </w:p>
        </w:tc>
        <w:tc>
          <w:tcPr>
            <w:tcW w:w="918" w:type="dxa"/>
            <w:shd w:val="clear" w:color="auto" w:fill="auto"/>
          </w:tcPr>
          <w:p w:rsidR="00B20C86" w:rsidRPr="008A7A60" w:rsidRDefault="00B20C86" w:rsidP="00B20C86">
            <w:pPr>
              <w:pStyle w:val="ListParagraph"/>
              <w:ind w:left="0"/>
              <w:jc w:val="center"/>
              <w:rPr>
                <w:b/>
              </w:rPr>
            </w:pPr>
            <w:r w:rsidRPr="008A7A60">
              <w:rPr>
                <w:iCs/>
              </w:rPr>
              <w:t>8</w:t>
            </w:r>
          </w:p>
        </w:tc>
        <w:tc>
          <w:tcPr>
            <w:tcW w:w="1152" w:type="dxa"/>
            <w:shd w:val="clear" w:color="auto" w:fill="auto"/>
          </w:tcPr>
          <w:p w:rsidR="00B20C86" w:rsidRPr="008A7A60" w:rsidRDefault="00B20C86" w:rsidP="00B20C86">
            <w:pPr>
              <w:pStyle w:val="ListParagraph"/>
              <w:ind w:left="0"/>
              <w:jc w:val="center"/>
              <w:rPr>
                <w:b/>
              </w:rPr>
            </w:pPr>
            <w:r w:rsidRPr="008A7A60">
              <w:rPr>
                <w:iCs/>
              </w:rPr>
              <w:t>5</w:t>
            </w:r>
          </w:p>
        </w:tc>
        <w:tc>
          <w:tcPr>
            <w:tcW w:w="1188" w:type="dxa"/>
            <w:shd w:val="clear" w:color="auto" w:fill="auto"/>
          </w:tcPr>
          <w:p w:rsidR="00B20C86" w:rsidRPr="008A7A60" w:rsidRDefault="00B20C86" w:rsidP="00B20C86">
            <w:pPr>
              <w:pStyle w:val="ListParagraph"/>
              <w:ind w:left="0"/>
              <w:jc w:val="center"/>
              <w:rPr>
                <w:b/>
              </w:rPr>
            </w:pPr>
            <w:r w:rsidRPr="008A7A60">
              <w:rPr>
                <w:iCs/>
              </w:rPr>
              <w:t>7</w:t>
            </w:r>
          </w:p>
        </w:tc>
      </w:tr>
      <w:tr w:rsidR="00B20C86" w:rsidRPr="008A7A60" w:rsidTr="00B20C86">
        <w:trPr>
          <w:trHeight w:val="308"/>
        </w:trPr>
        <w:tc>
          <w:tcPr>
            <w:tcW w:w="3618" w:type="dxa"/>
            <w:shd w:val="clear" w:color="auto" w:fill="auto"/>
          </w:tcPr>
          <w:p w:rsidR="00B20C86" w:rsidRPr="008A7A60" w:rsidRDefault="00B20C86" w:rsidP="00B20C86">
            <w:pPr>
              <w:pStyle w:val="ListParagraph"/>
              <w:ind w:left="0"/>
              <w:rPr>
                <w:b/>
              </w:rPr>
            </w:pPr>
            <w:r>
              <w:rPr>
                <w:b/>
                <w:iCs/>
              </w:rPr>
              <w:t xml:space="preserve">  </w:t>
            </w:r>
            <w:r w:rsidRPr="008A7A60">
              <w:rPr>
                <w:b/>
                <w:iCs/>
              </w:rPr>
              <w:t xml:space="preserve">Total  </w:t>
            </w:r>
          </w:p>
        </w:tc>
        <w:tc>
          <w:tcPr>
            <w:tcW w:w="792" w:type="dxa"/>
            <w:shd w:val="clear" w:color="auto" w:fill="auto"/>
          </w:tcPr>
          <w:p w:rsidR="00B20C86" w:rsidRPr="008A7A60" w:rsidRDefault="00B20C86" w:rsidP="00B20C86">
            <w:pPr>
              <w:pStyle w:val="ListParagraph"/>
              <w:ind w:left="0"/>
              <w:jc w:val="center"/>
              <w:rPr>
                <w:b/>
              </w:rPr>
            </w:pPr>
            <w:r w:rsidRPr="008A7A60">
              <w:rPr>
                <w:b/>
                <w:iCs/>
              </w:rPr>
              <w:t>21</w:t>
            </w:r>
          </w:p>
        </w:tc>
        <w:tc>
          <w:tcPr>
            <w:tcW w:w="1080" w:type="dxa"/>
            <w:shd w:val="clear" w:color="auto" w:fill="auto"/>
          </w:tcPr>
          <w:p w:rsidR="00B20C86" w:rsidRPr="008A7A60" w:rsidRDefault="00B20C86" w:rsidP="00B20C86">
            <w:pPr>
              <w:pStyle w:val="ListParagraph"/>
              <w:ind w:left="0"/>
              <w:jc w:val="center"/>
              <w:rPr>
                <w:b/>
              </w:rPr>
            </w:pPr>
            <w:r w:rsidRPr="008A7A60">
              <w:rPr>
                <w:b/>
                <w:iCs/>
              </w:rPr>
              <w:t>8</w:t>
            </w:r>
          </w:p>
        </w:tc>
        <w:tc>
          <w:tcPr>
            <w:tcW w:w="918" w:type="dxa"/>
            <w:shd w:val="clear" w:color="auto" w:fill="auto"/>
          </w:tcPr>
          <w:p w:rsidR="00B20C86" w:rsidRPr="008A7A60" w:rsidRDefault="00B20C86" w:rsidP="00B20C86">
            <w:pPr>
              <w:pStyle w:val="ListParagraph"/>
              <w:ind w:left="0"/>
              <w:jc w:val="center"/>
              <w:rPr>
                <w:b/>
              </w:rPr>
            </w:pPr>
            <w:r w:rsidRPr="008A7A60">
              <w:rPr>
                <w:b/>
                <w:iCs/>
              </w:rPr>
              <w:t>13</w:t>
            </w:r>
          </w:p>
        </w:tc>
        <w:tc>
          <w:tcPr>
            <w:tcW w:w="1152" w:type="dxa"/>
            <w:shd w:val="clear" w:color="auto" w:fill="auto"/>
          </w:tcPr>
          <w:p w:rsidR="00B20C86" w:rsidRPr="008A7A60" w:rsidRDefault="00B20C86" w:rsidP="00B20C86">
            <w:pPr>
              <w:pStyle w:val="ListParagraph"/>
              <w:ind w:left="0"/>
              <w:jc w:val="center"/>
              <w:rPr>
                <w:b/>
              </w:rPr>
            </w:pPr>
            <w:r w:rsidRPr="008A7A60">
              <w:rPr>
                <w:b/>
                <w:iCs/>
              </w:rPr>
              <w:t>9</w:t>
            </w:r>
          </w:p>
        </w:tc>
        <w:tc>
          <w:tcPr>
            <w:tcW w:w="1188" w:type="dxa"/>
            <w:shd w:val="clear" w:color="auto" w:fill="auto"/>
          </w:tcPr>
          <w:p w:rsidR="00B20C86" w:rsidRPr="008A7A60" w:rsidRDefault="00B20C86" w:rsidP="00B20C86">
            <w:pPr>
              <w:rPr>
                <w:b/>
                <w:iCs/>
              </w:rPr>
            </w:pPr>
            <w:r w:rsidRPr="008A7A60">
              <w:rPr>
                <w:b/>
                <w:iCs/>
              </w:rPr>
              <w:t xml:space="preserve">       12</w:t>
            </w:r>
          </w:p>
          <w:p w:rsidR="00B20C86" w:rsidRPr="00B7620F" w:rsidRDefault="00B20C86" w:rsidP="00B20C86">
            <w:pPr>
              <w:pStyle w:val="ListParagraph"/>
              <w:ind w:left="0"/>
              <w:jc w:val="center"/>
              <w:rPr>
                <w:b/>
                <w:sz w:val="18"/>
              </w:rPr>
            </w:pPr>
          </w:p>
        </w:tc>
      </w:tr>
    </w:tbl>
    <w:p w:rsidR="00DC034A" w:rsidRDefault="00DC034A" w:rsidP="00030429">
      <w:pPr>
        <w:pStyle w:val="ListParagraph"/>
        <w:tabs>
          <w:tab w:val="left" w:pos="990"/>
        </w:tabs>
        <w:ind w:left="0"/>
      </w:pPr>
      <w:r w:rsidRPr="00777306">
        <w:rPr>
          <w:iCs/>
          <w:sz w:val="22"/>
        </w:rPr>
        <w:t>The</w:t>
      </w:r>
      <w:r>
        <w:rPr>
          <w:iCs/>
          <w:sz w:val="22"/>
        </w:rPr>
        <w:t xml:space="preserve"> </w:t>
      </w:r>
      <w:r w:rsidR="00030429">
        <w:rPr>
          <w:iCs/>
          <w:sz w:val="22"/>
        </w:rPr>
        <w:t>composition of the sample of interviewed PFPs was the following</w:t>
      </w:r>
      <w:r w:rsidRPr="00777306">
        <w:rPr>
          <w:iCs/>
          <w:sz w:val="22"/>
        </w:rPr>
        <w:t xml:space="preserve">: </w:t>
      </w:r>
    </w:p>
    <w:p w:rsidR="00DC034A" w:rsidRDefault="00DC034A" w:rsidP="00D71FEA">
      <w:pPr>
        <w:pStyle w:val="ListParagraph"/>
        <w:tabs>
          <w:tab w:val="left" w:pos="990"/>
        </w:tabs>
        <w:ind w:left="0"/>
        <w:rPr>
          <w:b/>
          <w:sz w:val="22"/>
          <w:lang w:val="en-US"/>
        </w:rPr>
      </w:pPr>
    </w:p>
    <w:p w:rsidR="00DC034A" w:rsidRDefault="00DC034A" w:rsidP="00D71FEA">
      <w:pPr>
        <w:pStyle w:val="ListParagraph"/>
        <w:tabs>
          <w:tab w:val="left" w:pos="990"/>
        </w:tabs>
        <w:ind w:left="0"/>
        <w:rPr>
          <w:b/>
          <w:sz w:val="22"/>
          <w:lang w:val="en-US"/>
        </w:rPr>
      </w:pPr>
    </w:p>
    <w:p w:rsidR="00030429" w:rsidRDefault="00030429" w:rsidP="003F23D0">
      <w:pPr>
        <w:jc w:val="both"/>
        <w:rPr>
          <w:b/>
          <w:sz w:val="24"/>
        </w:rPr>
      </w:pPr>
    </w:p>
    <w:p w:rsidR="00B20C86" w:rsidRDefault="00B20C86" w:rsidP="003F23D0">
      <w:pPr>
        <w:jc w:val="both"/>
        <w:rPr>
          <w:b/>
          <w:sz w:val="24"/>
        </w:rPr>
      </w:pPr>
    </w:p>
    <w:p w:rsidR="00B20C86" w:rsidRDefault="00B20C86" w:rsidP="003F23D0">
      <w:pPr>
        <w:jc w:val="both"/>
        <w:rPr>
          <w:b/>
          <w:sz w:val="24"/>
        </w:rPr>
      </w:pPr>
    </w:p>
    <w:p w:rsidR="00B20C86" w:rsidRDefault="00B20C86" w:rsidP="003F23D0">
      <w:pPr>
        <w:jc w:val="both"/>
        <w:rPr>
          <w:b/>
          <w:sz w:val="24"/>
        </w:rPr>
      </w:pPr>
    </w:p>
    <w:p w:rsidR="00B20C86" w:rsidRDefault="00B20C86" w:rsidP="003F23D0">
      <w:pPr>
        <w:jc w:val="both"/>
        <w:rPr>
          <w:b/>
          <w:sz w:val="24"/>
        </w:rPr>
      </w:pPr>
    </w:p>
    <w:p w:rsidR="00B20C86" w:rsidRDefault="00B20C86" w:rsidP="003F23D0">
      <w:pPr>
        <w:jc w:val="both"/>
        <w:rPr>
          <w:b/>
          <w:sz w:val="24"/>
        </w:rPr>
      </w:pPr>
    </w:p>
    <w:p w:rsidR="00B20C86" w:rsidRDefault="00B20C86" w:rsidP="003F23D0">
      <w:pPr>
        <w:jc w:val="both"/>
        <w:rPr>
          <w:b/>
          <w:sz w:val="24"/>
        </w:rPr>
      </w:pPr>
    </w:p>
    <w:p w:rsidR="00B20C86" w:rsidRDefault="00B20C86" w:rsidP="003F23D0">
      <w:pPr>
        <w:jc w:val="both"/>
        <w:rPr>
          <w:b/>
          <w:sz w:val="24"/>
        </w:rPr>
      </w:pPr>
    </w:p>
    <w:p w:rsidR="00B20C86" w:rsidRDefault="00B20C86" w:rsidP="003F23D0">
      <w:pPr>
        <w:jc w:val="both"/>
        <w:rPr>
          <w:b/>
          <w:sz w:val="24"/>
        </w:rPr>
      </w:pPr>
    </w:p>
    <w:p w:rsidR="00B20C86" w:rsidRDefault="00B20C86" w:rsidP="003F23D0">
      <w:pPr>
        <w:jc w:val="both"/>
        <w:rPr>
          <w:b/>
          <w:sz w:val="24"/>
        </w:rPr>
      </w:pPr>
    </w:p>
    <w:p w:rsidR="00696A65" w:rsidRDefault="00696A65" w:rsidP="003F23D0">
      <w:pPr>
        <w:jc w:val="both"/>
        <w:rPr>
          <w:b/>
          <w:sz w:val="24"/>
        </w:rPr>
      </w:pPr>
    </w:p>
    <w:p w:rsidR="009571FA" w:rsidRDefault="003F23D0" w:rsidP="003F23D0">
      <w:pPr>
        <w:jc w:val="both"/>
        <w:rPr>
          <w:b/>
          <w:sz w:val="24"/>
        </w:rPr>
      </w:pPr>
      <w:r>
        <w:rPr>
          <w:b/>
          <w:sz w:val="24"/>
        </w:rPr>
        <w:t xml:space="preserve">1.  </w:t>
      </w:r>
      <w:r w:rsidR="009571FA">
        <w:rPr>
          <w:b/>
          <w:sz w:val="24"/>
        </w:rPr>
        <w:t xml:space="preserve"> </w:t>
      </w:r>
      <w:r w:rsidR="009571FA" w:rsidRPr="00D32512">
        <w:rPr>
          <w:b/>
          <w:sz w:val="24"/>
        </w:rPr>
        <w:t xml:space="preserve">Level of gender integration in the programming cycle </w:t>
      </w:r>
    </w:p>
    <w:p w:rsidR="00935E43" w:rsidRPr="00696A65" w:rsidRDefault="00935E43" w:rsidP="003F23D0">
      <w:pPr>
        <w:jc w:val="both"/>
        <w:rPr>
          <w:sz w:val="18"/>
        </w:rPr>
      </w:pPr>
    </w:p>
    <w:p w:rsidR="00696A65" w:rsidRDefault="009B1A00" w:rsidP="00E205AB">
      <w:pPr>
        <w:jc w:val="both"/>
        <w:rPr>
          <w:sz w:val="22"/>
        </w:rPr>
      </w:pPr>
      <w:r>
        <w:rPr>
          <w:sz w:val="22"/>
        </w:rPr>
        <w:t>S</w:t>
      </w:r>
      <w:r w:rsidR="00513312">
        <w:rPr>
          <w:sz w:val="22"/>
        </w:rPr>
        <w:t xml:space="preserve">harp differences </w:t>
      </w:r>
      <w:r w:rsidR="00696A65">
        <w:rPr>
          <w:sz w:val="22"/>
        </w:rPr>
        <w:t xml:space="preserve">in the reported extent of gender integration </w:t>
      </w:r>
      <w:r>
        <w:rPr>
          <w:sz w:val="22"/>
        </w:rPr>
        <w:t xml:space="preserve">into the programming process </w:t>
      </w:r>
      <w:r w:rsidR="00513312">
        <w:rPr>
          <w:sz w:val="22"/>
        </w:rPr>
        <w:t xml:space="preserve">were registered </w:t>
      </w:r>
      <w:r>
        <w:rPr>
          <w:sz w:val="22"/>
        </w:rPr>
        <w:t xml:space="preserve">in regards to the </w:t>
      </w:r>
      <w:r w:rsidR="00696A65">
        <w:rPr>
          <w:sz w:val="22"/>
        </w:rPr>
        <w:t>planning, implementation and monitoring phases of th</w:t>
      </w:r>
      <w:r>
        <w:rPr>
          <w:sz w:val="22"/>
        </w:rPr>
        <w:t>is process</w:t>
      </w:r>
      <w:r w:rsidR="00696A65">
        <w:rPr>
          <w:sz w:val="22"/>
        </w:rPr>
        <w:t>.</w:t>
      </w:r>
      <w:r>
        <w:rPr>
          <w:sz w:val="22"/>
        </w:rPr>
        <w:t xml:space="preserve"> Planning registered the highest reported levels, and monitoring, the lowest. </w:t>
      </w:r>
    </w:p>
    <w:p w:rsidR="00696A65" w:rsidRDefault="00696A65" w:rsidP="00E205AB">
      <w:pPr>
        <w:jc w:val="both"/>
        <w:rPr>
          <w:sz w:val="22"/>
        </w:rPr>
      </w:pPr>
    </w:p>
    <w:p w:rsidR="009571FA" w:rsidRPr="003F23D0" w:rsidRDefault="003F23D0" w:rsidP="00E205AB">
      <w:pPr>
        <w:jc w:val="both"/>
        <w:rPr>
          <w:b/>
          <w:sz w:val="22"/>
        </w:rPr>
      </w:pPr>
      <w:r w:rsidRPr="003F23D0">
        <w:rPr>
          <w:b/>
          <w:sz w:val="22"/>
        </w:rPr>
        <w:t>1.1.</w:t>
      </w:r>
      <w:r w:rsidR="009571FA" w:rsidRPr="003F23D0">
        <w:rPr>
          <w:b/>
          <w:sz w:val="22"/>
        </w:rPr>
        <w:t xml:space="preserve"> In the operational </w:t>
      </w:r>
      <w:r w:rsidR="009571FA" w:rsidRPr="003F23D0">
        <w:rPr>
          <w:b/>
          <w:bCs/>
          <w:sz w:val="22"/>
        </w:rPr>
        <w:t>planning process</w:t>
      </w:r>
      <w:r w:rsidR="009571FA" w:rsidRPr="003F23D0">
        <w:rPr>
          <w:b/>
          <w:sz w:val="22"/>
        </w:rPr>
        <w:t xml:space="preserve"> </w:t>
      </w:r>
    </w:p>
    <w:p w:rsidR="009571FA" w:rsidRPr="004437D0" w:rsidRDefault="009571FA" w:rsidP="00AC445A">
      <w:pPr>
        <w:pStyle w:val="ListParagraph"/>
        <w:tabs>
          <w:tab w:val="left" w:pos="1920"/>
        </w:tabs>
        <w:ind w:left="0"/>
        <w:rPr>
          <w:sz w:val="10"/>
        </w:rPr>
      </w:pPr>
      <w:r w:rsidRPr="00777306">
        <w:rPr>
          <w:sz w:val="22"/>
        </w:rPr>
        <w:tab/>
      </w:r>
    </w:p>
    <w:p w:rsidR="009571FA" w:rsidRDefault="009571FA" w:rsidP="0023487A">
      <w:pPr>
        <w:pStyle w:val="ListParagraph"/>
        <w:ind w:left="0"/>
        <w:rPr>
          <w:b/>
        </w:rPr>
      </w:pPr>
      <w:r w:rsidRPr="00777306">
        <w:rPr>
          <w:sz w:val="22"/>
        </w:rPr>
        <w:t>Gender integration in th</w:t>
      </w:r>
      <w:r w:rsidR="009B1A00">
        <w:rPr>
          <w:sz w:val="22"/>
        </w:rPr>
        <w:t>is phase</w:t>
      </w:r>
      <w:r w:rsidRPr="00777306">
        <w:rPr>
          <w:sz w:val="22"/>
        </w:rPr>
        <w:t xml:space="preserve"> was measured on the basis of affirmative responses given to questions on whether or not consideration was given to gender inequalities in the </w:t>
      </w:r>
      <w:r w:rsidR="0023487A">
        <w:rPr>
          <w:sz w:val="22"/>
        </w:rPr>
        <w:t>definition of objectives</w:t>
      </w:r>
      <w:r w:rsidR="009B1A00">
        <w:rPr>
          <w:sz w:val="22"/>
        </w:rPr>
        <w:t xml:space="preserve">, </w:t>
      </w:r>
      <w:r w:rsidR="0023487A">
        <w:rPr>
          <w:sz w:val="22"/>
        </w:rPr>
        <w:t>activities</w:t>
      </w:r>
      <w:r w:rsidR="009B1A00">
        <w:rPr>
          <w:sz w:val="22"/>
        </w:rPr>
        <w:t xml:space="preserve"> and resources</w:t>
      </w:r>
      <w:r w:rsidR="0023487A">
        <w:rPr>
          <w:sz w:val="22"/>
        </w:rPr>
        <w:t xml:space="preserve"> </w:t>
      </w:r>
      <w:r w:rsidRPr="00777306">
        <w:rPr>
          <w:sz w:val="22"/>
        </w:rPr>
        <w:t xml:space="preserve">corresponding to the </w:t>
      </w:r>
      <w:r w:rsidR="0023487A">
        <w:rPr>
          <w:sz w:val="22"/>
        </w:rPr>
        <w:t xml:space="preserve">most recent </w:t>
      </w:r>
      <w:r w:rsidR="00B20C86">
        <w:rPr>
          <w:sz w:val="22"/>
        </w:rPr>
        <w:t xml:space="preserve">five-year (2008-2012) </w:t>
      </w:r>
      <w:r w:rsidRPr="00777306">
        <w:rPr>
          <w:sz w:val="22"/>
        </w:rPr>
        <w:t>operational planning process</w:t>
      </w:r>
      <w:r w:rsidR="0023487A">
        <w:rPr>
          <w:sz w:val="22"/>
        </w:rPr>
        <w:t>.</w:t>
      </w:r>
      <w:r w:rsidRPr="00777306">
        <w:rPr>
          <w:sz w:val="22"/>
        </w:rPr>
        <w:t xml:space="preserve"> </w:t>
      </w:r>
    </w:p>
    <w:p w:rsidR="009F2CA7" w:rsidRPr="00696A65" w:rsidRDefault="009F2CA7" w:rsidP="00777306">
      <w:pPr>
        <w:ind w:left="720"/>
        <w:rPr>
          <w:b/>
          <w:sz w:val="18"/>
        </w:rPr>
      </w:pPr>
    </w:p>
    <w:p w:rsidR="00EC0912" w:rsidRPr="00513312" w:rsidRDefault="00EC0912" w:rsidP="00777306">
      <w:pPr>
        <w:ind w:left="720"/>
        <w:rPr>
          <w:b/>
          <w:sz w:val="2"/>
        </w:rPr>
      </w:pPr>
    </w:p>
    <w:p w:rsidR="009571FA" w:rsidRDefault="009571FA" w:rsidP="00777306">
      <w:pPr>
        <w:ind w:left="720"/>
      </w:pPr>
      <w:r>
        <w:rPr>
          <w:b/>
        </w:rPr>
        <w:t>Table 1</w:t>
      </w:r>
      <w:r w:rsidR="003F23D0">
        <w:rPr>
          <w:b/>
        </w:rPr>
        <w:t>0</w:t>
      </w:r>
      <w:r>
        <w:rPr>
          <w:b/>
        </w:rPr>
        <w:t xml:space="preserve">.  </w:t>
      </w:r>
      <w:r w:rsidRPr="005A33F9">
        <w:t xml:space="preserve">AMRO/PAHO: </w:t>
      </w:r>
      <w:r>
        <w:t xml:space="preserve">Percent distribution of sampled planning focal points according </w:t>
      </w:r>
      <w:r w:rsidR="009B1A00">
        <w:t xml:space="preserve">           </w:t>
      </w:r>
      <w:r>
        <w:t xml:space="preserve">to reported level </w:t>
      </w:r>
      <w:r w:rsidRPr="005A33F9">
        <w:t xml:space="preserve">of gender integration in </w:t>
      </w:r>
      <w:r>
        <w:t xml:space="preserve">their 2008-2012 </w:t>
      </w:r>
      <w:r w:rsidRPr="005A33F9">
        <w:t>operational</w:t>
      </w:r>
      <w:r w:rsidR="003F23D0">
        <w:t xml:space="preserve"> </w:t>
      </w:r>
      <w:r w:rsidRPr="005A33F9">
        <w:t xml:space="preserve">planning processes, </w:t>
      </w:r>
      <w:r w:rsidR="009B1A00">
        <w:t xml:space="preserve">           </w:t>
      </w:r>
      <w:r w:rsidRPr="005A33F9">
        <w:t>by sex</w:t>
      </w:r>
      <w:r>
        <w:t xml:space="preserve">, </w:t>
      </w:r>
      <w:r w:rsidRPr="005A33F9">
        <w:t xml:space="preserve">grade, </w:t>
      </w:r>
      <w:r>
        <w:t xml:space="preserve">and previous collaboration with PAHO/GE. </w:t>
      </w:r>
      <w:r w:rsidRPr="005A33F9">
        <w:t>2008</w:t>
      </w:r>
    </w:p>
    <w:p w:rsidR="009571FA" w:rsidRPr="00141EAB" w:rsidRDefault="009571FA" w:rsidP="00777306">
      <w:pPr>
        <w:rPr>
          <w:sz w:val="10"/>
        </w:rPr>
      </w:pPr>
    </w:p>
    <w:tbl>
      <w:tblPr>
        <w:tblW w:w="0" w:type="auto"/>
        <w:tblInd w:w="658" w:type="dxa"/>
        <w:tblLayout w:type="fixed"/>
        <w:tblLook w:val="00BF"/>
      </w:tblPr>
      <w:tblGrid>
        <w:gridCol w:w="2180"/>
        <w:gridCol w:w="668"/>
        <w:gridCol w:w="720"/>
        <w:gridCol w:w="932"/>
        <w:gridCol w:w="778"/>
        <w:gridCol w:w="900"/>
        <w:gridCol w:w="810"/>
        <w:gridCol w:w="842"/>
      </w:tblGrid>
      <w:tr w:rsidR="00EC0912" w:rsidTr="00B20C86">
        <w:trPr>
          <w:trHeight w:val="314"/>
        </w:trPr>
        <w:tc>
          <w:tcPr>
            <w:tcW w:w="2180" w:type="dxa"/>
            <w:vMerge w:val="restart"/>
            <w:tcBorders>
              <w:top w:val="single" w:sz="4" w:space="0" w:color="auto"/>
              <w:left w:val="single" w:sz="4" w:space="0" w:color="auto"/>
              <w:right w:val="single" w:sz="4" w:space="0" w:color="auto"/>
            </w:tcBorders>
            <w:shd w:val="clear" w:color="auto" w:fill="C6D9F1"/>
            <w:tcMar>
              <w:top w:w="0" w:type="dxa"/>
              <w:left w:w="28" w:type="dxa"/>
              <w:bottom w:w="0" w:type="dxa"/>
              <w:right w:w="28" w:type="dxa"/>
            </w:tcMar>
            <w:vAlign w:val="center"/>
          </w:tcPr>
          <w:p w:rsidR="00EC0912" w:rsidRPr="00641C40" w:rsidRDefault="00AE047F" w:rsidP="00777306">
            <w:pPr>
              <w:tabs>
                <w:tab w:val="left" w:pos="253"/>
              </w:tabs>
              <w:spacing w:line="276" w:lineRule="auto"/>
              <w:rPr>
                <w:rFonts w:ascii="Calibri" w:hAnsi="Calibri"/>
                <w:color w:val="000000"/>
                <w:szCs w:val="20"/>
              </w:rPr>
            </w:pPr>
            <w:r>
              <w:rPr>
                <w:rFonts w:ascii="Calibri" w:hAnsi="Calibri"/>
                <w:color w:val="000000"/>
                <w:szCs w:val="20"/>
              </w:rPr>
              <w:t xml:space="preserve">             Planning </w:t>
            </w:r>
          </w:p>
        </w:tc>
        <w:tc>
          <w:tcPr>
            <w:tcW w:w="668" w:type="dxa"/>
            <w:vMerge w:val="restart"/>
            <w:tcBorders>
              <w:top w:val="single" w:sz="4" w:space="0" w:color="auto"/>
              <w:left w:val="single" w:sz="4" w:space="0" w:color="auto"/>
              <w:right w:val="single" w:sz="4" w:space="0" w:color="auto"/>
            </w:tcBorders>
            <w:shd w:val="clear" w:color="auto" w:fill="C6D9F1"/>
            <w:tcMar>
              <w:top w:w="0" w:type="dxa"/>
              <w:left w:w="28" w:type="dxa"/>
              <w:bottom w:w="0" w:type="dxa"/>
              <w:right w:w="28" w:type="dxa"/>
            </w:tcMar>
            <w:vAlign w:val="center"/>
          </w:tcPr>
          <w:p w:rsidR="00EC0912" w:rsidRPr="00641C40" w:rsidRDefault="00EC0912" w:rsidP="00777306">
            <w:pPr>
              <w:tabs>
                <w:tab w:val="left" w:pos="253"/>
              </w:tabs>
              <w:spacing w:line="276" w:lineRule="auto"/>
              <w:jc w:val="center"/>
              <w:rPr>
                <w:rFonts w:ascii="Calibri" w:hAnsi="Calibri"/>
                <w:b/>
                <w:color w:val="000000"/>
                <w:szCs w:val="20"/>
                <w:lang w:val="en-US"/>
              </w:rPr>
            </w:pPr>
            <w:r w:rsidRPr="00641C40">
              <w:rPr>
                <w:rFonts w:ascii="Calibri" w:hAnsi="Calibri"/>
                <w:b/>
                <w:color w:val="000000"/>
                <w:szCs w:val="20"/>
                <w:lang w:val="en-US"/>
              </w:rPr>
              <w:t>N</w:t>
            </w:r>
          </w:p>
        </w:tc>
        <w:tc>
          <w:tcPr>
            <w:tcW w:w="4982" w:type="dxa"/>
            <w:gridSpan w:val="6"/>
            <w:tcBorders>
              <w:top w:val="single" w:sz="4" w:space="0" w:color="auto"/>
              <w:left w:val="single" w:sz="4" w:space="0" w:color="auto"/>
              <w:bottom w:val="single" w:sz="4" w:space="0" w:color="auto"/>
              <w:right w:val="single" w:sz="4" w:space="0" w:color="auto"/>
            </w:tcBorders>
            <w:shd w:val="clear" w:color="auto" w:fill="C6D9F1"/>
            <w:tcMar>
              <w:top w:w="0" w:type="dxa"/>
              <w:left w:w="28" w:type="dxa"/>
              <w:bottom w:w="0" w:type="dxa"/>
              <w:right w:w="28" w:type="dxa"/>
            </w:tcMar>
            <w:vAlign w:val="center"/>
          </w:tcPr>
          <w:p w:rsidR="00EC0912" w:rsidRPr="00EC0912" w:rsidRDefault="00EC0912" w:rsidP="00EC0912">
            <w:pPr>
              <w:spacing w:line="276" w:lineRule="auto"/>
              <w:jc w:val="center"/>
              <w:rPr>
                <w:rFonts w:ascii="Calibri" w:hAnsi="Calibri"/>
                <w:b/>
                <w:color w:val="000000"/>
                <w:szCs w:val="20"/>
              </w:rPr>
            </w:pPr>
            <w:r w:rsidRPr="00EC0912">
              <w:rPr>
                <w:rFonts w:ascii="Calibri" w:hAnsi="Calibri"/>
                <w:b/>
                <w:color w:val="000000"/>
                <w:szCs w:val="20"/>
              </w:rPr>
              <w:t>Level of Gender Integration</w:t>
            </w:r>
          </w:p>
        </w:tc>
      </w:tr>
      <w:tr w:rsidR="00EC0912" w:rsidTr="00B20C86">
        <w:trPr>
          <w:trHeight w:val="314"/>
        </w:trPr>
        <w:tc>
          <w:tcPr>
            <w:tcW w:w="2180" w:type="dxa"/>
            <w:vMerge/>
            <w:tcBorders>
              <w:left w:val="single" w:sz="4" w:space="0" w:color="auto"/>
              <w:right w:val="single" w:sz="4" w:space="0" w:color="auto"/>
            </w:tcBorders>
            <w:shd w:val="clear" w:color="auto" w:fill="C6D9F1"/>
            <w:tcMar>
              <w:top w:w="0" w:type="dxa"/>
              <w:left w:w="28" w:type="dxa"/>
              <w:bottom w:w="0" w:type="dxa"/>
              <w:right w:w="28" w:type="dxa"/>
            </w:tcMar>
            <w:vAlign w:val="center"/>
          </w:tcPr>
          <w:p w:rsidR="00EC0912" w:rsidRPr="00641C40" w:rsidRDefault="00EC0912" w:rsidP="00777306">
            <w:pPr>
              <w:tabs>
                <w:tab w:val="left" w:pos="253"/>
              </w:tabs>
              <w:spacing w:line="276" w:lineRule="auto"/>
              <w:rPr>
                <w:rFonts w:ascii="Calibri" w:hAnsi="Calibri"/>
                <w:color w:val="000000"/>
                <w:szCs w:val="20"/>
              </w:rPr>
            </w:pPr>
          </w:p>
        </w:tc>
        <w:tc>
          <w:tcPr>
            <w:tcW w:w="668" w:type="dxa"/>
            <w:vMerge/>
            <w:tcBorders>
              <w:left w:val="single" w:sz="4" w:space="0" w:color="auto"/>
              <w:right w:val="single" w:sz="4" w:space="0" w:color="auto"/>
            </w:tcBorders>
            <w:shd w:val="clear" w:color="auto" w:fill="C6D9F1"/>
            <w:tcMar>
              <w:top w:w="0" w:type="dxa"/>
              <w:left w:w="28" w:type="dxa"/>
              <w:bottom w:w="0" w:type="dxa"/>
              <w:right w:w="28" w:type="dxa"/>
            </w:tcMar>
            <w:vAlign w:val="center"/>
          </w:tcPr>
          <w:p w:rsidR="00EC0912" w:rsidRPr="00641C40" w:rsidRDefault="00EC0912" w:rsidP="00777306">
            <w:pPr>
              <w:tabs>
                <w:tab w:val="left" w:pos="253"/>
              </w:tabs>
              <w:spacing w:line="276" w:lineRule="auto"/>
              <w:jc w:val="center"/>
              <w:rPr>
                <w:rFonts w:ascii="Calibri" w:hAnsi="Calibri"/>
                <w:b/>
                <w:color w:val="000000"/>
                <w:szCs w:val="20"/>
                <w:lang w:val="en-US"/>
              </w:rPr>
            </w:pPr>
          </w:p>
        </w:tc>
        <w:tc>
          <w:tcPr>
            <w:tcW w:w="1652" w:type="dxa"/>
            <w:gridSpan w:val="2"/>
            <w:tcBorders>
              <w:top w:val="single" w:sz="4" w:space="0" w:color="auto"/>
              <w:left w:val="single" w:sz="4" w:space="0" w:color="auto"/>
              <w:bottom w:val="single" w:sz="4" w:space="0" w:color="auto"/>
              <w:right w:val="nil"/>
            </w:tcBorders>
            <w:shd w:val="clear" w:color="auto" w:fill="C6D9F1"/>
            <w:tcMar>
              <w:top w:w="0" w:type="dxa"/>
              <w:left w:w="28" w:type="dxa"/>
              <w:bottom w:w="0" w:type="dxa"/>
              <w:right w:w="28" w:type="dxa"/>
            </w:tcMar>
            <w:vAlign w:val="center"/>
          </w:tcPr>
          <w:p w:rsidR="00EC0912" w:rsidRPr="00EC0912" w:rsidRDefault="00EC0912" w:rsidP="00EC0912">
            <w:pPr>
              <w:spacing w:line="276" w:lineRule="auto"/>
              <w:jc w:val="center"/>
              <w:rPr>
                <w:rFonts w:ascii="Calibri" w:hAnsi="Calibri"/>
                <w:color w:val="000000"/>
                <w:szCs w:val="20"/>
              </w:rPr>
            </w:pPr>
            <w:r w:rsidRPr="00EC0912">
              <w:rPr>
                <w:rFonts w:ascii="Calibri" w:hAnsi="Calibri"/>
                <w:color w:val="000000"/>
                <w:szCs w:val="20"/>
              </w:rPr>
              <w:t xml:space="preserve">None or weak </w:t>
            </w:r>
          </w:p>
        </w:tc>
        <w:tc>
          <w:tcPr>
            <w:tcW w:w="1678" w:type="dxa"/>
            <w:gridSpan w:val="2"/>
            <w:tcBorders>
              <w:top w:val="single" w:sz="4" w:space="0" w:color="auto"/>
              <w:left w:val="single" w:sz="4" w:space="0" w:color="auto"/>
              <w:bottom w:val="single" w:sz="4" w:space="0" w:color="auto"/>
              <w:right w:val="nil"/>
            </w:tcBorders>
            <w:shd w:val="clear" w:color="auto" w:fill="C6D9F1"/>
            <w:tcMar>
              <w:top w:w="0" w:type="dxa"/>
              <w:left w:w="28" w:type="dxa"/>
              <w:bottom w:w="0" w:type="dxa"/>
              <w:right w:w="28" w:type="dxa"/>
            </w:tcMar>
            <w:vAlign w:val="center"/>
          </w:tcPr>
          <w:p w:rsidR="00EC0912" w:rsidRPr="00EC0912" w:rsidRDefault="00EC0912" w:rsidP="00EC0912">
            <w:pPr>
              <w:spacing w:line="276" w:lineRule="auto"/>
              <w:jc w:val="center"/>
              <w:rPr>
                <w:rFonts w:ascii="Calibri" w:hAnsi="Calibri"/>
                <w:color w:val="000000"/>
                <w:szCs w:val="20"/>
              </w:rPr>
            </w:pPr>
            <w:r w:rsidRPr="00EC0912">
              <w:rPr>
                <w:rFonts w:ascii="Calibri" w:hAnsi="Calibri"/>
                <w:color w:val="000000"/>
                <w:szCs w:val="20"/>
              </w:rPr>
              <w:t xml:space="preserve">Some or moderate </w:t>
            </w:r>
          </w:p>
        </w:tc>
        <w:tc>
          <w:tcPr>
            <w:tcW w:w="1652" w:type="dxa"/>
            <w:gridSpan w:val="2"/>
            <w:tcBorders>
              <w:top w:val="single" w:sz="4" w:space="0" w:color="auto"/>
              <w:left w:val="single" w:sz="4" w:space="0" w:color="auto"/>
              <w:bottom w:val="single" w:sz="4" w:space="0" w:color="auto"/>
              <w:right w:val="single" w:sz="4" w:space="0" w:color="auto"/>
            </w:tcBorders>
            <w:shd w:val="clear" w:color="auto" w:fill="C6D9F1"/>
            <w:tcMar>
              <w:top w:w="0" w:type="dxa"/>
              <w:left w:w="28" w:type="dxa"/>
              <w:bottom w:w="0" w:type="dxa"/>
              <w:right w:w="28" w:type="dxa"/>
            </w:tcMar>
            <w:vAlign w:val="center"/>
          </w:tcPr>
          <w:p w:rsidR="00EC0912" w:rsidRPr="00EC0912" w:rsidRDefault="00EC0912" w:rsidP="00EC0912">
            <w:pPr>
              <w:spacing w:line="276" w:lineRule="auto"/>
              <w:jc w:val="center"/>
              <w:rPr>
                <w:rFonts w:ascii="Calibri" w:hAnsi="Calibri"/>
                <w:color w:val="000000"/>
                <w:szCs w:val="20"/>
              </w:rPr>
            </w:pPr>
            <w:r w:rsidRPr="00EC0912">
              <w:rPr>
                <w:rFonts w:ascii="Calibri" w:hAnsi="Calibri"/>
                <w:color w:val="000000"/>
                <w:szCs w:val="20"/>
              </w:rPr>
              <w:t xml:space="preserve">Strong </w:t>
            </w:r>
          </w:p>
        </w:tc>
      </w:tr>
      <w:tr w:rsidR="00EC0912" w:rsidTr="00B20C86">
        <w:trPr>
          <w:trHeight w:val="314"/>
        </w:trPr>
        <w:tc>
          <w:tcPr>
            <w:tcW w:w="2180" w:type="dxa"/>
            <w:vMerge/>
            <w:tcBorders>
              <w:left w:val="single" w:sz="4" w:space="0" w:color="auto"/>
              <w:bottom w:val="single" w:sz="4" w:space="0" w:color="auto"/>
              <w:right w:val="single" w:sz="4" w:space="0" w:color="auto"/>
            </w:tcBorders>
            <w:vAlign w:val="center"/>
          </w:tcPr>
          <w:p w:rsidR="00EC0912" w:rsidRPr="00641C40" w:rsidRDefault="00EC0912" w:rsidP="00777306">
            <w:pPr>
              <w:rPr>
                <w:rFonts w:ascii="Calibri" w:hAnsi="Calibri"/>
                <w:b/>
                <w:color w:val="000000"/>
                <w:szCs w:val="20"/>
              </w:rPr>
            </w:pPr>
          </w:p>
        </w:tc>
        <w:tc>
          <w:tcPr>
            <w:tcW w:w="668" w:type="dxa"/>
            <w:vMerge/>
            <w:tcBorders>
              <w:left w:val="single" w:sz="4" w:space="0" w:color="auto"/>
              <w:bottom w:val="single" w:sz="4" w:space="0" w:color="auto"/>
              <w:right w:val="single" w:sz="4" w:space="0" w:color="auto"/>
            </w:tcBorders>
            <w:vAlign w:val="center"/>
          </w:tcPr>
          <w:p w:rsidR="00EC0912" w:rsidRPr="00641C40" w:rsidRDefault="00EC0912" w:rsidP="00777306">
            <w:pPr>
              <w:rPr>
                <w:rFonts w:ascii="Calibri" w:hAnsi="Calibri"/>
                <w:b/>
                <w:color w:val="000000"/>
                <w:szCs w:val="20"/>
                <w:lang w:val="en-US"/>
              </w:rPr>
            </w:pPr>
          </w:p>
        </w:tc>
        <w:tc>
          <w:tcPr>
            <w:tcW w:w="720" w:type="dxa"/>
            <w:tcBorders>
              <w:top w:val="single" w:sz="4" w:space="0" w:color="auto"/>
              <w:left w:val="single" w:sz="4" w:space="0" w:color="auto"/>
              <w:bottom w:val="single" w:sz="4" w:space="0" w:color="auto"/>
              <w:right w:val="nil"/>
            </w:tcBorders>
            <w:shd w:val="clear" w:color="auto" w:fill="C6D9F1"/>
            <w:tcMar>
              <w:top w:w="0" w:type="dxa"/>
              <w:left w:w="28" w:type="dxa"/>
              <w:bottom w:w="0" w:type="dxa"/>
              <w:right w:w="28" w:type="dxa"/>
            </w:tcMar>
            <w:vAlign w:val="center"/>
          </w:tcPr>
          <w:p w:rsidR="00EC0912" w:rsidRPr="00641C40" w:rsidRDefault="00EC0912" w:rsidP="00777306">
            <w:pPr>
              <w:spacing w:line="276" w:lineRule="auto"/>
              <w:jc w:val="center"/>
              <w:rPr>
                <w:rFonts w:ascii="Calibri" w:hAnsi="Calibri"/>
                <w:b/>
                <w:color w:val="000000"/>
                <w:szCs w:val="20"/>
                <w:lang w:val="es-ES_tradnl"/>
              </w:rPr>
            </w:pPr>
            <w:r w:rsidRPr="00641C40">
              <w:rPr>
                <w:rFonts w:ascii="Calibri" w:hAnsi="Calibri"/>
                <w:b/>
                <w:color w:val="000000"/>
                <w:szCs w:val="20"/>
                <w:lang w:val="es-ES_tradnl"/>
              </w:rPr>
              <w:t>n</w:t>
            </w:r>
          </w:p>
        </w:tc>
        <w:tc>
          <w:tcPr>
            <w:tcW w:w="932" w:type="dxa"/>
            <w:tcBorders>
              <w:top w:val="single" w:sz="4" w:space="0" w:color="auto"/>
              <w:left w:val="nil"/>
              <w:bottom w:val="single" w:sz="4" w:space="0" w:color="auto"/>
              <w:right w:val="nil"/>
            </w:tcBorders>
            <w:shd w:val="clear" w:color="auto" w:fill="C6D9F1"/>
            <w:tcMar>
              <w:top w:w="0" w:type="dxa"/>
              <w:left w:w="28" w:type="dxa"/>
              <w:bottom w:w="0" w:type="dxa"/>
              <w:right w:w="28" w:type="dxa"/>
            </w:tcMar>
            <w:vAlign w:val="center"/>
          </w:tcPr>
          <w:p w:rsidR="00EC0912" w:rsidRPr="00641C40" w:rsidRDefault="00EC0912" w:rsidP="00777306">
            <w:pPr>
              <w:spacing w:line="276" w:lineRule="auto"/>
              <w:jc w:val="center"/>
              <w:rPr>
                <w:rFonts w:ascii="Calibri" w:hAnsi="Calibri"/>
                <w:b/>
                <w:color w:val="000000"/>
                <w:szCs w:val="20"/>
                <w:lang w:val="es-ES_tradnl"/>
              </w:rPr>
            </w:pPr>
            <w:r w:rsidRPr="00641C40">
              <w:rPr>
                <w:rFonts w:ascii="Calibri" w:hAnsi="Calibri"/>
                <w:b/>
                <w:color w:val="000000"/>
                <w:szCs w:val="20"/>
                <w:lang w:val="es-ES_tradnl"/>
              </w:rPr>
              <w:t>%</w:t>
            </w:r>
          </w:p>
        </w:tc>
        <w:tc>
          <w:tcPr>
            <w:tcW w:w="778" w:type="dxa"/>
            <w:tcBorders>
              <w:top w:val="single" w:sz="4" w:space="0" w:color="auto"/>
              <w:left w:val="single" w:sz="4" w:space="0" w:color="auto"/>
              <w:bottom w:val="single" w:sz="4" w:space="0" w:color="auto"/>
              <w:right w:val="nil"/>
            </w:tcBorders>
            <w:shd w:val="clear" w:color="auto" w:fill="C6D9F1"/>
            <w:tcMar>
              <w:top w:w="0" w:type="dxa"/>
              <w:left w:w="28" w:type="dxa"/>
              <w:bottom w:w="0" w:type="dxa"/>
              <w:right w:w="28" w:type="dxa"/>
            </w:tcMar>
            <w:vAlign w:val="center"/>
          </w:tcPr>
          <w:p w:rsidR="00EC0912" w:rsidRPr="00641C40" w:rsidRDefault="00EC0912" w:rsidP="00777306">
            <w:pPr>
              <w:spacing w:line="276" w:lineRule="auto"/>
              <w:jc w:val="center"/>
              <w:rPr>
                <w:rFonts w:ascii="Calibri" w:hAnsi="Calibri"/>
                <w:b/>
                <w:color w:val="000000"/>
                <w:szCs w:val="20"/>
                <w:lang w:val="es-ES_tradnl"/>
              </w:rPr>
            </w:pPr>
            <w:r w:rsidRPr="00641C40">
              <w:rPr>
                <w:rFonts w:ascii="Calibri" w:hAnsi="Calibri"/>
                <w:b/>
                <w:color w:val="000000"/>
                <w:szCs w:val="20"/>
                <w:lang w:val="es-ES_tradnl"/>
              </w:rPr>
              <w:t>n</w:t>
            </w:r>
          </w:p>
        </w:tc>
        <w:tc>
          <w:tcPr>
            <w:tcW w:w="900" w:type="dxa"/>
            <w:tcBorders>
              <w:top w:val="single" w:sz="4" w:space="0" w:color="auto"/>
              <w:left w:val="nil"/>
              <w:bottom w:val="single" w:sz="4" w:space="0" w:color="auto"/>
              <w:right w:val="nil"/>
            </w:tcBorders>
            <w:shd w:val="clear" w:color="auto" w:fill="C6D9F1"/>
            <w:tcMar>
              <w:top w:w="0" w:type="dxa"/>
              <w:left w:w="28" w:type="dxa"/>
              <w:bottom w:w="0" w:type="dxa"/>
              <w:right w:w="28" w:type="dxa"/>
            </w:tcMar>
            <w:vAlign w:val="center"/>
          </w:tcPr>
          <w:p w:rsidR="00EC0912" w:rsidRPr="00641C40" w:rsidRDefault="00EC0912" w:rsidP="00777306">
            <w:pPr>
              <w:spacing w:line="276" w:lineRule="auto"/>
              <w:jc w:val="center"/>
              <w:rPr>
                <w:rFonts w:ascii="Calibri" w:hAnsi="Calibri"/>
                <w:b/>
                <w:color w:val="000000"/>
                <w:szCs w:val="20"/>
                <w:lang w:val="es-ES_tradnl"/>
              </w:rPr>
            </w:pPr>
            <w:r w:rsidRPr="00641C40">
              <w:rPr>
                <w:rFonts w:ascii="Calibri" w:hAnsi="Calibri"/>
                <w:b/>
                <w:color w:val="000000"/>
                <w:szCs w:val="20"/>
                <w:lang w:val="es-ES_tradnl"/>
              </w:rPr>
              <w:t>%</w:t>
            </w:r>
          </w:p>
        </w:tc>
        <w:tc>
          <w:tcPr>
            <w:tcW w:w="810" w:type="dxa"/>
            <w:tcBorders>
              <w:top w:val="single" w:sz="4" w:space="0" w:color="auto"/>
              <w:left w:val="single" w:sz="4" w:space="0" w:color="auto"/>
              <w:bottom w:val="single" w:sz="4" w:space="0" w:color="auto"/>
              <w:right w:val="nil"/>
            </w:tcBorders>
            <w:shd w:val="clear" w:color="auto" w:fill="C6D9F1"/>
            <w:tcMar>
              <w:top w:w="0" w:type="dxa"/>
              <w:left w:w="28" w:type="dxa"/>
              <w:bottom w:w="0" w:type="dxa"/>
              <w:right w:w="28" w:type="dxa"/>
            </w:tcMar>
            <w:vAlign w:val="center"/>
          </w:tcPr>
          <w:p w:rsidR="00EC0912" w:rsidRPr="00641C40" w:rsidRDefault="00EC0912" w:rsidP="00777306">
            <w:pPr>
              <w:spacing w:line="276" w:lineRule="auto"/>
              <w:jc w:val="center"/>
              <w:rPr>
                <w:rFonts w:ascii="Calibri" w:hAnsi="Calibri"/>
                <w:b/>
                <w:color w:val="000000"/>
                <w:szCs w:val="20"/>
                <w:lang w:val="es-ES_tradnl"/>
              </w:rPr>
            </w:pPr>
            <w:r w:rsidRPr="00641C40">
              <w:rPr>
                <w:rFonts w:ascii="Calibri" w:hAnsi="Calibri"/>
                <w:b/>
                <w:color w:val="000000"/>
                <w:szCs w:val="20"/>
                <w:lang w:val="es-ES_tradnl"/>
              </w:rPr>
              <w:t>n</w:t>
            </w:r>
          </w:p>
        </w:tc>
        <w:tc>
          <w:tcPr>
            <w:tcW w:w="842" w:type="dxa"/>
            <w:tcBorders>
              <w:top w:val="single" w:sz="4" w:space="0" w:color="auto"/>
              <w:left w:val="nil"/>
              <w:bottom w:val="single" w:sz="4" w:space="0" w:color="auto"/>
              <w:right w:val="single" w:sz="4" w:space="0" w:color="auto"/>
            </w:tcBorders>
            <w:shd w:val="clear" w:color="auto" w:fill="C6D9F1"/>
            <w:tcMar>
              <w:top w:w="0" w:type="dxa"/>
              <w:left w:w="28" w:type="dxa"/>
              <w:bottom w:w="0" w:type="dxa"/>
              <w:right w:w="28" w:type="dxa"/>
            </w:tcMar>
            <w:vAlign w:val="center"/>
          </w:tcPr>
          <w:p w:rsidR="00EC0912" w:rsidRPr="00641C40" w:rsidRDefault="00EC0912" w:rsidP="00777306">
            <w:pPr>
              <w:spacing w:line="276" w:lineRule="auto"/>
              <w:jc w:val="center"/>
              <w:rPr>
                <w:rFonts w:ascii="Calibri" w:hAnsi="Calibri"/>
                <w:b/>
                <w:color w:val="000000"/>
                <w:szCs w:val="20"/>
                <w:lang w:val="es-ES_tradnl"/>
              </w:rPr>
            </w:pPr>
            <w:r w:rsidRPr="00641C40">
              <w:rPr>
                <w:rFonts w:ascii="Calibri" w:hAnsi="Calibri"/>
                <w:b/>
                <w:color w:val="000000"/>
                <w:szCs w:val="20"/>
                <w:lang w:val="es-ES_tradnl"/>
              </w:rPr>
              <w:t>%</w:t>
            </w:r>
          </w:p>
        </w:tc>
      </w:tr>
      <w:tr w:rsidR="009571FA" w:rsidTr="00B20C86">
        <w:trPr>
          <w:trHeight w:val="314"/>
        </w:trPr>
        <w:tc>
          <w:tcPr>
            <w:tcW w:w="2180" w:type="dxa"/>
            <w:tcBorders>
              <w:top w:val="single" w:sz="4" w:space="0" w:color="auto"/>
              <w:left w:val="single" w:sz="4" w:space="0" w:color="auto"/>
              <w:bottom w:val="single" w:sz="4" w:space="0" w:color="auto"/>
              <w:right w:val="single" w:sz="4" w:space="0" w:color="auto"/>
            </w:tcBorders>
            <w:shd w:val="clear" w:color="auto" w:fill="EAF1DD"/>
            <w:tcMar>
              <w:top w:w="0" w:type="dxa"/>
              <w:left w:w="28" w:type="dxa"/>
              <w:bottom w:w="0" w:type="dxa"/>
              <w:right w:w="28" w:type="dxa"/>
            </w:tcMar>
            <w:vAlign w:val="center"/>
          </w:tcPr>
          <w:p w:rsidR="009571FA" w:rsidRPr="00641C40" w:rsidRDefault="009571FA" w:rsidP="00777306">
            <w:pPr>
              <w:tabs>
                <w:tab w:val="left" w:pos="253"/>
              </w:tabs>
              <w:spacing w:line="276" w:lineRule="auto"/>
              <w:rPr>
                <w:rFonts w:ascii="Calibri" w:hAnsi="Calibri"/>
                <w:b/>
                <w:szCs w:val="20"/>
              </w:rPr>
            </w:pPr>
            <w:r w:rsidRPr="00641C40">
              <w:rPr>
                <w:rFonts w:ascii="Calibri" w:hAnsi="Calibri"/>
                <w:b/>
                <w:szCs w:val="20"/>
              </w:rPr>
              <w:t>WHO planners sample</w:t>
            </w:r>
          </w:p>
        </w:tc>
        <w:tc>
          <w:tcPr>
            <w:tcW w:w="668" w:type="dxa"/>
            <w:tcBorders>
              <w:top w:val="single" w:sz="4" w:space="0" w:color="auto"/>
              <w:left w:val="single" w:sz="4" w:space="0" w:color="auto"/>
              <w:bottom w:val="single" w:sz="4" w:space="0" w:color="auto"/>
              <w:right w:val="single" w:sz="4" w:space="0" w:color="auto"/>
            </w:tcBorders>
            <w:shd w:val="clear" w:color="auto" w:fill="EAF1DD"/>
            <w:tcMar>
              <w:top w:w="0" w:type="dxa"/>
              <w:left w:w="28" w:type="dxa"/>
              <w:bottom w:w="0" w:type="dxa"/>
              <w:right w:w="28" w:type="dxa"/>
            </w:tcMar>
            <w:vAlign w:val="center"/>
          </w:tcPr>
          <w:p w:rsidR="009571FA" w:rsidRPr="00641C40" w:rsidRDefault="009571FA" w:rsidP="00777306">
            <w:pPr>
              <w:tabs>
                <w:tab w:val="left" w:pos="253"/>
              </w:tabs>
              <w:spacing w:line="276" w:lineRule="auto"/>
              <w:jc w:val="center"/>
              <w:rPr>
                <w:rFonts w:ascii="Calibri" w:hAnsi="Calibri"/>
                <w:b/>
                <w:szCs w:val="20"/>
                <w:lang w:val="es-ES_tradnl"/>
              </w:rPr>
            </w:pPr>
            <w:r w:rsidRPr="00641C40">
              <w:rPr>
                <w:rFonts w:ascii="Calibri" w:hAnsi="Calibri"/>
                <w:b/>
                <w:szCs w:val="20"/>
                <w:lang w:val="es-ES_tradnl"/>
              </w:rPr>
              <w:t>131</w:t>
            </w:r>
          </w:p>
        </w:tc>
        <w:tc>
          <w:tcPr>
            <w:tcW w:w="720" w:type="dxa"/>
            <w:tcBorders>
              <w:top w:val="single" w:sz="4" w:space="0" w:color="auto"/>
              <w:left w:val="single" w:sz="4" w:space="0" w:color="auto"/>
              <w:bottom w:val="single" w:sz="4" w:space="0" w:color="auto"/>
              <w:right w:val="nil"/>
            </w:tcBorders>
            <w:shd w:val="clear" w:color="auto" w:fill="EAF1DD"/>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b/>
                <w:szCs w:val="20"/>
                <w:lang w:val="es-ES_tradnl"/>
              </w:rPr>
            </w:pPr>
            <w:r w:rsidRPr="00641C40">
              <w:rPr>
                <w:rFonts w:ascii="Calibri" w:hAnsi="Calibri"/>
                <w:b/>
                <w:szCs w:val="20"/>
                <w:lang w:val="es-ES_tradnl"/>
              </w:rPr>
              <w:t>45</w:t>
            </w:r>
          </w:p>
        </w:tc>
        <w:tc>
          <w:tcPr>
            <w:tcW w:w="932" w:type="dxa"/>
            <w:tcBorders>
              <w:top w:val="single" w:sz="4" w:space="0" w:color="auto"/>
              <w:left w:val="nil"/>
              <w:bottom w:val="single" w:sz="4" w:space="0" w:color="auto"/>
              <w:right w:val="nil"/>
            </w:tcBorders>
            <w:shd w:val="clear" w:color="auto" w:fill="EAF1DD"/>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b/>
                <w:szCs w:val="20"/>
                <w:lang w:val="es-ES_tradnl"/>
              </w:rPr>
            </w:pPr>
            <w:r w:rsidRPr="00641C40">
              <w:rPr>
                <w:rFonts w:ascii="Calibri" w:hAnsi="Calibri"/>
                <w:b/>
                <w:szCs w:val="20"/>
                <w:lang w:val="es-ES_tradnl"/>
              </w:rPr>
              <w:t>34.4</w:t>
            </w:r>
          </w:p>
        </w:tc>
        <w:tc>
          <w:tcPr>
            <w:tcW w:w="778" w:type="dxa"/>
            <w:tcBorders>
              <w:top w:val="single" w:sz="4" w:space="0" w:color="auto"/>
              <w:left w:val="single" w:sz="4" w:space="0" w:color="auto"/>
              <w:bottom w:val="single" w:sz="4" w:space="0" w:color="auto"/>
              <w:right w:val="nil"/>
            </w:tcBorders>
            <w:shd w:val="clear" w:color="auto" w:fill="EAF1DD"/>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b/>
                <w:szCs w:val="20"/>
                <w:lang w:val="es-ES_tradnl"/>
              </w:rPr>
            </w:pPr>
            <w:r w:rsidRPr="00641C40">
              <w:rPr>
                <w:rFonts w:ascii="Calibri" w:hAnsi="Calibri"/>
                <w:b/>
                <w:szCs w:val="20"/>
                <w:lang w:val="es-ES_tradnl"/>
              </w:rPr>
              <w:t>37</w:t>
            </w:r>
          </w:p>
        </w:tc>
        <w:tc>
          <w:tcPr>
            <w:tcW w:w="900" w:type="dxa"/>
            <w:tcBorders>
              <w:top w:val="single" w:sz="4" w:space="0" w:color="auto"/>
              <w:left w:val="nil"/>
              <w:bottom w:val="single" w:sz="4" w:space="0" w:color="auto"/>
              <w:right w:val="nil"/>
            </w:tcBorders>
            <w:shd w:val="clear" w:color="auto" w:fill="EAF1DD"/>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b/>
                <w:szCs w:val="20"/>
                <w:lang w:val="es-ES_tradnl"/>
              </w:rPr>
            </w:pPr>
            <w:r w:rsidRPr="00641C40">
              <w:rPr>
                <w:rFonts w:ascii="Calibri" w:hAnsi="Calibri"/>
                <w:b/>
                <w:szCs w:val="20"/>
                <w:lang w:val="es-ES_tradnl"/>
              </w:rPr>
              <w:t>28.2</w:t>
            </w:r>
          </w:p>
        </w:tc>
        <w:tc>
          <w:tcPr>
            <w:tcW w:w="810" w:type="dxa"/>
            <w:tcBorders>
              <w:top w:val="single" w:sz="4" w:space="0" w:color="auto"/>
              <w:left w:val="single" w:sz="4" w:space="0" w:color="auto"/>
              <w:bottom w:val="single" w:sz="4" w:space="0" w:color="auto"/>
              <w:right w:val="nil"/>
            </w:tcBorders>
            <w:shd w:val="clear" w:color="auto" w:fill="EAF1DD"/>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b/>
                <w:szCs w:val="20"/>
                <w:lang w:val="es-ES_tradnl"/>
              </w:rPr>
            </w:pPr>
            <w:r w:rsidRPr="00641C40">
              <w:rPr>
                <w:rFonts w:ascii="Calibri" w:hAnsi="Calibri"/>
                <w:b/>
                <w:szCs w:val="20"/>
                <w:lang w:val="es-ES_tradnl"/>
              </w:rPr>
              <w:t>49</w:t>
            </w:r>
          </w:p>
        </w:tc>
        <w:tc>
          <w:tcPr>
            <w:tcW w:w="842" w:type="dxa"/>
            <w:tcBorders>
              <w:top w:val="single" w:sz="4" w:space="0" w:color="auto"/>
              <w:left w:val="nil"/>
              <w:bottom w:val="single" w:sz="4" w:space="0" w:color="auto"/>
              <w:right w:val="single" w:sz="4" w:space="0" w:color="auto"/>
            </w:tcBorders>
            <w:shd w:val="clear" w:color="auto" w:fill="EAF1DD"/>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b/>
                <w:szCs w:val="20"/>
                <w:lang w:val="es-ES_tradnl"/>
              </w:rPr>
            </w:pPr>
            <w:r w:rsidRPr="00641C40">
              <w:rPr>
                <w:rFonts w:ascii="Calibri" w:hAnsi="Calibri"/>
                <w:b/>
                <w:szCs w:val="20"/>
                <w:lang w:val="es-ES_tradnl"/>
              </w:rPr>
              <w:t>37.4</w:t>
            </w:r>
          </w:p>
        </w:tc>
      </w:tr>
      <w:tr w:rsidR="009571FA" w:rsidTr="00B20C86">
        <w:trPr>
          <w:trHeight w:val="314"/>
        </w:trPr>
        <w:tc>
          <w:tcPr>
            <w:tcW w:w="2180" w:type="dxa"/>
            <w:tcBorders>
              <w:top w:val="single" w:sz="4" w:space="0" w:color="auto"/>
              <w:left w:val="single" w:sz="4" w:space="0" w:color="auto"/>
              <w:bottom w:val="single" w:sz="4" w:space="0" w:color="auto"/>
              <w:right w:val="single" w:sz="4" w:space="0" w:color="auto"/>
            </w:tcBorders>
            <w:shd w:val="clear" w:color="auto" w:fill="DBE5F1"/>
            <w:tcMar>
              <w:top w:w="0" w:type="dxa"/>
              <w:left w:w="28" w:type="dxa"/>
              <w:bottom w:w="0" w:type="dxa"/>
              <w:right w:w="28" w:type="dxa"/>
            </w:tcMar>
            <w:vAlign w:val="center"/>
          </w:tcPr>
          <w:p w:rsidR="009571FA" w:rsidRPr="00641C40" w:rsidRDefault="009571FA" w:rsidP="00777306">
            <w:pPr>
              <w:tabs>
                <w:tab w:val="left" w:pos="253"/>
              </w:tabs>
              <w:spacing w:line="276" w:lineRule="auto"/>
              <w:rPr>
                <w:rFonts w:ascii="Calibri" w:hAnsi="Calibri"/>
                <w:b/>
                <w:szCs w:val="20"/>
                <w:lang w:val="es-ES_tradnl"/>
              </w:rPr>
            </w:pPr>
            <w:r w:rsidRPr="00641C40">
              <w:rPr>
                <w:rFonts w:ascii="Calibri" w:hAnsi="Calibri"/>
                <w:b/>
                <w:szCs w:val="20"/>
                <w:lang w:val="es-ES_tradnl"/>
              </w:rPr>
              <w:t>PAHO planners sample</w:t>
            </w:r>
          </w:p>
        </w:tc>
        <w:tc>
          <w:tcPr>
            <w:tcW w:w="668" w:type="dxa"/>
            <w:tcBorders>
              <w:top w:val="single" w:sz="4" w:space="0" w:color="auto"/>
              <w:left w:val="single" w:sz="4" w:space="0" w:color="auto"/>
              <w:bottom w:val="single" w:sz="4" w:space="0" w:color="auto"/>
              <w:right w:val="single" w:sz="4" w:space="0" w:color="auto"/>
            </w:tcBorders>
            <w:shd w:val="clear" w:color="auto" w:fill="DBE5F1"/>
            <w:tcMar>
              <w:top w:w="0" w:type="dxa"/>
              <w:left w:w="28" w:type="dxa"/>
              <w:bottom w:w="0" w:type="dxa"/>
              <w:right w:w="28" w:type="dxa"/>
            </w:tcMar>
            <w:vAlign w:val="center"/>
          </w:tcPr>
          <w:p w:rsidR="009571FA" w:rsidRPr="00641C40" w:rsidRDefault="009571FA" w:rsidP="00777306">
            <w:pPr>
              <w:tabs>
                <w:tab w:val="left" w:pos="253"/>
              </w:tabs>
              <w:spacing w:line="276" w:lineRule="auto"/>
              <w:jc w:val="center"/>
              <w:rPr>
                <w:rFonts w:ascii="Calibri" w:hAnsi="Calibri"/>
                <w:b/>
                <w:szCs w:val="20"/>
                <w:lang w:val="es-ES_tradnl"/>
              </w:rPr>
            </w:pPr>
            <w:r w:rsidRPr="00641C40">
              <w:rPr>
                <w:rFonts w:ascii="Calibri" w:hAnsi="Calibri"/>
                <w:b/>
                <w:szCs w:val="20"/>
                <w:lang w:val="es-ES_tradnl"/>
              </w:rPr>
              <w:t>18*</w:t>
            </w:r>
          </w:p>
        </w:tc>
        <w:tc>
          <w:tcPr>
            <w:tcW w:w="720" w:type="dxa"/>
            <w:tcBorders>
              <w:top w:val="single" w:sz="4" w:space="0" w:color="auto"/>
              <w:left w:val="single" w:sz="4" w:space="0" w:color="auto"/>
              <w:bottom w:val="single" w:sz="4" w:space="0" w:color="auto"/>
              <w:right w:val="nil"/>
            </w:tcBorders>
            <w:shd w:val="clear" w:color="auto" w:fill="DBE5F1"/>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b/>
                <w:szCs w:val="20"/>
                <w:lang w:val="es-ES_tradnl"/>
              </w:rPr>
            </w:pPr>
            <w:r w:rsidRPr="00641C40">
              <w:rPr>
                <w:rFonts w:ascii="Calibri" w:hAnsi="Calibri"/>
                <w:b/>
                <w:szCs w:val="20"/>
                <w:lang w:val="es-ES_tradnl"/>
              </w:rPr>
              <w:t>4</w:t>
            </w:r>
          </w:p>
        </w:tc>
        <w:tc>
          <w:tcPr>
            <w:tcW w:w="932" w:type="dxa"/>
            <w:tcBorders>
              <w:top w:val="single" w:sz="4" w:space="0" w:color="auto"/>
              <w:left w:val="nil"/>
              <w:bottom w:val="single" w:sz="4" w:space="0" w:color="auto"/>
              <w:right w:val="nil"/>
            </w:tcBorders>
            <w:shd w:val="clear" w:color="auto" w:fill="DBE5F1"/>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b/>
                <w:szCs w:val="20"/>
                <w:lang w:val="es-ES_tradnl"/>
              </w:rPr>
            </w:pPr>
            <w:r w:rsidRPr="00641C40">
              <w:rPr>
                <w:rFonts w:ascii="Calibri" w:hAnsi="Calibri"/>
                <w:b/>
                <w:szCs w:val="20"/>
                <w:lang w:val="es-ES_tradnl"/>
              </w:rPr>
              <w:t>22.2</w:t>
            </w:r>
          </w:p>
        </w:tc>
        <w:tc>
          <w:tcPr>
            <w:tcW w:w="778" w:type="dxa"/>
            <w:tcBorders>
              <w:top w:val="single" w:sz="4" w:space="0" w:color="auto"/>
              <w:left w:val="single" w:sz="4" w:space="0" w:color="auto"/>
              <w:bottom w:val="single" w:sz="4" w:space="0" w:color="auto"/>
              <w:right w:val="nil"/>
            </w:tcBorders>
            <w:shd w:val="clear" w:color="auto" w:fill="DBE5F1"/>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b/>
                <w:szCs w:val="20"/>
                <w:lang w:val="es-ES_tradnl"/>
              </w:rPr>
            </w:pPr>
            <w:r w:rsidRPr="00641C40">
              <w:rPr>
                <w:rFonts w:ascii="Calibri" w:hAnsi="Calibri"/>
                <w:b/>
                <w:szCs w:val="20"/>
                <w:lang w:val="es-ES_tradnl"/>
              </w:rPr>
              <w:t>7</w:t>
            </w:r>
          </w:p>
        </w:tc>
        <w:tc>
          <w:tcPr>
            <w:tcW w:w="900" w:type="dxa"/>
            <w:tcBorders>
              <w:top w:val="single" w:sz="4" w:space="0" w:color="auto"/>
              <w:left w:val="nil"/>
              <w:bottom w:val="single" w:sz="4" w:space="0" w:color="auto"/>
              <w:right w:val="nil"/>
            </w:tcBorders>
            <w:shd w:val="clear" w:color="auto" w:fill="DBE5F1"/>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b/>
                <w:szCs w:val="20"/>
                <w:lang w:val="es-ES_tradnl"/>
              </w:rPr>
            </w:pPr>
            <w:r w:rsidRPr="00641C40">
              <w:rPr>
                <w:rFonts w:ascii="Calibri" w:hAnsi="Calibri"/>
                <w:b/>
                <w:szCs w:val="20"/>
                <w:lang w:val="es-ES_tradnl"/>
              </w:rPr>
              <w:t>38.9</w:t>
            </w:r>
          </w:p>
        </w:tc>
        <w:tc>
          <w:tcPr>
            <w:tcW w:w="810" w:type="dxa"/>
            <w:tcBorders>
              <w:top w:val="single" w:sz="4" w:space="0" w:color="auto"/>
              <w:left w:val="single" w:sz="4" w:space="0" w:color="auto"/>
              <w:bottom w:val="single" w:sz="4" w:space="0" w:color="auto"/>
              <w:right w:val="nil"/>
            </w:tcBorders>
            <w:shd w:val="clear" w:color="auto" w:fill="DBE5F1"/>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b/>
                <w:szCs w:val="20"/>
                <w:lang w:val="es-ES_tradnl"/>
              </w:rPr>
            </w:pPr>
            <w:r w:rsidRPr="00641C40">
              <w:rPr>
                <w:rFonts w:ascii="Calibri" w:hAnsi="Calibri"/>
                <w:b/>
                <w:szCs w:val="20"/>
                <w:lang w:val="es-ES_tradnl"/>
              </w:rPr>
              <w:t>7</w:t>
            </w:r>
          </w:p>
        </w:tc>
        <w:tc>
          <w:tcPr>
            <w:tcW w:w="842" w:type="dxa"/>
            <w:tcBorders>
              <w:top w:val="single" w:sz="4" w:space="0" w:color="auto"/>
              <w:left w:val="nil"/>
              <w:bottom w:val="single" w:sz="4" w:space="0" w:color="auto"/>
              <w:right w:val="single" w:sz="4" w:space="0" w:color="auto"/>
            </w:tcBorders>
            <w:shd w:val="clear" w:color="auto" w:fill="DBE5F1"/>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b/>
                <w:szCs w:val="20"/>
                <w:lang w:val="es-ES_tradnl"/>
              </w:rPr>
            </w:pPr>
            <w:r w:rsidRPr="00641C40">
              <w:rPr>
                <w:rFonts w:ascii="Calibri" w:hAnsi="Calibri"/>
                <w:b/>
                <w:szCs w:val="20"/>
                <w:lang w:val="es-ES_tradnl"/>
              </w:rPr>
              <w:t>38.9</w:t>
            </w:r>
          </w:p>
        </w:tc>
      </w:tr>
      <w:tr w:rsidR="009571FA" w:rsidTr="00B20C86">
        <w:trPr>
          <w:trHeight w:val="314"/>
        </w:trPr>
        <w:tc>
          <w:tcPr>
            <w:tcW w:w="2180" w:type="dxa"/>
            <w:tcBorders>
              <w:top w:val="single" w:sz="4" w:space="0" w:color="auto"/>
              <w:left w:val="single" w:sz="4" w:space="0" w:color="auto"/>
              <w:bottom w:val="single" w:sz="4" w:space="0" w:color="auto"/>
              <w:right w:val="single" w:sz="4" w:space="0" w:color="auto"/>
            </w:tcBorders>
            <w:shd w:val="clear" w:color="auto" w:fill="DBE5F1"/>
            <w:tcMar>
              <w:top w:w="0" w:type="dxa"/>
              <w:left w:w="28" w:type="dxa"/>
              <w:bottom w:w="0" w:type="dxa"/>
              <w:right w:w="28" w:type="dxa"/>
            </w:tcMar>
            <w:vAlign w:val="center"/>
          </w:tcPr>
          <w:p w:rsidR="009571FA" w:rsidRPr="00641C40" w:rsidRDefault="009571FA" w:rsidP="00777306">
            <w:pPr>
              <w:tabs>
                <w:tab w:val="left" w:pos="253"/>
              </w:tabs>
              <w:spacing w:line="276" w:lineRule="auto"/>
              <w:rPr>
                <w:rFonts w:ascii="Calibri" w:hAnsi="Calibri"/>
                <w:szCs w:val="20"/>
                <w:lang w:val="es-ES_tradnl"/>
              </w:rPr>
            </w:pPr>
            <w:r w:rsidRPr="00641C40">
              <w:rPr>
                <w:rFonts w:ascii="Calibri" w:hAnsi="Calibri"/>
                <w:szCs w:val="20"/>
                <w:lang w:val="es-ES_tradnl"/>
              </w:rPr>
              <w:t xml:space="preserve">  By Sex</w:t>
            </w:r>
          </w:p>
        </w:tc>
        <w:tc>
          <w:tcPr>
            <w:tcW w:w="668" w:type="dxa"/>
            <w:tcBorders>
              <w:top w:val="single" w:sz="4" w:space="0" w:color="auto"/>
              <w:left w:val="single" w:sz="4" w:space="0" w:color="auto"/>
              <w:bottom w:val="single" w:sz="4" w:space="0" w:color="auto"/>
            </w:tcBorders>
            <w:shd w:val="clear" w:color="auto" w:fill="DBE5F1"/>
            <w:tcMar>
              <w:top w:w="0" w:type="dxa"/>
              <w:left w:w="28" w:type="dxa"/>
              <w:bottom w:w="0" w:type="dxa"/>
              <w:right w:w="28" w:type="dxa"/>
            </w:tcMar>
            <w:vAlign w:val="center"/>
          </w:tcPr>
          <w:p w:rsidR="009571FA" w:rsidRPr="00641C40" w:rsidRDefault="009571FA" w:rsidP="00777306">
            <w:pPr>
              <w:tabs>
                <w:tab w:val="left" w:pos="253"/>
              </w:tabs>
              <w:spacing w:line="276" w:lineRule="auto"/>
              <w:jc w:val="center"/>
              <w:rPr>
                <w:rFonts w:ascii="Calibri" w:hAnsi="Calibri"/>
                <w:szCs w:val="20"/>
                <w:lang w:val="es-ES_tradnl"/>
              </w:rPr>
            </w:pPr>
          </w:p>
        </w:tc>
        <w:tc>
          <w:tcPr>
            <w:tcW w:w="720" w:type="dxa"/>
            <w:tcBorders>
              <w:top w:val="single" w:sz="4" w:space="0" w:color="auto"/>
              <w:left w:val="nil"/>
              <w:bottom w:val="single" w:sz="4" w:space="0" w:color="auto"/>
              <w:right w:val="nil"/>
            </w:tcBorders>
            <w:shd w:val="clear" w:color="auto" w:fill="DBE5F1"/>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s-ES_tradnl"/>
              </w:rPr>
            </w:pPr>
          </w:p>
        </w:tc>
        <w:tc>
          <w:tcPr>
            <w:tcW w:w="932" w:type="dxa"/>
            <w:tcBorders>
              <w:top w:val="single" w:sz="4" w:space="0" w:color="auto"/>
              <w:left w:val="nil"/>
              <w:bottom w:val="single" w:sz="4" w:space="0" w:color="auto"/>
              <w:right w:val="nil"/>
            </w:tcBorders>
            <w:shd w:val="clear" w:color="auto" w:fill="DBE5F1"/>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s-ES_tradnl"/>
              </w:rPr>
            </w:pPr>
          </w:p>
        </w:tc>
        <w:tc>
          <w:tcPr>
            <w:tcW w:w="778" w:type="dxa"/>
            <w:tcBorders>
              <w:top w:val="single" w:sz="4" w:space="0" w:color="auto"/>
              <w:left w:val="single" w:sz="4" w:space="0" w:color="auto"/>
              <w:bottom w:val="single" w:sz="4" w:space="0" w:color="auto"/>
              <w:right w:val="nil"/>
            </w:tcBorders>
            <w:shd w:val="clear" w:color="auto" w:fill="DBE5F1"/>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s-ES_tradnl"/>
              </w:rPr>
            </w:pPr>
          </w:p>
        </w:tc>
        <w:tc>
          <w:tcPr>
            <w:tcW w:w="900" w:type="dxa"/>
            <w:tcBorders>
              <w:top w:val="single" w:sz="4" w:space="0" w:color="auto"/>
              <w:left w:val="nil"/>
              <w:bottom w:val="single" w:sz="4" w:space="0" w:color="auto"/>
              <w:right w:val="nil"/>
            </w:tcBorders>
            <w:shd w:val="clear" w:color="auto" w:fill="DBE5F1"/>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s-ES_tradnl"/>
              </w:rPr>
            </w:pPr>
          </w:p>
        </w:tc>
        <w:tc>
          <w:tcPr>
            <w:tcW w:w="810" w:type="dxa"/>
            <w:tcBorders>
              <w:top w:val="single" w:sz="4" w:space="0" w:color="auto"/>
              <w:left w:val="single" w:sz="4" w:space="0" w:color="auto"/>
              <w:bottom w:val="single" w:sz="4" w:space="0" w:color="auto"/>
              <w:right w:val="nil"/>
            </w:tcBorders>
            <w:shd w:val="clear" w:color="auto" w:fill="DBE5F1"/>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s-ES_tradnl"/>
              </w:rPr>
            </w:pPr>
          </w:p>
        </w:tc>
        <w:tc>
          <w:tcPr>
            <w:tcW w:w="842" w:type="dxa"/>
            <w:tcBorders>
              <w:top w:val="single" w:sz="4" w:space="0" w:color="auto"/>
              <w:left w:val="nil"/>
              <w:bottom w:val="single" w:sz="4" w:space="0" w:color="auto"/>
              <w:right w:val="single" w:sz="4" w:space="0" w:color="auto"/>
            </w:tcBorders>
            <w:shd w:val="clear" w:color="auto" w:fill="DBE5F1"/>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s-ES_tradnl"/>
              </w:rPr>
            </w:pPr>
          </w:p>
        </w:tc>
      </w:tr>
      <w:tr w:rsidR="009571FA" w:rsidTr="00B20C86">
        <w:trPr>
          <w:trHeight w:val="314"/>
        </w:trPr>
        <w:tc>
          <w:tcPr>
            <w:tcW w:w="2180" w:type="dxa"/>
            <w:tcBorders>
              <w:top w:val="single" w:sz="4" w:space="0" w:color="auto"/>
              <w:left w:val="single" w:sz="4" w:space="0" w:color="auto"/>
              <w:bottom w:val="single" w:sz="4" w:space="0" w:color="BFBFBF"/>
              <w:right w:val="single" w:sz="4" w:space="0" w:color="auto"/>
            </w:tcBorders>
            <w:tcMar>
              <w:top w:w="0" w:type="dxa"/>
              <w:left w:w="28" w:type="dxa"/>
              <w:bottom w:w="0" w:type="dxa"/>
              <w:right w:w="28" w:type="dxa"/>
            </w:tcMar>
            <w:vAlign w:val="center"/>
          </w:tcPr>
          <w:p w:rsidR="009571FA" w:rsidRPr="00641C40" w:rsidRDefault="009571FA" w:rsidP="00777306">
            <w:pPr>
              <w:tabs>
                <w:tab w:val="left" w:pos="253"/>
              </w:tabs>
              <w:spacing w:line="276" w:lineRule="auto"/>
              <w:rPr>
                <w:rFonts w:ascii="Calibri" w:hAnsi="Calibri"/>
                <w:szCs w:val="20"/>
                <w:lang w:val="es-ES_tradnl"/>
              </w:rPr>
            </w:pPr>
            <w:r w:rsidRPr="00641C40">
              <w:rPr>
                <w:rFonts w:ascii="Calibri" w:hAnsi="Calibri"/>
                <w:szCs w:val="20"/>
                <w:lang w:val="es-ES_tradnl"/>
              </w:rPr>
              <w:tab/>
              <w:t xml:space="preserve">   Female Staff</w:t>
            </w:r>
          </w:p>
        </w:tc>
        <w:tc>
          <w:tcPr>
            <w:tcW w:w="668" w:type="dxa"/>
            <w:tcBorders>
              <w:top w:val="single" w:sz="4" w:space="0" w:color="auto"/>
              <w:left w:val="single" w:sz="4" w:space="0" w:color="auto"/>
              <w:bottom w:val="single" w:sz="4" w:space="0" w:color="BFBFBF"/>
              <w:right w:val="single" w:sz="4" w:space="0" w:color="auto"/>
            </w:tcBorders>
            <w:tcMar>
              <w:top w:w="0" w:type="dxa"/>
              <w:left w:w="28" w:type="dxa"/>
              <w:bottom w:w="0" w:type="dxa"/>
              <w:right w:w="28" w:type="dxa"/>
            </w:tcMar>
            <w:vAlign w:val="center"/>
          </w:tcPr>
          <w:p w:rsidR="009571FA" w:rsidRPr="00641C40" w:rsidRDefault="009571FA" w:rsidP="00777306">
            <w:pPr>
              <w:tabs>
                <w:tab w:val="left" w:pos="253"/>
              </w:tabs>
              <w:spacing w:line="276" w:lineRule="auto"/>
              <w:jc w:val="center"/>
              <w:rPr>
                <w:rFonts w:ascii="Calibri" w:hAnsi="Calibri"/>
                <w:szCs w:val="20"/>
                <w:lang w:val="es-ES_tradnl"/>
              </w:rPr>
            </w:pPr>
            <w:r w:rsidRPr="00641C40">
              <w:rPr>
                <w:rFonts w:ascii="Calibri" w:hAnsi="Calibri"/>
                <w:szCs w:val="20"/>
                <w:lang w:val="es-ES_tradnl"/>
              </w:rPr>
              <w:t>5</w:t>
            </w:r>
          </w:p>
        </w:tc>
        <w:tc>
          <w:tcPr>
            <w:tcW w:w="720" w:type="dxa"/>
            <w:tcBorders>
              <w:top w:val="single" w:sz="4" w:space="0" w:color="auto"/>
              <w:left w:val="single" w:sz="4" w:space="0" w:color="auto"/>
              <w:bottom w:val="single" w:sz="4" w:space="0" w:color="BFBFBF"/>
              <w:right w:val="nil"/>
            </w:tcBorders>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s-ES_tradnl"/>
              </w:rPr>
            </w:pPr>
            <w:r w:rsidRPr="00641C40">
              <w:rPr>
                <w:rFonts w:ascii="Calibri" w:hAnsi="Calibri"/>
                <w:szCs w:val="20"/>
                <w:lang w:val="es-ES_tradnl"/>
              </w:rPr>
              <w:t>0</w:t>
            </w:r>
          </w:p>
        </w:tc>
        <w:tc>
          <w:tcPr>
            <w:tcW w:w="932" w:type="dxa"/>
            <w:tcBorders>
              <w:top w:val="single" w:sz="4" w:space="0" w:color="auto"/>
              <w:left w:val="nil"/>
              <w:bottom w:val="single" w:sz="4" w:space="0" w:color="BFBFBF"/>
              <w:right w:val="nil"/>
            </w:tcBorders>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s-ES_tradnl"/>
              </w:rPr>
            </w:pPr>
            <w:r w:rsidRPr="00641C40">
              <w:rPr>
                <w:rFonts w:ascii="Calibri" w:hAnsi="Calibri"/>
                <w:szCs w:val="20"/>
                <w:lang w:val="es-ES_tradnl"/>
              </w:rPr>
              <w:t>0.0</w:t>
            </w:r>
          </w:p>
        </w:tc>
        <w:tc>
          <w:tcPr>
            <w:tcW w:w="778" w:type="dxa"/>
            <w:tcBorders>
              <w:top w:val="single" w:sz="4" w:space="0" w:color="auto"/>
              <w:left w:val="single" w:sz="4" w:space="0" w:color="auto"/>
              <w:bottom w:val="single" w:sz="4" w:space="0" w:color="BFBFBF"/>
              <w:right w:val="nil"/>
            </w:tcBorders>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s-ES_tradnl"/>
              </w:rPr>
            </w:pPr>
            <w:r w:rsidRPr="00641C40">
              <w:rPr>
                <w:rFonts w:ascii="Calibri" w:hAnsi="Calibri"/>
                <w:szCs w:val="20"/>
                <w:lang w:val="es-ES_tradnl"/>
              </w:rPr>
              <w:t>3</w:t>
            </w:r>
          </w:p>
        </w:tc>
        <w:tc>
          <w:tcPr>
            <w:tcW w:w="900" w:type="dxa"/>
            <w:tcBorders>
              <w:top w:val="single" w:sz="4" w:space="0" w:color="auto"/>
              <w:left w:val="nil"/>
              <w:bottom w:val="single" w:sz="4" w:space="0" w:color="BFBFBF"/>
              <w:right w:val="nil"/>
            </w:tcBorders>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s-ES_tradnl"/>
              </w:rPr>
            </w:pPr>
            <w:r w:rsidRPr="00641C40">
              <w:rPr>
                <w:rFonts w:ascii="Calibri" w:hAnsi="Calibri"/>
                <w:szCs w:val="20"/>
                <w:lang w:val="es-ES_tradnl"/>
              </w:rPr>
              <w:t>60.0</w:t>
            </w:r>
          </w:p>
        </w:tc>
        <w:tc>
          <w:tcPr>
            <w:tcW w:w="810" w:type="dxa"/>
            <w:tcBorders>
              <w:top w:val="single" w:sz="4" w:space="0" w:color="auto"/>
              <w:left w:val="single" w:sz="4" w:space="0" w:color="auto"/>
              <w:bottom w:val="single" w:sz="4" w:space="0" w:color="BFBFBF"/>
              <w:right w:val="nil"/>
            </w:tcBorders>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s-ES_tradnl"/>
              </w:rPr>
            </w:pPr>
            <w:r w:rsidRPr="00641C40">
              <w:rPr>
                <w:rFonts w:ascii="Calibri" w:hAnsi="Calibri"/>
                <w:szCs w:val="20"/>
                <w:lang w:val="es-ES_tradnl"/>
              </w:rPr>
              <w:t>2</w:t>
            </w:r>
          </w:p>
        </w:tc>
        <w:tc>
          <w:tcPr>
            <w:tcW w:w="842" w:type="dxa"/>
            <w:tcBorders>
              <w:top w:val="single" w:sz="4" w:space="0" w:color="auto"/>
              <w:left w:val="nil"/>
              <w:bottom w:val="single" w:sz="4" w:space="0" w:color="BFBFBF"/>
              <w:right w:val="single" w:sz="4" w:space="0" w:color="auto"/>
            </w:tcBorders>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s-ES_tradnl"/>
              </w:rPr>
            </w:pPr>
            <w:r w:rsidRPr="00641C40">
              <w:rPr>
                <w:rFonts w:ascii="Calibri" w:hAnsi="Calibri"/>
                <w:szCs w:val="20"/>
                <w:lang w:val="es-ES_tradnl"/>
              </w:rPr>
              <w:t>40.0</w:t>
            </w:r>
          </w:p>
        </w:tc>
      </w:tr>
      <w:tr w:rsidR="009571FA" w:rsidTr="00B20C86">
        <w:trPr>
          <w:trHeight w:val="314"/>
        </w:trPr>
        <w:tc>
          <w:tcPr>
            <w:tcW w:w="2180" w:type="dxa"/>
            <w:tcBorders>
              <w:top w:val="single" w:sz="4" w:space="0" w:color="BFBFBF"/>
              <w:left w:val="single" w:sz="4" w:space="0" w:color="auto"/>
              <w:bottom w:val="single" w:sz="4" w:space="0" w:color="auto"/>
              <w:right w:val="single" w:sz="4" w:space="0" w:color="auto"/>
            </w:tcBorders>
            <w:tcMar>
              <w:top w:w="0" w:type="dxa"/>
              <w:left w:w="28" w:type="dxa"/>
              <w:bottom w:w="0" w:type="dxa"/>
              <w:right w:w="28" w:type="dxa"/>
            </w:tcMar>
            <w:vAlign w:val="center"/>
          </w:tcPr>
          <w:p w:rsidR="009571FA" w:rsidRPr="00641C40" w:rsidRDefault="009571FA" w:rsidP="00777306">
            <w:pPr>
              <w:tabs>
                <w:tab w:val="left" w:pos="253"/>
              </w:tabs>
              <w:spacing w:line="276" w:lineRule="auto"/>
              <w:rPr>
                <w:rFonts w:ascii="Calibri" w:hAnsi="Calibri"/>
                <w:szCs w:val="20"/>
                <w:lang w:val="es-ES_tradnl"/>
              </w:rPr>
            </w:pPr>
            <w:r w:rsidRPr="00641C40">
              <w:rPr>
                <w:rFonts w:ascii="Calibri" w:hAnsi="Calibri"/>
                <w:szCs w:val="20"/>
                <w:lang w:val="es-ES_tradnl"/>
              </w:rPr>
              <w:tab/>
              <w:t xml:space="preserve">   Male Staff</w:t>
            </w:r>
          </w:p>
        </w:tc>
        <w:tc>
          <w:tcPr>
            <w:tcW w:w="668" w:type="dxa"/>
            <w:tcBorders>
              <w:top w:val="single" w:sz="4" w:space="0" w:color="BFBFBF"/>
              <w:left w:val="single" w:sz="4" w:space="0" w:color="auto"/>
              <w:bottom w:val="single" w:sz="4" w:space="0" w:color="auto"/>
              <w:right w:val="single" w:sz="4" w:space="0" w:color="auto"/>
            </w:tcBorders>
            <w:tcMar>
              <w:top w:w="0" w:type="dxa"/>
              <w:left w:w="28" w:type="dxa"/>
              <w:bottom w:w="0" w:type="dxa"/>
              <w:right w:w="28" w:type="dxa"/>
            </w:tcMar>
            <w:vAlign w:val="center"/>
          </w:tcPr>
          <w:p w:rsidR="009571FA" w:rsidRPr="00641C40" w:rsidRDefault="009571FA" w:rsidP="00777306">
            <w:pPr>
              <w:tabs>
                <w:tab w:val="left" w:pos="253"/>
              </w:tabs>
              <w:spacing w:line="276" w:lineRule="auto"/>
              <w:jc w:val="center"/>
              <w:rPr>
                <w:rFonts w:ascii="Calibri" w:hAnsi="Calibri"/>
                <w:szCs w:val="20"/>
                <w:lang w:val="es-ES_tradnl"/>
              </w:rPr>
            </w:pPr>
            <w:r w:rsidRPr="00641C40">
              <w:rPr>
                <w:rFonts w:ascii="Calibri" w:hAnsi="Calibri"/>
                <w:szCs w:val="20"/>
                <w:lang w:val="es-ES_tradnl"/>
              </w:rPr>
              <w:t>13</w:t>
            </w:r>
          </w:p>
        </w:tc>
        <w:tc>
          <w:tcPr>
            <w:tcW w:w="720" w:type="dxa"/>
            <w:tcBorders>
              <w:top w:val="single" w:sz="4" w:space="0" w:color="BFBFBF"/>
              <w:left w:val="single" w:sz="4" w:space="0" w:color="auto"/>
              <w:bottom w:val="single" w:sz="4" w:space="0" w:color="auto"/>
              <w:right w:val="nil"/>
            </w:tcBorders>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s-ES_tradnl"/>
              </w:rPr>
            </w:pPr>
            <w:r w:rsidRPr="00641C40">
              <w:rPr>
                <w:rFonts w:ascii="Calibri" w:hAnsi="Calibri"/>
                <w:szCs w:val="20"/>
                <w:lang w:val="es-ES_tradnl"/>
              </w:rPr>
              <w:t>4</w:t>
            </w:r>
          </w:p>
        </w:tc>
        <w:tc>
          <w:tcPr>
            <w:tcW w:w="932" w:type="dxa"/>
            <w:tcBorders>
              <w:top w:val="single" w:sz="4" w:space="0" w:color="BFBFBF"/>
              <w:left w:val="nil"/>
              <w:bottom w:val="single" w:sz="4" w:space="0" w:color="auto"/>
              <w:right w:val="nil"/>
            </w:tcBorders>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s-ES_tradnl"/>
              </w:rPr>
            </w:pPr>
            <w:r w:rsidRPr="00641C40">
              <w:rPr>
                <w:rFonts w:ascii="Calibri" w:hAnsi="Calibri"/>
                <w:szCs w:val="20"/>
                <w:lang w:val="es-ES_tradnl"/>
              </w:rPr>
              <w:t>30.8</w:t>
            </w:r>
          </w:p>
        </w:tc>
        <w:tc>
          <w:tcPr>
            <w:tcW w:w="778" w:type="dxa"/>
            <w:tcBorders>
              <w:top w:val="single" w:sz="4" w:space="0" w:color="BFBFBF"/>
              <w:left w:val="single" w:sz="4" w:space="0" w:color="auto"/>
              <w:bottom w:val="single" w:sz="4" w:space="0" w:color="auto"/>
              <w:right w:val="nil"/>
            </w:tcBorders>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s-ES_tradnl"/>
              </w:rPr>
            </w:pPr>
            <w:r w:rsidRPr="00641C40">
              <w:rPr>
                <w:rFonts w:ascii="Calibri" w:hAnsi="Calibri"/>
                <w:szCs w:val="20"/>
                <w:lang w:val="es-ES_tradnl"/>
              </w:rPr>
              <w:t>4</w:t>
            </w:r>
          </w:p>
        </w:tc>
        <w:tc>
          <w:tcPr>
            <w:tcW w:w="900" w:type="dxa"/>
            <w:tcBorders>
              <w:top w:val="single" w:sz="4" w:space="0" w:color="BFBFBF"/>
              <w:left w:val="nil"/>
              <w:bottom w:val="single" w:sz="4" w:space="0" w:color="auto"/>
              <w:right w:val="nil"/>
            </w:tcBorders>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s-ES_tradnl"/>
              </w:rPr>
            </w:pPr>
            <w:r w:rsidRPr="00641C40">
              <w:rPr>
                <w:rFonts w:ascii="Calibri" w:hAnsi="Calibri"/>
                <w:szCs w:val="20"/>
                <w:lang w:val="es-ES_tradnl"/>
              </w:rPr>
              <w:t>30.8</w:t>
            </w:r>
          </w:p>
        </w:tc>
        <w:tc>
          <w:tcPr>
            <w:tcW w:w="810" w:type="dxa"/>
            <w:tcBorders>
              <w:top w:val="single" w:sz="4" w:space="0" w:color="BFBFBF"/>
              <w:left w:val="single" w:sz="4" w:space="0" w:color="auto"/>
              <w:bottom w:val="single" w:sz="4" w:space="0" w:color="auto"/>
              <w:right w:val="nil"/>
            </w:tcBorders>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s-ES_tradnl"/>
              </w:rPr>
            </w:pPr>
            <w:r w:rsidRPr="00641C40">
              <w:rPr>
                <w:rFonts w:ascii="Calibri" w:hAnsi="Calibri"/>
                <w:szCs w:val="20"/>
                <w:lang w:val="es-ES_tradnl"/>
              </w:rPr>
              <w:t>5</w:t>
            </w:r>
          </w:p>
        </w:tc>
        <w:tc>
          <w:tcPr>
            <w:tcW w:w="842" w:type="dxa"/>
            <w:tcBorders>
              <w:top w:val="single" w:sz="4" w:space="0" w:color="BFBFBF"/>
              <w:left w:val="nil"/>
              <w:bottom w:val="single" w:sz="4" w:space="0" w:color="auto"/>
              <w:right w:val="single" w:sz="4" w:space="0" w:color="auto"/>
            </w:tcBorders>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s-ES_tradnl"/>
              </w:rPr>
            </w:pPr>
            <w:r w:rsidRPr="00641C40">
              <w:rPr>
                <w:rFonts w:ascii="Calibri" w:hAnsi="Calibri"/>
                <w:szCs w:val="20"/>
                <w:lang w:val="es-ES_tradnl"/>
              </w:rPr>
              <w:t>38.4</w:t>
            </w:r>
          </w:p>
        </w:tc>
      </w:tr>
      <w:tr w:rsidR="009571FA" w:rsidTr="00B20C86">
        <w:trPr>
          <w:trHeight w:val="314"/>
        </w:trPr>
        <w:tc>
          <w:tcPr>
            <w:tcW w:w="2180" w:type="dxa"/>
            <w:tcBorders>
              <w:top w:val="single" w:sz="4" w:space="0" w:color="auto"/>
              <w:left w:val="single" w:sz="4" w:space="0" w:color="auto"/>
              <w:bottom w:val="single" w:sz="4" w:space="0" w:color="auto"/>
              <w:right w:val="single" w:sz="4" w:space="0" w:color="auto"/>
            </w:tcBorders>
            <w:shd w:val="clear" w:color="auto" w:fill="DBE5F1"/>
            <w:tcMar>
              <w:top w:w="0" w:type="dxa"/>
              <w:left w:w="28" w:type="dxa"/>
              <w:bottom w:w="0" w:type="dxa"/>
              <w:right w:w="28" w:type="dxa"/>
            </w:tcMar>
            <w:vAlign w:val="center"/>
          </w:tcPr>
          <w:p w:rsidR="009571FA" w:rsidRPr="00641C40" w:rsidRDefault="009571FA" w:rsidP="00777306">
            <w:pPr>
              <w:tabs>
                <w:tab w:val="left" w:pos="253"/>
              </w:tabs>
              <w:spacing w:line="276" w:lineRule="auto"/>
              <w:rPr>
                <w:rFonts w:ascii="Calibri" w:hAnsi="Calibri"/>
                <w:szCs w:val="20"/>
                <w:lang w:val="es-ES_tradnl"/>
              </w:rPr>
            </w:pPr>
            <w:r w:rsidRPr="00641C40">
              <w:rPr>
                <w:rFonts w:ascii="Calibri" w:hAnsi="Calibri"/>
                <w:szCs w:val="20"/>
                <w:lang w:val="es-ES_tradnl"/>
              </w:rPr>
              <w:t xml:space="preserve">  By Grade</w:t>
            </w:r>
          </w:p>
        </w:tc>
        <w:tc>
          <w:tcPr>
            <w:tcW w:w="668" w:type="dxa"/>
            <w:tcBorders>
              <w:top w:val="single" w:sz="4" w:space="0" w:color="auto"/>
              <w:left w:val="single" w:sz="4" w:space="0" w:color="auto"/>
              <w:bottom w:val="single" w:sz="4" w:space="0" w:color="auto"/>
              <w:right w:val="single" w:sz="4" w:space="0" w:color="auto"/>
            </w:tcBorders>
            <w:shd w:val="clear" w:color="auto" w:fill="DBE5F1"/>
            <w:tcMar>
              <w:top w:w="0" w:type="dxa"/>
              <w:left w:w="28" w:type="dxa"/>
              <w:bottom w:w="0" w:type="dxa"/>
              <w:right w:w="28" w:type="dxa"/>
            </w:tcMar>
            <w:vAlign w:val="center"/>
          </w:tcPr>
          <w:p w:rsidR="009571FA" w:rsidRPr="00641C40" w:rsidRDefault="009571FA" w:rsidP="00777306">
            <w:pPr>
              <w:tabs>
                <w:tab w:val="left" w:pos="253"/>
              </w:tabs>
              <w:spacing w:line="276" w:lineRule="auto"/>
              <w:jc w:val="center"/>
              <w:rPr>
                <w:rFonts w:ascii="Calibri" w:hAnsi="Calibri"/>
                <w:szCs w:val="20"/>
                <w:lang w:val="es-ES_tradnl"/>
              </w:rPr>
            </w:pPr>
          </w:p>
        </w:tc>
        <w:tc>
          <w:tcPr>
            <w:tcW w:w="720" w:type="dxa"/>
            <w:tcBorders>
              <w:top w:val="single" w:sz="4" w:space="0" w:color="auto"/>
              <w:left w:val="single" w:sz="4" w:space="0" w:color="auto"/>
              <w:bottom w:val="single" w:sz="4" w:space="0" w:color="auto"/>
              <w:right w:val="nil"/>
            </w:tcBorders>
            <w:shd w:val="clear" w:color="auto" w:fill="DBE5F1"/>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s-ES_tradnl"/>
              </w:rPr>
            </w:pPr>
          </w:p>
        </w:tc>
        <w:tc>
          <w:tcPr>
            <w:tcW w:w="932" w:type="dxa"/>
            <w:tcBorders>
              <w:top w:val="single" w:sz="4" w:space="0" w:color="auto"/>
              <w:left w:val="nil"/>
              <w:bottom w:val="single" w:sz="4" w:space="0" w:color="auto"/>
              <w:right w:val="nil"/>
            </w:tcBorders>
            <w:shd w:val="clear" w:color="auto" w:fill="DBE5F1"/>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s-ES_tradnl"/>
              </w:rPr>
            </w:pPr>
          </w:p>
        </w:tc>
        <w:tc>
          <w:tcPr>
            <w:tcW w:w="778" w:type="dxa"/>
            <w:tcBorders>
              <w:top w:val="single" w:sz="4" w:space="0" w:color="auto"/>
              <w:left w:val="single" w:sz="4" w:space="0" w:color="auto"/>
              <w:bottom w:val="single" w:sz="4" w:space="0" w:color="auto"/>
              <w:right w:val="nil"/>
            </w:tcBorders>
            <w:shd w:val="clear" w:color="auto" w:fill="DBE5F1"/>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s-ES_tradnl"/>
              </w:rPr>
            </w:pPr>
          </w:p>
        </w:tc>
        <w:tc>
          <w:tcPr>
            <w:tcW w:w="900" w:type="dxa"/>
            <w:tcBorders>
              <w:top w:val="single" w:sz="4" w:space="0" w:color="auto"/>
              <w:left w:val="nil"/>
              <w:bottom w:val="single" w:sz="4" w:space="0" w:color="auto"/>
              <w:right w:val="nil"/>
            </w:tcBorders>
            <w:shd w:val="clear" w:color="auto" w:fill="DBE5F1"/>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s-ES_tradnl"/>
              </w:rPr>
            </w:pPr>
          </w:p>
        </w:tc>
        <w:tc>
          <w:tcPr>
            <w:tcW w:w="810" w:type="dxa"/>
            <w:tcBorders>
              <w:top w:val="single" w:sz="4" w:space="0" w:color="auto"/>
              <w:left w:val="single" w:sz="4" w:space="0" w:color="auto"/>
              <w:bottom w:val="single" w:sz="4" w:space="0" w:color="auto"/>
              <w:right w:val="nil"/>
            </w:tcBorders>
            <w:shd w:val="clear" w:color="auto" w:fill="DBE5F1"/>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s-ES_tradnl"/>
              </w:rPr>
            </w:pPr>
          </w:p>
        </w:tc>
        <w:tc>
          <w:tcPr>
            <w:tcW w:w="842" w:type="dxa"/>
            <w:tcBorders>
              <w:top w:val="single" w:sz="4" w:space="0" w:color="auto"/>
              <w:left w:val="nil"/>
              <w:bottom w:val="single" w:sz="4" w:space="0" w:color="auto"/>
              <w:right w:val="single" w:sz="4" w:space="0" w:color="auto"/>
            </w:tcBorders>
            <w:shd w:val="clear" w:color="auto" w:fill="DBE5F1"/>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s-ES_tradnl"/>
              </w:rPr>
            </w:pPr>
          </w:p>
        </w:tc>
      </w:tr>
      <w:tr w:rsidR="009571FA" w:rsidTr="00B20C86">
        <w:trPr>
          <w:trHeight w:val="314"/>
        </w:trPr>
        <w:tc>
          <w:tcPr>
            <w:tcW w:w="2180" w:type="dxa"/>
            <w:tcBorders>
              <w:top w:val="single" w:sz="4" w:space="0" w:color="auto"/>
              <w:left w:val="single" w:sz="4" w:space="0" w:color="auto"/>
              <w:bottom w:val="single" w:sz="4" w:space="0" w:color="BFBFBF"/>
              <w:right w:val="single" w:sz="4" w:space="0" w:color="auto"/>
            </w:tcBorders>
            <w:tcMar>
              <w:top w:w="0" w:type="dxa"/>
              <w:left w:w="28" w:type="dxa"/>
              <w:bottom w:w="0" w:type="dxa"/>
              <w:right w:w="28" w:type="dxa"/>
            </w:tcMar>
            <w:vAlign w:val="center"/>
          </w:tcPr>
          <w:p w:rsidR="009571FA" w:rsidRPr="00641C40" w:rsidRDefault="009571FA" w:rsidP="00777306">
            <w:pPr>
              <w:tabs>
                <w:tab w:val="left" w:pos="253"/>
              </w:tabs>
              <w:spacing w:line="276" w:lineRule="auto"/>
              <w:rPr>
                <w:rFonts w:ascii="Calibri" w:hAnsi="Calibri"/>
                <w:szCs w:val="20"/>
                <w:lang w:val="es-ES_tradnl"/>
              </w:rPr>
            </w:pPr>
            <w:r w:rsidRPr="00641C40">
              <w:rPr>
                <w:rFonts w:ascii="Calibri" w:hAnsi="Calibri"/>
                <w:szCs w:val="20"/>
                <w:lang w:val="es-ES_tradnl"/>
              </w:rPr>
              <w:tab/>
              <w:t xml:space="preserve">   D</w:t>
            </w:r>
          </w:p>
        </w:tc>
        <w:tc>
          <w:tcPr>
            <w:tcW w:w="668" w:type="dxa"/>
            <w:tcBorders>
              <w:top w:val="single" w:sz="4" w:space="0" w:color="auto"/>
              <w:left w:val="single" w:sz="4" w:space="0" w:color="auto"/>
              <w:bottom w:val="single" w:sz="4" w:space="0" w:color="BFBFBF"/>
              <w:right w:val="single" w:sz="4" w:space="0" w:color="auto"/>
            </w:tcBorders>
            <w:tcMar>
              <w:top w:w="0" w:type="dxa"/>
              <w:left w:w="28" w:type="dxa"/>
              <w:bottom w:w="0" w:type="dxa"/>
              <w:right w:w="28" w:type="dxa"/>
            </w:tcMar>
            <w:vAlign w:val="center"/>
          </w:tcPr>
          <w:p w:rsidR="009571FA" w:rsidRPr="00641C40" w:rsidRDefault="009571FA" w:rsidP="00777306">
            <w:pPr>
              <w:tabs>
                <w:tab w:val="left" w:pos="253"/>
              </w:tabs>
              <w:spacing w:line="276" w:lineRule="auto"/>
              <w:jc w:val="center"/>
              <w:rPr>
                <w:rFonts w:ascii="Calibri" w:hAnsi="Calibri"/>
                <w:szCs w:val="20"/>
                <w:lang w:val="es-ES_tradnl"/>
              </w:rPr>
            </w:pPr>
            <w:r w:rsidRPr="00641C40">
              <w:rPr>
                <w:rFonts w:ascii="Calibri" w:hAnsi="Calibri"/>
                <w:szCs w:val="20"/>
                <w:lang w:val="es-ES_tradnl"/>
              </w:rPr>
              <w:t>5</w:t>
            </w:r>
          </w:p>
        </w:tc>
        <w:tc>
          <w:tcPr>
            <w:tcW w:w="720" w:type="dxa"/>
            <w:tcBorders>
              <w:top w:val="single" w:sz="4" w:space="0" w:color="auto"/>
              <w:left w:val="single" w:sz="4" w:space="0" w:color="auto"/>
              <w:bottom w:val="single" w:sz="4" w:space="0" w:color="BFBFBF"/>
              <w:right w:val="nil"/>
            </w:tcBorders>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s-ES_tradnl"/>
              </w:rPr>
            </w:pPr>
            <w:r w:rsidRPr="00641C40">
              <w:rPr>
                <w:rFonts w:ascii="Calibri" w:hAnsi="Calibri"/>
                <w:szCs w:val="20"/>
                <w:lang w:val="es-ES_tradnl"/>
              </w:rPr>
              <w:t>1</w:t>
            </w:r>
          </w:p>
        </w:tc>
        <w:tc>
          <w:tcPr>
            <w:tcW w:w="932" w:type="dxa"/>
            <w:tcBorders>
              <w:top w:val="single" w:sz="4" w:space="0" w:color="auto"/>
              <w:left w:val="nil"/>
              <w:bottom w:val="single" w:sz="4" w:space="0" w:color="BFBFBF"/>
              <w:right w:val="nil"/>
            </w:tcBorders>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s-ES_tradnl"/>
              </w:rPr>
            </w:pPr>
            <w:r w:rsidRPr="00641C40">
              <w:rPr>
                <w:rFonts w:ascii="Calibri" w:hAnsi="Calibri"/>
                <w:szCs w:val="20"/>
                <w:lang w:val="es-ES_tradnl"/>
              </w:rPr>
              <w:t>20.0</w:t>
            </w:r>
          </w:p>
        </w:tc>
        <w:tc>
          <w:tcPr>
            <w:tcW w:w="778" w:type="dxa"/>
            <w:tcBorders>
              <w:top w:val="single" w:sz="4" w:space="0" w:color="auto"/>
              <w:left w:val="single" w:sz="4" w:space="0" w:color="auto"/>
              <w:bottom w:val="single" w:sz="4" w:space="0" w:color="BFBFBF"/>
              <w:right w:val="nil"/>
            </w:tcBorders>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s-ES_tradnl"/>
              </w:rPr>
            </w:pPr>
            <w:r w:rsidRPr="00641C40">
              <w:rPr>
                <w:rFonts w:ascii="Calibri" w:hAnsi="Calibri"/>
                <w:szCs w:val="20"/>
                <w:lang w:val="es-ES_tradnl"/>
              </w:rPr>
              <w:t>1</w:t>
            </w:r>
          </w:p>
        </w:tc>
        <w:tc>
          <w:tcPr>
            <w:tcW w:w="900" w:type="dxa"/>
            <w:tcBorders>
              <w:top w:val="single" w:sz="4" w:space="0" w:color="auto"/>
              <w:left w:val="nil"/>
              <w:bottom w:val="single" w:sz="4" w:space="0" w:color="BFBFBF"/>
              <w:right w:val="nil"/>
            </w:tcBorders>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s-ES_tradnl"/>
              </w:rPr>
            </w:pPr>
            <w:r w:rsidRPr="00641C40">
              <w:rPr>
                <w:rFonts w:ascii="Calibri" w:hAnsi="Calibri"/>
                <w:szCs w:val="20"/>
                <w:lang w:val="es-ES_tradnl"/>
              </w:rPr>
              <w:t>20.0</w:t>
            </w:r>
          </w:p>
        </w:tc>
        <w:tc>
          <w:tcPr>
            <w:tcW w:w="810" w:type="dxa"/>
            <w:tcBorders>
              <w:top w:val="single" w:sz="4" w:space="0" w:color="auto"/>
              <w:left w:val="single" w:sz="4" w:space="0" w:color="auto"/>
              <w:bottom w:val="single" w:sz="4" w:space="0" w:color="BFBFBF"/>
              <w:right w:val="nil"/>
            </w:tcBorders>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s-ES_tradnl"/>
              </w:rPr>
            </w:pPr>
            <w:r w:rsidRPr="00641C40">
              <w:rPr>
                <w:rFonts w:ascii="Calibri" w:hAnsi="Calibri"/>
                <w:szCs w:val="20"/>
                <w:lang w:val="es-ES_tradnl"/>
              </w:rPr>
              <w:t>3</w:t>
            </w:r>
          </w:p>
        </w:tc>
        <w:tc>
          <w:tcPr>
            <w:tcW w:w="842" w:type="dxa"/>
            <w:tcBorders>
              <w:top w:val="single" w:sz="4" w:space="0" w:color="auto"/>
              <w:left w:val="nil"/>
              <w:bottom w:val="single" w:sz="4" w:space="0" w:color="BFBFBF"/>
              <w:right w:val="single" w:sz="4" w:space="0" w:color="auto"/>
            </w:tcBorders>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s-ES_tradnl"/>
              </w:rPr>
            </w:pPr>
            <w:r w:rsidRPr="00641C40">
              <w:rPr>
                <w:rFonts w:ascii="Calibri" w:hAnsi="Calibri"/>
                <w:szCs w:val="20"/>
                <w:lang w:val="es-ES_tradnl"/>
              </w:rPr>
              <w:t>60.0</w:t>
            </w:r>
          </w:p>
        </w:tc>
      </w:tr>
      <w:tr w:rsidR="009571FA" w:rsidTr="00B20C86">
        <w:trPr>
          <w:trHeight w:val="314"/>
        </w:trPr>
        <w:tc>
          <w:tcPr>
            <w:tcW w:w="2180" w:type="dxa"/>
            <w:tcBorders>
              <w:top w:val="single" w:sz="4" w:space="0" w:color="BFBFBF"/>
              <w:left w:val="single" w:sz="4" w:space="0" w:color="auto"/>
              <w:bottom w:val="single" w:sz="4" w:space="0" w:color="BFBFBF"/>
              <w:right w:val="single" w:sz="4" w:space="0" w:color="auto"/>
            </w:tcBorders>
            <w:tcMar>
              <w:top w:w="0" w:type="dxa"/>
              <w:left w:w="28" w:type="dxa"/>
              <w:bottom w:w="0" w:type="dxa"/>
              <w:right w:w="28" w:type="dxa"/>
            </w:tcMar>
            <w:vAlign w:val="center"/>
          </w:tcPr>
          <w:p w:rsidR="009571FA" w:rsidRPr="00641C40" w:rsidRDefault="009571FA" w:rsidP="00777306">
            <w:pPr>
              <w:tabs>
                <w:tab w:val="left" w:pos="253"/>
              </w:tabs>
              <w:spacing w:line="276" w:lineRule="auto"/>
              <w:rPr>
                <w:rFonts w:ascii="Calibri" w:hAnsi="Calibri"/>
                <w:szCs w:val="20"/>
                <w:lang w:val="es-ES_tradnl"/>
              </w:rPr>
            </w:pPr>
            <w:r w:rsidRPr="00641C40">
              <w:rPr>
                <w:rFonts w:ascii="Calibri" w:hAnsi="Calibri"/>
                <w:szCs w:val="20"/>
                <w:lang w:val="es-ES_tradnl"/>
              </w:rPr>
              <w:tab/>
              <w:t xml:space="preserve">   P</w:t>
            </w:r>
          </w:p>
        </w:tc>
        <w:tc>
          <w:tcPr>
            <w:tcW w:w="668" w:type="dxa"/>
            <w:tcBorders>
              <w:top w:val="single" w:sz="4" w:space="0" w:color="BFBFBF"/>
              <w:left w:val="single" w:sz="4" w:space="0" w:color="auto"/>
              <w:bottom w:val="single" w:sz="4" w:space="0" w:color="BFBFBF"/>
              <w:right w:val="single" w:sz="4" w:space="0" w:color="auto"/>
            </w:tcBorders>
            <w:tcMar>
              <w:top w:w="0" w:type="dxa"/>
              <w:left w:w="28" w:type="dxa"/>
              <w:bottom w:w="0" w:type="dxa"/>
              <w:right w:w="28" w:type="dxa"/>
            </w:tcMar>
            <w:vAlign w:val="center"/>
          </w:tcPr>
          <w:p w:rsidR="009571FA" w:rsidRPr="00641C40" w:rsidRDefault="009571FA" w:rsidP="00777306">
            <w:pPr>
              <w:tabs>
                <w:tab w:val="left" w:pos="253"/>
              </w:tabs>
              <w:spacing w:line="276" w:lineRule="auto"/>
              <w:jc w:val="center"/>
              <w:rPr>
                <w:rFonts w:ascii="Calibri" w:hAnsi="Calibri"/>
                <w:szCs w:val="20"/>
                <w:lang w:val="es-ES_tradnl"/>
              </w:rPr>
            </w:pPr>
            <w:r w:rsidRPr="00641C40">
              <w:rPr>
                <w:rFonts w:ascii="Calibri" w:hAnsi="Calibri"/>
                <w:szCs w:val="20"/>
                <w:lang w:val="es-ES_tradnl"/>
              </w:rPr>
              <w:t>13</w:t>
            </w:r>
          </w:p>
        </w:tc>
        <w:tc>
          <w:tcPr>
            <w:tcW w:w="720" w:type="dxa"/>
            <w:tcBorders>
              <w:top w:val="single" w:sz="4" w:space="0" w:color="BFBFBF"/>
              <w:left w:val="single" w:sz="4" w:space="0" w:color="auto"/>
              <w:bottom w:val="single" w:sz="4" w:space="0" w:color="BFBFBF"/>
              <w:right w:val="nil"/>
            </w:tcBorders>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s-ES_tradnl"/>
              </w:rPr>
            </w:pPr>
            <w:r w:rsidRPr="00641C40">
              <w:rPr>
                <w:rFonts w:ascii="Calibri" w:hAnsi="Calibri"/>
                <w:szCs w:val="20"/>
                <w:lang w:val="es-ES_tradnl"/>
              </w:rPr>
              <w:t>3</w:t>
            </w:r>
          </w:p>
        </w:tc>
        <w:tc>
          <w:tcPr>
            <w:tcW w:w="932" w:type="dxa"/>
            <w:tcBorders>
              <w:top w:val="single" w:sz="4" w:space="0" w:color="BFBFBF"/>
              <w:left w:val="nil"/>
              <w:bottom w:val="single" w:sz="4" w:space="0" w:color="BFBFBF"/>
              <w:right w:val="nil"/>
            </w:tcBorders>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s-ES_tradnl"/>
              </w:rPr>
            </w:pPr>
            <w:r w:rsidRPr="00641C40">
              <w:rPr>
                <w:rFonts w:ascii="Calibri" w:hAnsi="Calibri"/>
                <w:szCs w:val="20"/>
                <w:lang w:val="es-ES_tradnl"/>
              </w:rPr>
              <w:t>23.1</w:t>
            </w:r>
          </w:p>
        </w:tc>
        <w:tc>
          <w:tcPr>
            <w:tcW w:w="778" w:type="dxa"/>
            <w:tcBorders>
              <w:top w:val="single" w:sz="4" w:space="0" w:color="BFBFBF"/>
              <w:left w:val="single" w:sz="4" w:space="0" w:color="auto"/>
              <w:bottom w:val="single" w:sz="4" w:space="0" w:color="BFBFBF"/>
              <w:right w:val="nil"/>
            </w:tcBorders>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s-ES_tradnl"/>
              </w:rPr>
            </w:pPr>
            <w:r w:rsidRPr="00641C40">
              <w:rPr>
                <w:rFonts w:ascii="Calibri" w:hAnsi="Calibri"/>
                <w:szCs w:val="20"/>
                <w:lang w:val="es-ES_tradnl"/>
              </w:rPr>
              <w:t>6</w:t>
            </w:r>
          </w:p>
        </w:tc>
        <w:tc>
          <w:tcPr>
            <w:tcW w:w="900" w:type="dxa"/>
            <w:tcBorders>
              <w:top w:val="single" w:sz="4" w:space="0" w:color="BFBFBF"/>
              <w:left w:val="nil"/>
              <w:bottom w:val="single" w:sz="4" w:space="0" w:color="BFBFBF"/>
              <w:right w:val="nil"/>
            </w:tcBorders>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s-ES_tradnl"/>
              </w:rPr>
            </w:pPr>
            <w:r w:rsidRPr="00641C40">
              <w:rPr>
                <w:rFonts w:ascii="Calibri" w:hAnsi="Calibri"/>
                <w:szCs w:val="20"/>
                <w:lang w:val="es-ES_tradnl"/>
              </w:rPr>
              <w:t>46.2</w:t>
            </w:r>
          </w:p>
        </w:tc>
        <w:tc>
          <w:tcPr>
            <w:tcW w:w="810" w:type="dxa"/>
            <w:tcBorders>
              <w:top w:val="single" w:sz="4" w:space="0" w:color="BFBFBF"/>
              <w:left w:val="single" w:sz="4" w:space="0" w:color="auto"/>
              <w:bottom w:val="single" w:sz="4" w:space="0" w:color="BFBFBF"/>
              <w:right w:val="nil"/>
            </w:tcBorders>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s-ES_tradnl"/>
              </w:rPr>
            </w:pPr>
            <w:r w:rsidRPr="00641C40">
              <w:rPr>
                <w:rFonts w:ascii="Calibri" w:hAnsi="Calibri"/>
                <w:szCs w:val="20"/>
                <w:lang w:val="es-ES_tradnl"/>
              </w:rPr>
              <w:t>4</w:t>
            </w:r>
          </w:p>
        </w:tc>
        <w:tc>
          <w:tcPr>
            <w:tcW w:w="842" w:type="dxa"/>
            <w:tcBorders>
              <w:top w:val="single" w:sz="4" w:space="0" w:color="BFBFBF"/>
              <w:left w:val="nil"/>
              <w:bottom w:val="single" w:sz="4" w:space="0" w:color="BFBFBF"/>
              <w:right w:val="single" w:sz="4" w:space="0" w:color="auto"/>
            </w:tcBorders>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s-ES_tradnl"/>
              </w:rPr>
            </w:pPr>
            <w:r w:rsidRPr="00641C40">
              <w:rPr>
                <w:rFonts w:ascii="Calibri" w:hAnsi="Calibri"/>
                <w:szCs w:val="20"/>
                <w:lang w:val="es-ES_tradnl"/>
              </w:rPr>
              <w:t>30.8</w:t>
            </w:r>
          </w:p>
        </w:tc>
      </w:tr>
      <w:tr w:rsidR="009571FA" w:rsidTr="00B20C86">
        <w:trPr>
          <w:trHeight w:val="314"/>
        </w:trPr>
        <w:tc>
          <w:tcPr>
            <w:tcW w:w="2180" w:type="dxa"/>
            <w:tcBorders>
              <w:top w:val="single" w:sz="4" w:space="0" w:color="auto"/>
              <w:left w:val="single" w:sz="4" w:space="0" w:color="auto"/>
              <w:bottom w:val="single" w:sz="4" w:space="0" w:color="auto"/>
              <w:right w:val="single" w:sz="4" w:space="0" w:color="auto"/>
            </w:tcBorders>
            <w:shd w:val="clear" w:color="auto" w:fill="DBE5F1"/>
            <w:tcMar>
              <w:top w:w="0" w:type="dxa"/>
              <w:left w:w="28" w:type="dxa"/>
              <w:bottom w:w="0" w:type="dxa"/>
              <w:right w:w="28" w:type="dxa"/>
            </w:tcMar>
            <w:vAlign w:val="center"/>
          </w:tcPr>
          <w:p w:rsidR="009571FA" w:rsidRPr="00641C40" w:rsidRDefault="009571FA" w:rsidP="00777306">
            <w:pPr>
              <w:tabs>
                <w:tab w:val="left" w:pos="253"/>
              </w:tabs>
              <w:spacing w:line="276" w:lineRule="auto"/>
              <w:rPr>
                <w:rFonts w:ascii="Calibri" w:hAnsi="Calibri"/>
                <w:szCs w:val="20"/>
                <w:lang w:val="en-US"/>
              </w:rPr>
            </w:pPr>
            <w:r w:rsidRPr="00641C40">
              <w:rPr>
                <w:rFonts w:ascii="Calibri" w:hAnsi="Calibri"/>
                <w:szCs w:val="20"/>
                <w:lang w:val="en-US"/>
              </w:rPr>
              <w:t xml:space="preserve">  By GE Collaboration</w:t>
            </w:r>
          </w:p>
        </w:tc>
        <w:tc>
          <w:tcPr>
            <w:tcW w:w="668" w:type="dxa"/>
            <w:tcBorders>
              <w:top w:val="single" w:sz="4" w:space="0" w:color="auto"/>
              <w:left w:val="single" w:sz="4" w:space="0" w:color="auto"/>
              <w:bottom w:val="single" w:sz="4" w:space="0" w:color="auto"/>
              <w:right w:val="single" w:sz="4" w:space="0" w:color="auto"/>
            </w:tcBorders>
            <w:shd w:val="clear" w:color="auto" w:fill="DBE5F1"/>
            <w:tcMar>
              <w:top w:w="0" w:type="dxa"/>
              <w:left w:w="28" w:type="dxa"/>
              <w:bottom w:w="0" w:type="dxa"/>
              <w:right w:w="28" w:type="dxa"/>
            </w:tcMar>
            <w:vAlign w:val="center"/>
          </w:tcPr>
          <w:p w:rsidR="009571FA" w:rsidRPr="00641C40" w:rsidRDefault="009571FA" w:rsidP="00777306">
            <w:pPr>
              <w:tabs>
                <w:tab w:val="left" w:pos="253"/>
              </w:tabs>
              <w:spacing w:line="276" w:lineRule="auto"/>
              <w:jc w:val="center"/>
              <w:rPr>
                <w:rFonts w:ascii="Calibri" w:hAnsi="Calibri"/>
                <w:b/>
                <w:szCs w:val="20"/>
                <w:lang w:val="en-US"/>
              </w:rPr>
            </w:pPr>
          </w:p>
        </w:tc>
        <w:tc>
          <w:tcPr>
            <w:tcW w:w="720" w:type="dxa"/>
            <w:tcBorders>
              <w:top w:val="single" w:sz="4" w:space="0" w:color="auto"/>
              <w:left w:val="single" w:sz="4" w:space="0" w:color="auto"/>
              <w:bottom w:val="single" w:sz="4" w:space="0" w:color="auto"/>
              <w:right w:val="nil"/>
            </w:tcBorders>
            <w:shd w:val="clear" w:color="auto" w:fill="DBE5F1"/>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b/>
                <w:szCs w:val="20"/>
                <w:lang w:val="en-US"/>
              </w:rPr>
            </w:pPr>
          </w:p>
        </w:tc>
        <w:tc>
          <w:tcPr>
            <w:tcW w:w="932" w:type="dxa"/>
            <w:tcBorders>
              <w:top w:val="single" w:sz="4" w:space="0" w:color="auto"/>
              <w:left w:val="nil"/>
              <w:bottom w:val="single" w:sz="4" w:space="0" w:color="auto"/>
              <w:right w:val="nil"/>
            </w:tcBorders>
            <w:shd w:val="clear" w:color="auto" w:fill="DBE5F1"/>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b/>
                <w:szCs w:val="20"/>
                <w:lang w:val="en-US"/>
              </w:rPr>
            </w:pPr>
          </w:p>
        </w:tc>
        <w:tc>
          <w:tcPr>
            <w:tcW w:w="778" w:type="dxa"/>
            <w:tcBorders>
              <w:top w:val="single" w:sz="4" w:space="0" w:color="auto"/>
              <w:left w:val="single" w:sz="4" w:space="0" w:color="auto"/>
              <w:bottom w:val="single" w:sz="4" w:space="0" w:color="auto"/>
              <w:right w:val="nil"/>
            </w:tcBorders>
            <w:shd w:val="clear" w:color="auto" w:fill="DBE5F1"/>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b/>
                <w:szCs w:val="20"/>
                <w:lang w:val="en-US"/>
              </w:rPr>
            </w:pPr>
          </w:p>
        </w:tc>
        <w:tc>
          <w:tcPr>
            <w:tcW w:w="900" w:type="dxa"/>
            <w:tcBorders>
              <w:top w:val="single" w:sz="4" w:space="0" w:color="auto"/>
              <w:left w:val="nil"/>
              <w:bottom w:val="single" w:sz="4" w:space="0" w:color="auto"/>
              <w:right w:val="nil"/>
            </w:tcBorders>
            <w:shd w:val="clear" w:color="auto" w:fill="DBE5F1"/>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b/>
                <w:szCs w:val="20"/>
                <w:lang w:val="en-US"/>
              </w:rPr>
            </w:pPr>
          </w:p>
        </w:tc>
        <w:tc>
          <w:tcPr>
            <w:tcW w:w="810" w:type="dxa"/>
            <w:tcBorders>
              <w:top w:val="single" w:sz="4" w:space="0" w:color="auto"/>
              <w:left w:val="single" w:sz="4" w:space="0" w:color="auto"/>
              <w:bottom w:val="single" w:sz="4" w:space="0" w:color="auto"/>
              <w:right w:val="nil"/>
            </w:tcBorders>
            <w:shd w:val="clear" w:color="auto" w:fill="DBE5F1"/>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b/>
                <w:szCs w:val="20"/>
                <w:lang w:val="en-US"/>
              </w:rPr>
            </w:pPr>
          </w:p>
        </w:tc>
        <w:tc>
          <w:tcPr>
            <w:tcW w:w="842" w:type="dxa"/>
            <w:tcBorders>
              <w:top w:val="single" w:sz="4" w:space="0" w:color="auto"/>
              <w:left w:val="nil"/>
              <w:bottom w:val="single" w:sz="4" w:space="0" w:color="auto"/>
              <w:right w:val="single" w:sz="4" w:space="0" w:color="auto"/>
            </w:tcBorders>
            <w:shd w:val="clear" w:color="auto" w:fill="DBE5F1"/>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b/>
                <w:szCs w:val="20"/>
                <w:lang w:val="en-US"/>
              </w:rPr>
            </w:pPr>
          </w:p>
        </w:tc>
      </w:tr>
      <w:tr w:rsidR="009571FA" w:rsidTr="00B20C86">
        <w:trPr>
          <w:trHeight w:val="314"/>
        </w:trPr>
        <w:tc>
          <w:tcPr>
            <w:tcW w:w="2180" w:type="dxa"/>
            <w:tcBorders>
              <w:top w:val="single" w:sz="4" w:space="0" w:color="auto"/>
              <w:left w:val="single" w:sz="4" w:space="0" w:color="auto"/>
              <w:bottom w:val="single" w:sz="4" w:space="0" w:color="BFBFBF"/>
              <w:right w:val="single" w:sz="4" w:space="0" w:color="auto"/>
            </w:tcBorders>
            <w:tcMar>
              <w:top w:w="0" w:type="dxa"/>
              <w:left w:w="28" w:type="dxa"/>
              <w:bottom w:w="0" w:type="dxa"/>
              <w:right w:w="28" w:type="dxa"/>
            </w:tcMar>
            <w:vAlign w:val="center"/>
          </w:tcPr>
          <w:p w:rsidR="009571FA" w:rsidRPr="00641C40" w:rsidRDefault="009571FA" w:rsidP="00777306">
            <w:pPr>
              <w:tabs>
                <w:tab w:val="left" w:pos="253"/>
              </w:tabs>
              <w:spacing w:line="276" w:lineRule="auto"/>
              <w:rPr>
                <w:rFonts w:ascii="Calibri" w:hAnsi="Calibri"/>
                <w:szCs w:val="20"/>
                <w:lang w:val="en-US"/>
              </w:rPr>
            </w:pPr>
            <w:r w:rsidRPr="00641C40">
              <w:rPr>
                <w:rFonts w:ascii="Calibri" w:hAnsi="Calibri"/>
                <w:szCs w:val="20"/>
                <w:lang w:val="en-US"/>
              </w:rPr>
              <w:tab/>
              <w:t>Yes</w:t>
            </w:r>
          </w:p>
        </w:tc>
        <w:tc>
          <w:tcPr>
            <w:tcW w:w="668" w:type="dxa"/>
            <w:tcBorders>
              <w:top w:val="single" w:sz="4" w:space="0" w:color="auto"/>
              <w:left w:val="single" w:sz="4" w:space="0" w:color="auto"/>
              <w:bottom w:val="single" w:sz="4" w:space="0" w:color="BFBFBF"/>
              <w:right w:val="single" w:sz="4" w:space="0" w:color="auto"/>
            </w:tcBorders>
            <w:tcMar>
              <w:top w:w="0" w:type="dxa"/>
              <w:left w:w="28" w:type="dxa"/>
              <w:bottom w:w="0" w:type="dxa"/>
              <w:right w:w="28" w:type="dxa"/>
            </w:tcMar>
            <w:vAlign w:val="center"/>
          </w:tcPr>
          <w:p w:rsidR="009571FA" w:rsidRPr="00641C40" w:rsidRDefault="009571FA" w:rsidP="00777306">
            <w:pPr>
              <w:tabs>
                <w:tab w:val="left" w:pos="253"/>
              </w:tabs>
              <w:spacing w:line="276" w:lineRule="auto"/>
              <w:jc w:val="center"/>
              <w:rPr>
                <w:rFonts w:ascii="Calibri" w:hAnsi="Calibri"/>
                <w:szCs w:val="20"/>
                <w:lang w:val="en-US"/>
              </w:rPr>
            </w:pPr>
            <w:r w:rsidRPr="00641C40">
              <w:rPr>
                <w:rFonts w:ascii="Calibri" w:hAnsi="Calibri"/>
                <w:szCs w:val="20"/>
                <w:lang w:val="en-US"/>
              </w:rPr>
              <w:t>10</w:t>
            </w:r>
          </w:p>
        </w:tc>
        <w:tc>
          <w:tcPr>
            <w:tcW w:w="720" w:type="dxa"/>
            <w:tcBorders>
              <w:top w:val="single" w:sz="4" w:space="0" w:color="auto"/>
              <w:left w:val="single" w:sz="4" w:space="0" w:color="auto"/>
              <w:bottom w:val="single" w:sz="4" w:space="0" w:color="BFBFBF"/>
              <w:right w:val="nil"/>
            </w:tcBorders>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n-US"/>
              </w:rPr>
            </w:pPr>
            <w:r w:rsidRPr="00641C40">
              <w:rPr>
                <w:rFonts w:ascii="Calibri" w:hAnsi="Calibri"/>
                <w:szCs w:val="20"/>
                <w:lang w:val="en-US"/>
              </w:rPr>
              <w:t>2</w:t>
            </w:r>
          </w:p>
        </w:tc>
        <w:tc>
          <w:tcPr>
            <w:tcW w:w="932" w:type="dxa"/>
            <w:tcBorders>
              <w:top w:val="single" w:sz="4" w:space="0" w:color="auto"/>
              <w:left w:val="nil"/>
              <w:bottom w:val="single" w:sz="4" w:space="0" w:color="BFBFBF"/>
              <w:right w:val="nil"/>
            </w:tcBorders>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n-US"/>
              </w:rPr>
            </w:pPr>
            <w:r w:rsidRPr="00641C40">
              <w:rPr>
                <w:rFonts w:ascii="Calibri" w:hAnsi="Calibri"/>
                <w:szCs w:val="20"/>
                <w:lang w:val="en-US"/>
              </w:rPr>
              <w:t>20.0</w:t>
            </w:r>
          </w:p>
        </w:tc>
        <w:tc>
          <w:tcPr>
            <w:tcW w:w="778" w:type="dxa"/>
            <w:tcBorders>
              <w:top w:val="single" w:sz="4" w:space="0" w:color="auto"/>
              <w:left w:val="single" w:sz="4" w:space="0" w:color="auto"/>
              <w:bottom w:val="single" w:sz="4" w:space="0" w:color="BFBFBF"/>
              <w:right w:val="nil"/>
            </w:tcBorders>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n-US"/>
              </w:rPr>
            </w:pPr>
            <w:r w:rsidRPr="00641C40">
              <w:rPr>
                <w:rFonts w:ascii="Calibri" w:hAnsi="Calibri"/>
                <w:szCs w:val="20"/>
                <w:lang w:val="en-US"/>
              </w:rPr>
              <w:t>3</w:t>
            </w:r>
          </w:p>
        </w:tc>
        <w:tc>
          <w:tcPr>
            <w:tcW w:w="900" w:type="dxa"/>
            <w:tcBorders>
              <w:top w:val="single" w:sz="4" w:space="0" w:color="auto"/>
              <w:left w:val="nil"/>
              <w:bottom w:val="single" w:sz="4" w:space="0" w:color="BFBFBF"/>
              <w:right w:val="nil"/>
            </w:tcBorders>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n-US"/>
              </w:rPr>
            </w:pPr>
            <w:r w:rsidRPr="00641C40">
              <w:rPr>
                <w:rFonts w:ascii="Calibri" w:hAnsi="Calibri"/>
                <w:szCs w:val="20"/>
                <w:lang w:val="en-US"/>
              </w:rPr>
              <w:t>30.0</w:t>
            </w:r>
          </w:p>
        </w:tc>
        <w:tc>
          <w:tcPr>
            <w:tcW w:w="810" w:type="dxa"/>
            <w:tcBorders>
              <w:top w:val="single" w:sz="4" w:space="0" w:color="auto"/>
              <w:left w:val="single" w:sz="4" w:space="0" w:color="auto"/>
              <w:bottom w:val="single" w:sz="4" w:space="0" w:color="BFBFBF"/>
              <w:right w:val="nil"/>
            </w:tcBorders>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n-US"/>
              </w:rPr>
            </w:pPr>
            <w:r w:rsidRPr="00641C40">
              <w:rPr>
                <w:rFonts w:ascii="Calibri" w:hAnsi="Calibri"/>
                <w:szCs w:val="20"/>
                <w:lang w:val="en-US"/>
              </w:rPr>
              <w:t>5</w:t>
            </w:r>
          </w:p>
        </w:tc>
        <w:tc>
          <w:tcPr>
            <w:tcW w:w="842" w:type="dxa"/>
            <w:tcBorders>
              <w:top w:val="single" w:sz="4" w:space="0" w:color="auto"/>
              <w:left w:val="nil"/>
              <w:bottom w:val="single" w:sz="4" w:space="0" w:color="BFBFBF"/>
              <w:right w:val="single" w:sz="4" w:space="0" w:color="auto"/>
            </w:tcBorders>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n-US"/>
              </w:rPr>
            </w:pPr>
            <w:r w:rsidRPr="00641C40">
              <w:rPr>
                <w:rFonts w:ascii="Calibri" w:hAnsi="Calibri"/>
                <w:szCs w:val="20"/>
                <w:lang w:val="en-US"/>
              </w:rPr>
              <w:t>50.0</w:t>
            </w:r>
          </w:p>
        </w:tc>
      </w:tr>
      <w:tr w:rsidR="009571FA" w:rsidTr="00B20C86">
        <w:trPr>
          <w:trHeight w:val="314"/>
        </w:trPr>
        <w:tc>
          <w:tcPr>
            <w:tcW w:w="2180" w:type="dxa"/>
            <w:tcBorders>
              <w:top w:val="single" w:sz="4" w:space="0" w:color="BFBFBF"/>
              <w:left w:val="single" w:sz="4" w:space="0" w:color="auto"/>
              <w:bottom w:val="single" w:sz="4" w:space="0" w:color="auto"/>
              <w:right w:val="single" w:sz="4" w:space="0" w:color="auto"/>
            </w:tcBorders>
            <w:tcMar>
              <w:top w:w="0" w:type="dxa"/>
              <w:left w:w="28" w:type="dxa"/>
              <w:bottom w:w="0" w:type="dxa"/>
              <w:right w:w="28" w:type="dxa"/>
            </w:tcMar>
            <w:vAlign w:val="center"/>
          </w:tcPr>
          <w:p w:rsidR="009571FA" w:rsidRPr="00641C40" w:rsidRDefault="009571FA" w:rsidP="00777306">
            <w:pPr>
              <w:tabs>
                <w:tab w:val="left" w:pos="253"/>
              </w:tabs>
              <w:spacing w:line="276" w:lineRule="auto"/>
              <w:rPr>
                <w:rFonts w:ascii="Calibri" w:hAnsi="Calibri"/>
                <w:szCs w:val="20"/>
                <w:lang w:val="en-US"/>
              </w:rPr>
            </w:pPr>
            <w:r w:rsidRPr="00641C40">
              <w:rPr>
                <w:rFonts w:ascii="Calibri" w:hAnsi="Calibri"/>
                <w:szCs w:val="20"/>
                <w:lang w:val="en-US"/>
              </w:rPr>
              <w:tab/>
              <w:t>No / Don't Know</w:t>
            </w:r>
          </w:p>
        </w:tc>
        <w:tc>
          <w:tcPr>
            <w:tcW w:w="668" w:type="dxa"/>
            <w:tcBorders>
              <w:top w:val="single" w:sz="4" w:space="0" w:color="BFBFBF"/>
              <w:left w:val="single" w:sz="4" w:space="0" w:color="auto"/>
              <w:bottom w:val="single" w:sz="4" w:space="0" w:color="auto"/>
              <w:right w:val="single" w:sz="4" w:space="0" w:color="auto"/>
            </w:tcBorders>
            <w:tcMar>
              <w:top w:w="0" w:type="dxa"/>
              <w:left w:w="28" w:type="dxa"/>
              <w:bottom w:w="0" w:type="dxa"/>
              <w:right w:w="28" w:type="dxa"/>
            </w:tcMar>
            <w:vAlign w:val="center"/>
          </w:tcPr>
          <w:p w:rsidR="009571FA" w:rsidRPr="00641C40" w:rsidRDefault="009571FA" w:rsidP="00777306">
            <w:pPr>
              <w:tabs>
                <w:tab w:val="left" w:pos="253"/>
              </w:tabs>
              <w:spacing w:line="276" w:lineRule="auto"/>
              <w:jc w:val="center"/>
              <w:rPr>
                <w:rFonts w:ascii="Calibri" w:hAnsi="Calibri"/>
                <w:szCs w:val="20"/>
                <w:lang w:val="en-US"/>
              </w:rPr>
            </w:pPr>
            <w:r w:rsidRPr="00641C40">
              <w:rPr>
                <w:rFonts w:ascii="Calibri" w:hAnsi="Calibri"/>
                <w:szCs w:val="20"/>
                <w:lang w:val="en-US"/>
              </w:rPr>
              <w:t>8</w:t>
            </w:r>
          </w:p>
        </w:tc>
        <w:tc>
          <w:tcPr>
            <w:tcW w:w="720" w:type="dxa"/>
            <w:tcBorders>
              <w:top w:val="single" w:sz="4" w:space="0" w:color="BFBFBF"/>
              <w:left w:val="single" w:sz="4" w:space="0" w:color="auto"/>
              <w:bottom w:val="single" w:sz="4" w:space="0" w:color="auto"/>
              <w:right w:val="nil"/>
            </w:tcBorders>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n-US"/>
              </w:rPr>
            </w:pPr>
            <w:r w:rsidRPr="00641C40">
              <w:rPr>
                <w:rFonts w:ascii="Calibri" w:hAnsi="Calibri"/>
                <w:szCs w:val="20"/>
                <w:lang w:val="en-US"/>
              </w:rPr>
              <w:t>2</w:t>
            </w:r>
          </w:p>
        </w:tc>
        <w:tc>
          <w:tcPr>
            <w:tcW w:w="932" w:type="dxa"/>
            <w:tcBorders>
              <w:top w:val="single" w:sz="4" w:space="0" w:color="BFBFBF"/>
              <w:left w:val="nil"/>
              <w:bottom w:val="single" w:sz="4" w:space="0" w:color="auto"/>
              <w:right w:val="nil"/>
            </w:tcBorders>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n-US"/>
              </w:rPr>
            </w:pPr>
            <w:r w:rsidRPr="00641C40">
              <w:rPr>
                <w:rFonts w:ascii="Calibri" w:hAnsi="Calibri"/>
                <w:szCs w:val="20"/>
                <w:lang w:val="en-US"/>
              </w:rPr>
              <w:t>25.0</w:t>
            </w:r>
          </w:p>
        </w:tc>
        <w:tc>
          <w:tcPr>
            <w:tcW w:w="778" w:type="dxa"/>
            <w:tcBorders>
              <w:top w:val="single" w:sz="4" w:space="0" w:color="BFBFBF"/>
              <w:left w:val="single" w:sz="4" w:space="0" w:color="auto"/>
              <w:bottom w:val="single" w:sz="4" w:space="0" w:color="auto"/>
              <w:right w:val="nil"/>
            </w:tcBorders>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n-US"/>
              </w:rPr>
            </w:pPr>
            <w:r w:rsidRPr="00641C40">
              <w:rPr>
                <w:rFonts w:ascii="Calibri" w:hAnsi="Calibri"/>
                <w:szCs w:val="20"/>
                <w:lang w:val="en-US"/>
              </w:rPr>
              <w:t>4</w:t>
            </w:r>
          </w:p>
        </w:tc>
        <w:tc>
          <w:tcPr>
            <w:tcW w:w="900" w:type="dxa"/>
            <w:tcBorders>
              <w:top w:val="single" w:sz="4" w:space="0" w:color="BFBFBF"/>
              <w:left w:val="nil"/>
              <w:bottom w:val="single" w:sz="4" w:space="0" w:color="auto"/>
              <w:right w:val="nil"/>
            </w:tcBorders>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n-US"/>
              </w:rPr>
            </w:pPr>
            <w:r w:rsidRPr="00641C40">
              <w:rPr>
                <w:rFonts w:ascii="Calibri" w:hAnsi="Calibri"/>
                <w:szCs w:val="20"/>
                <w:lang w:val="en-US"/>
              </w:rPr>
              <w:t>50.0</w:t>
            </w:r>
          </w:p>
        </w:tc>
        <w:tc>
          <w:tcPr>
            <w:tcW w:w="810" w:type="dxa"/>
            <w:tcBorders>
              <w:top w:val="single" w:sz="4" w:space="0" w:color="BFBFBF"/>
              <w:left w:val="single" w:sz="4" w:space="0" w:color="auto"/>
              <w:bottom w:val="single" w:sz="4" w:space="0" w:color="auto"/>
              <w:right w:val="nil"/>
            </w:tcBorders>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n-US"/>
              </w:rPr>
            </w:pPr>
            <w:r w:rsidRPr="00641C40">
              <w:rPr>
                <w:rFonts w:ascii="Calibri" w:hAnsi="Calibri"/>
                <w:szCs w:val="20"/>
                <w:lang w:val="en-US"/>
              </w:rPr>
              <w:t>2</w:t>
            </w:r>
          </w:p>
        </w:tc>
        <w:tc>
          <w:tcPr>
            <w:tcW w:w="842" w:type="dxa"/>
            <w:tcBorders>
              <w:top w:val="single" w:sz="4" w:space="0" w:color="BFBFBF"/>
              <w:left w:val="nil"/>
              <w:bottom w:val="single" w:sz="4" w:space="0" w:color="auto"/>
              <w:right w:val="single" w:sz="4" w:space="0" w:color="auto"/>
            </w:tcBorders>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n-US"/>
              </w:rPr>
            </w:pPr>
            <w:r w:rsidRPr="00641C40">
              <w:rPr>
                <w:rFonts w:ascii="Calibri" w:hAnsi="Calibri"/>
                <w:szCs w:val="20"/>
                <w:lang w:val="en-US"/>
              </w:rPr>
              <w:t>25.0</w:t>
            </w:r>
          </w:p>
        </w:tc>
      </w:tr>
    </w:tbl>
    <w:p w:rsidR="009571FA" w:rsidRPr="00513312" w:rsidRDefault="009571FA" w:rsidP="00777306">
      <w:pPr>
        <w:tabs>
          <w:tab w:val="left" w:pos="1134"/>
        </w:tabs>
        <w:ind w:left="720"/>
        <w:rPr>
          <w:rFonts w:ascii="Cambria" w:hAnsi="Cambria"/>
          <w:sz w:val="8"/>
          <w:vertAlign w:val="superscript"/>
        </w:rPr>
      </w:pPr>
    </w:p>
    <w:p w:rsidR="009571FA" w:rsidRDefault="00B20C86" w:rsidP="00EC0912">
      <w:pPr>
        <w:pStyle w:val="ListParagraph"/>
        <w:tabs>
          <w:tab w:val="left" w:pos="1134"/>
        </w:tabs>
        <w:ind w:left="1080"/>
        <w:rPr>
          <w:sz w:val="18"/>
        </w:rPr>
      </w:pPr>
      <w:r>
        <w:rPr>
          <w:sz w:val="18"/>
        </w:rPr>
        <w:t xml:space="preserve">* </w:t>
      </w:r>
      <w:r w:rsidR="009571FA" w:rsidRPr="00EC0912">
        <w:rPr>
          <w:sz w:val="18"/>
        </w:rPr>
        <w:t xml:space="preserve">3 </w:t>
      </w:r>
      <w:r w:rsidR="009B1A00">
        <w:rPr>
          <w:sz w:val="18"/>
        </w:rPr>
        <w:t>respon</w:t>
      </w:r>
      <w:r w:rsidR="002F41A6">
        <w:rPr>
          <w:sz w:val="18"/>
        </w:rPr>
        <w:t>dents</w:t>
      </w:r>
      <w:r>
        <w:rPr>
          <w:sz w:val="18"/>
        </w:rPr>
        <w:t xml:space="preserve"> on this subject </w:t>
      </w:r>
      <w:r w:rsidR="00EC0912">
        <w:rPr>
          <w:sz w:val="18"/>
        </w:rPr>
        <w:t>were excluded due to ‘</w:t>
      </w:r>
      <w:r w:rsidR="009571FA" w:rsidRPr="00EC0912">
        <w:rPr>
          <w:sz w:val="18"/>
        </w:rPr>
        <w:t>don't know</w:t>
      </w:r>
      <w:r w:rsidR="00EC0912">
        <w:rPr>
          <w:sz w:val="18"/>
        </w:rPr>
        <w:t xml:space="preserve">’ answers </w:t>
      </w:r>
    </w:p>
    <w:p w:rsidR="00EC0912" w:rsidRDefault="00EC0912" w:rsidP="00EC0912">
      <w:pPr>
        <w:pStyle w:val="ListParagraph"/>
        <w:tabs>
          <w:tab w:val="left" w:pos="1134"/>
        </w:tabs>
        <w:ind w:left="1080"/>
        <w:rPr>
          <w:sz w:val="22"/>
        </w:rPr>
      </w:pPr>
    </w:p>
    <w:p w:rsidR="009571FA" w:rsidRDefault="009571FA" w:rsidP="00141EAB">
      <w:pPr>
        <w:pStyle w:val="ListParagraph"/>
        <w:ind w:left="0"/>
        <w:rPr>
          <w:sz w:val="22"/>
        </w:rPr>
      </w:pPr>
      <w:r w:rsidRPr="00777306">
        <w:rPr>
          <w:sz w:val="22"/>
        </w:rPr>
        <w:t xml:space="preserve">A strong level of gender integration was reported by seven out of the eighteen </w:t>
      </w:r>
      <w:r w:rsidR="00EC0912">
        <w:rPr>
          <w:sz w:val="22"/>
        </w:rPr>
        <w:t xml:space="preserve">PFP with complete answers on this respect. </w:t>
      </w:r>
      <w:r w:rsidRPr="00777306">
        <w:rPr>
          <w:sz w:val="22"/>
        </w:rPr>
        <w:t xml:space="preserve">The corresponding PAHO proportion (39%) was above the average for all WHO regions (37%).    </w:t>
      </w:r>
    </w:p>
    <w:p w:rsidR="002F41A6" w:rsidRPr="00B20C86" w:rsidRDefault="002F41A6" w:rsidP="00141EAB">
      <w:pPr>
        <w:pStyle w:val="ListParagraph"/>
        <w:ind w:left="0"/>
        <w:rPr>
          <w:i/>
          <w:sz w:val="22"/>
        </w:rPr>
      </w:pPr>
    </w:p>
    <w:p w:rsidR="009571FA" w:rsidRPr="00777306" w:rsidRDefault="00B20C86" w:rsidP="00141EAB">
      <w:pPr>
        <w:pStyle w:val="ListParagraph"/>
        <w:ind w:left="0"/>
        <w:rPr>
          <w:sz w:val="22"/>
        </w:rPr>
      </w:pPr>
      <w:r w:rsidRPr="00B20C86">
        <w:rPr>
          <w:i/>
          <w:sz w:val="22"/>
        </w:rPr>
        <w:t>V</w:t>
      </w:r>
      <w:r w:rsidR="009571FA" w:rsidRPr="00B20C86">
        <w:rPr>
          <w:i/>
          <w:sz w:val="22"/>
        </w:rPr>
        <w:t>ariations by sex, grade</w:t>
      </w:r>
      <w:r w:rsidRPr="00B20C86">
        <w:rPr>
          <w:i/>
          <w:sz w:val="22"/>
        </w:rPr>
        <w:t>,</w:t>
      </w:r>
      <w:r w:rsidR="009571FA" w:rsidRPr="00B20C86">
        <w:rPr>
          <w:i/>
          <w:sz w:val="22"/>
        </w:rPr>
        <w:t xml:space="preserve"> and GE collaboration</w:t>
      </w:r>
      <w:r>
        <w:rPr>
          <w:i/>
          <w:sz w:val="22"/>
        </w:rPr>
        <w:t xml:space="preserve">: </w:t>
      </w:r>
      <w:r>
        <w:rPr>
          <w:sz w:val="22"/>
        </w:rPr>
        <w:t xml:space="preserve"> T</w:t>
      </w:r>
      <w:r w:rsidR="009571FA" w:rsidRPr="00777306">
        <w:rPr>
          <w:sz w:val="22"/>
        </w:rPr>
        <w:t xml:space="preserve">he proportion of PFPs </w:t>
      </w:r>
      <w:r>
        <w:rPr>
          <w:sz w:val="22"/>
        </w:rPr>
        <w:t xml:space="preserve">reporting </w:t>
      </w:r>
      <w:r w:rsidR="009571FA" w:rsidRPr="00777306">
        <w:rPr>
          <w:sz w:val="22"/>
        </w:rPr>
        <w:t>strong gender integration in their plan</w:t>
      </w:r>
      <w:r>
        <w:rPr>
          <w:sz w:val="22"/>
        </w:rPr>
        <w:t>ning processes w</w:t>
      </w:r>
      <w:r w:rsidR="009571FA" w:rsidRPr="00777306">
        <w:rPr>
          <w:sz w:val="22"/>
        </w:rPr>
        <w:t xml:space="preserve">as higher among </w:t>
      </w:r>
      <w:r>
        <w:rPr>
          <w:sz w:val="22"/>
        </w:rPr>
        <w:t>women</w:t>
      </w:r>
      <w:r w:rsidR="009571FA" w:rsidRPr="00777306">
        <w:rPr>
          <w:sz w:val="22"/>
        </w:rPr>
        <w:t xml:space="preserve">, Ds, and GE collaborators. </w:t>
      </w:r>
      <w:r>
        <w:rPr>
          <w:sz w:val="22"/>
        </w:rPr>
        <w:t>H</w:t>
      </w:r>
      <w:r w:rsidRPr="00777306">
        <w:rPr>
          <w:sz w:val="22"/>
        </w:rPr>
        <w:t xml:space="preserve">owever, </w:t>
      </w:r>
      <w:r>
        <w:rPr>
          <w:sz w:val="22"/>
        </w:rPr>
        <w:t>t</w:t>
      </w:r>
      <w:r w:rsidR="009571FA" w:rsidRPr="00777306">
        <w:rPr>
          <w:sz w:val="22"/>
        </w:rPr>
        <w:t>he small size of the sample, d</w:t>
      </w:r>
      <w:r w:rsidR="002F41A6">
        <w:rPr>
          <w:sz w:val="22"/>
        </w:rPr>
        <w:t>id</w:t>
      </w:r>
      <w:r w:rsidR="009571FA" w:rsidRPr="00777306">
        <w:rPr>
          <w:sz w:val="22"/>
        </w:rPr>
        <w:t xml:space="preserve"> not warrant definite conclusions about associations in this respect </w:t>
      </w:r>
    </w:p>
    <w:p w:rsidR="009571FA" w:rsidRDefault="009571FA" w:rsidP="00141EAB">
      <w:pPr>
        <w:pStyle w:val="ListParagraph"/>
        <w:ind w:left="0"/>
      </w:pPr>
    </w:p>
    <w:p w:rsidR="002F41A6" w:rsidRPr="003F23D0" w:rsidRDefault="002F41A6" w:rsidP="00141EAB">
      <w:pPr>
        <w:pStyle w:val="ListParagraph"/>
        <w:ind w:left="0"/>
      </w:pPr>
    </w:p>
    <w:p w:rsidR="009571FA" w:rsidRPr="003F23D0" w:rsidRDefault="00AE047F" w:rsidP="00E205AB">
      <w:pPr>
        <w:pStyle w:val="ListParagraph"/>
        <w:ind w:left="0"/>
        <w:rPr>
          <w:b/>
          <w:sz w:val="22"/>
        </w:rPr>
      </w:pPr>
      <w:r>
        <w:rPr>
          <w:b/>
          <w:sz w:val="22"/>
        </w:rPr>
        <w:t xml:space="preserve">   </w:t>
      </w:r>
      <w:r w:rsidR="003F23D0" w:rsidRPr="003F23D0">
        <w:rPr>
          <w:b/>
          <w:sz w:val="22"/>
        </w:rPr>
        <w:t>1.2.</w:t>
      </w:r>
      <w:r w:rsidR="009571FA" w:rsidRPr="003F23D0">
        <w:rPr>
          <w:b/>
          <w:sz w:val="22"/>
        </w:rPr>
        <w:t xml:space="preserve"> In the implementation of work plans</w:t>
      </w:r>
    </w:p>
    <w:p w:rsidR="009571FA" w:rsidRPr="004437D0" w:rsidRDefault="009571FA" w:rsidP="00777306">
      <w:pPr>
        <w:pStyle w:val="ListParagraph"/>
        <w:rPr>
          <w:b/>
          <w:sz w:val="14"/>
        </w:rPr>
      </w:pPr>
    </w:p>
    <w:p w:rsidR="009571FA" w:rsidRDefault="009571FA" w:rsidP="00777306">
      <w:pPr>
        <w:pStyle w:val="ListParagraph"/>
        <w:ind w:left="0"/>
        <w:rPr>
          <w:sz w:val="22"/>
        </w:rPr>
      </w:pPr>
      <w:r w:rsidRPr="00777306">
        <w:rPr>
          <w:sz w:val="22"/>
        </w:rPr>
        <w:t xml:space="preserve">The level of gender integration in program implementation referred to the extent to which gender inequalities in health were addressed in the implementation of the </w:t>
      </w:r>
      <w:r w:rsidR="00E44C9D">
        <w:rPr>
          <w:sz w:val="22"/>
        </w:rPr>
        <w:t xml:space="preserve">past </w:t>
      </w:r>
      <w:r w:rsidRPr="00777306">
        <w:rPr>
          <w:b/>
          <w:sz w:val="22"/>
        </w:rPr>
        <w:t>2006-2007</w:t>
      </w:r>
      <w:r w:rsidRPr="00777306">
        <w:rPr>
          <w:sz w:val="22"/>
        </w:rPr>
        <w:t xml:space="preserve"> biennial work plan</w:t>
      </w:r>
      <w:r w:rsidR="00AE047F">
        <w:rPr>
          <w:sz w:val="22"/>
        </w:rPr>
        <w:t xml:space="preserve"> through specific actions and </w:t>
      </w:r>
      <w:r w:rsidR="00602E79">
        <w:rPr>
          <w:sz w:val="22"/>
        </w:rPr>
        <w:t>use of</w:t>
      </w:r>
      <w:r w:rsidR="00AE047F">
        <w:rPr>
          <w:sz w:val="22"/>
        </w:rPr>
        <w:t xml:space="preserve"> resources</w:t>
      </w:r>
      <w:r w:rsidR="002F41A6">
        <w:rPr>
          <w:sz w:val="22"/>
        </w:rPr>
        <w:t>.</w:t>
      </w:r>
      <w:r w:rsidR="002F41A6">
        <w:rPr>
          <w:rStyle w:val="FootnoteReference"/>
          <w:sz w:val="22"/>
        </w:rPr>
        <w:footnoteReference w:id="9"/>
      </w:r>
      <w:r w:rsidR="002F41A6">
        <w:rPr>
          <w:sz w:val="22"/>
        </w:rPr>
        <w:t xml:space="preserve"> </w:t>
      </w:r>
      <w:r w:rsidRPr="00777306">
        <w:rPr>
          <w:sz w:val="22"/>
        </w:rPr>
        <w:t xml:space="preserve"> </w:t>
      </w:r>
    </w:p>
    <w:p w:rsidR="002F41A6" w:rsidRPr="00141EAB" w:rsidRDefault="002F41A6" w:rsidP="00777306">
      <w:pPr>
        <w:pStyle w:val="ListParagraph"/>
        <w:ind w:left="0"/>
        <w:rPr>
          <w:sz w:val="18"/>
        </w:rPr>
      </w:pPr>
    </w:p>
    <w:p w:rsidR="009571FA" w:rsidRPr="00777306" w:rsidRDefault="009571FA" w:rsidP="00777306">
      <w:pPr>
        <w:pStyle w:val="ListParagraph"/>
        <w:ind w:left="0"/>
        <w:rPr>
          <w:sz w:val="22"/>
        </w:rPr>
      </w:pPr>
      <w:r w:rsidRPr="00777306">
        <w:rPr>
          <w:sz w:val="22"/>
        </w:rPr>
        <w:t xml:space="preserve">Table </w:t>
      </w:r>
      <w:r w:rsidR="003F23D0">
        <w:rPr>
          <w:sz w:val="22"/>
        </w:rPr>
        <w:t>11</w:t>
      </w:r>
      <w:r w:rsidRPr="00777306">
        <w:rPr>
          <w:sz w:val="22"/>
        </w:rPr>
        <w:t xml:space="preserve"> indicates that </w:t>
      </w:r>
      <w:r w:rsidRPr="00777306">
        <w:rPr>
          <w:b/>
          <w:sz w:val="22"/>
        </w:rPr>
        <w:t xml:space="preserve">none </w:t>
      </w:r>
      <w:r w:rsidRPr="00777306">
        <w:rPr>
          <w:sz w:val="22"/>
        </w:rPr>
        <w:t>of PAHO interviewed PFP acknowledged a strong level of gender integration in the implementation of their work plans, while the corresponding figure for the entire WHO sample was 5.5%.  Two thirds of the</w:t>
      </w:r>
      <w:r w:rsidR="00AE047F">
        <w:rPr>
          <w:sz w:val="22"/>
        </w:rPr>
        <w:t xml:space="preserve"> respondents (11 out of 17) </w:t>
      </w:r>
      <w:r w:rsidR="003704F9">
        <w:rPr>
          <w:sz w:val="22"/>
        </w:rPr>
        <w:t xml:space="preserve">declared </w:t>
      </w:r>
      <w:r w:rsidRPr="00777306">
        <w:rPr>
          <w:sz w:val="22"/>
        </w:rPr>
        <w:t>a moderate level of gender integration in their program implementat</w:t>
      </w:r>
      <w:r w:rsidR="003704F9">
        <w:rPr>
          <w:sz w:val="22"/>
        </w:rPr>
        <w:t>ion while the remaining third (6</w:t>
      </w:r>
      <w:r w:rsidRPr="00777306">
        <w:rPr>
          <w:sz w:val="22"/>
        </w:rPr>
        <w:t xml:space="preserve">) reported weak or no integration. </w:t>
      </w:r>
    </w:p>
    <w:p w:rsidR="009571FA" w:rsidRPr="00141EAB" w:rsidRDefault="009571FA" w:rsidP="00777306">
      <w:pPr>
        <w:pStyle w:val="ListParagraph"/>
        <w:ind w:left="0"/>
        <w:rPr>
          <w:sz w:val="18"/>
        </w:rPr>
      </w:pPr>
    </w:p>
    <w:p w:rsidR="009571FA" w:rsidRPr="00141EAB" w:rsidRDefault="009571FA" w:rsidP="00777306">
      <w:pPr>
        <w:pStyle w:val="ListParagraph"/>
        <w:ind w:left="0"/>
        <w:rPr>
          <w:sz w:val="14"/>
        </w:rPr>
      </w:pPr>
    </w:p>
    <w:p w:rsidR="009571FA" w:rsidRDefault="009571FA" w:rsidP="00777306">
      <w:pPr>
        <w:ind w:left="720" w:right="720"/>
        <w:rPr>
          <w:b/>
        </w:rPr>
      </w:pPr>
      <w:r>
        <w:rPr>
          <w:b/>
        </w:rPr>
        <w:t xml:space="preserve">Table </w:t>
      </w:r>
      <w:r w:rsidR="003F23D0">
        <w:rPr>
          <w:b/>
        </w:rPr>
        <w:t>11</w:t>
      </w:r>
      <w:r>
        <w:rPr>
          <w:b/>
        </w:rPr>
        <w:t xml:space="preserve">.  </w:t>
      </w:r>
      <w:r w:rsidRPr="00A14E93">
        <w:t xml:space="preserve">AMRO/PAHO: </w:t>
      </w:r>
      <w:r>
        <w:t xml:space="preserve">Percent distribution of sampled planning focal points according to reported level </w:t>
      </w:r>
      <w:r w:rsidRPr="005A33F9">
        <w:t xml:space="preserve">of gender integration in </w:t>
      </w:r>
      <w:r>
        <w:t xml:space="preserve">the </w:t>
      </w:r>
      <w:r w:rsidRPr="00A14E93">
        <w:t>implementation</w:t>
      </w:r>
      <w:r>
        <w:t xml:space="preserve"> of their 2006-2007 work plans, </w:t>
      </w:r>
      <w:r w:rsidRPr="00A14E93">
        <w:t>by sex</w:t>
      </w:r>
      <w:r>
        <w:t xml:space="preserve">, </w:t>
      </w:r>
      <w:r w:rsidRPr="00A14E93">
        <w:t>grade</w:t>
      </w:r>
      <w:r>
        <w:t>,</w:t>
      </w:r>
      <w:r w:rsidRPr="00A14E93">
        <w:t xml:space="preserve"> </w:t>
      </w:r>
      <w:r>
        <w:t>and previous collaboration with PAHO/GE.</w:t>
      </w:r>
      <w:r w:rsidRPr="00A14E93">
        <w:t xml:space="preserve"> 2008.</w:t>
      </w:r>
      <w:r>
        <w:rPr>
          <w:b/>
        </w:rPr>
        <w:t xml:space="preserve"> </w:t>
      </w:r>
    </w:p>
    <w:p w:rsidR="009571FA" w:rsidRPr="00141EAB" w:rsidRDefault="009571FA" w:rsidP="00777306">
      <w:pPr>
        <w:ind w:left="720"/>
        <w:rPr>
          <w:b/>
          <w:sz w:val="8"/>
        </w:rPr>
      </w:pPr>
    </w:p>
    <w:tbl>
      <w:tblPr>
        <w:tblW w:w="0" w:type="auto"/>
        <w:jc w:val="center"/>
        <w:tblInd w:w="1442" w:type="dxa"/>
        <w:tblLook w:val="00BF"/>
      </w:tblPr>
      <w:tblGrid>
        <w:gridCol w:w="2227"/>
        <w:gridCol w:w="489"/>
        <w:gridCol w:w="771"/>
        <w:gridCol w:w="900"/>
        <w:gridCol w:w="737"/>
        <w:gridCol w:w="1063"/>
        <w:gridCol w:w="770"/>
        <w:gridCol w:w="917"/>
      </w:tblGrid>
      <w:tr w:rsidR="00E44C9D" w:rsidTr="004B7F31">
        <w:trPr>
          <w:trHeight w:val="314"/>
          <w:jc w:val="center"/>
        </w:trPr>
        <w:tc>
          <w:tcPr>
            <w:tcW w:w="2227" w:type="dxa"/>
            <w:vMerge w:val="restart"/>
            <w:tcBorders>
              <w:top w:val="single" w:sz="4" w:space="0" w:color="auto"/>
              <w:left w:val="single" w:sz="4" w:space="0" w:color="auto"/>
              <w:right w:val="single" w:sz="4" w:space="0" w:color="auto"/>
            </w:tcBorders>
            <w:shd w:val="clear" w:color="auto" w:fill="C6D9F1"/>
            <w:tcMar>
              <w:top w:w="0" w:type="dxa"/>
              <w:left w:w="28" w:type="dxa"/>
              <w:bottom w:w="0" w:type="dxa"/>
              <w:right w:w="28" w:type="dxa"/>
            </w:tcMar>
            <w:vAlign w:val="center"/>
          </w:tcPr>
          <w:p w:rsidR="00E44C9D" w:rsidRPr="00641C40" w:rsidRDefault="00AE047F" w:rsidP="00777306">
            <w:pPr>
              <w:tabs>
                <w:tab w:val="left" w:pos="253"/>
              </w:tabs>
              <w:spacing w:line="276" w:lineRule="auto"/>
              <w:rPr>
                <w:rFonts w:ascii="Calibri" w:hAnsi="Calibri"/>
                <w:b/>
                <w:color w:val="000000"/>
                <w:szCs w:val="20"/>
              </w:rPr>
            </w:pPr>
            <w:r>
              <w:rPr>
                <w:rFonts w:ascii="Calibri" w:hAnsi="Calibri"/>
                <w:b/>
                <w:color w:val="000000"/>
                <w:szCs w:val="20"/>
              </w:rPr>
              <w:t xml:space="preserve">        Implementation </w:t>
            </w:r>
          </w:p>
        </w:tc>
        <w:tc>
          <w:tcPr>
            <w:tcW w:w="489" w:type="dxa"/>
            <w:tcBorders>
              <w:top w:val="single" w:sz="4" w:space="0" w:color="auto"/>
              <w:left w:val="single" w:sz="4" w:space="0" w:color="auto"/>
              <w:bottom w:val="single" w:sz="4" w:space="0" w:color="auto"/>
              <w:right w:val="single" w:sz="4" w:space="0" w:color="auto"/>
            </w:tcBorders>
            <w:shd w:val="clear" w:color="auto" w:fill="C6D9F1"/>
            <w:tcMar>
              <w:top w:w="0" w:type="dxa"/>
              <w:left w:w="28" w:type="dxa"/>
              <w:bottom w:w="0" w:type="dxa"/>
              <w:right w:w="28" w:type="dxa"/>
            </w:tcMar>
            <w:vAlign w:val="center"/>
          </w:tcPr>
          <w:p w:rsidR="00E44C9D" w:rsidRPr="00641C40" w:rsidRDefault="00E44C9D" w:rsidP="00777306">
            <w:pPr>
              <w:tabs>
                <w:tab w:val="left" w:pos="253"/>
              </w:tabs>
              <w:spacing w:line="276" w:lineRule="auto"/>
              <w:jc w:val="center"/>
              <w:rPr>
                <w:rFonts w:ascii="Calibri" w:hAnsi="Calibri"/>
                <w:b/>
                <w:color w:val="000000"/>
                <w:szCs w:val="20"/>
                <w:lang w:val="es-ES_tradnl"/>
              </w:rPr>
            </w:pPr>
          </w:p>
        </w:tc>
        <w:tc>
          <w:tcPr>
            <w:tcW w:w="5158" w:type="dxa"/>
            <w:gridSpan w:val="6"/>
            <w:tcBorders>
              <w:top w:val="single" w:sz="4" w:space="0" w:color="auto"/>
              <w:left w:val="single" w:sz="4" w:space="0" w:color="auto"/>
              <w:bottom w:val="single" w:sz="4" w:space="0" w:color="auto"/>
              <w:right w:val="single" w:sz="4" w:space="0" w:color="auto"/>
            </w:tcBorders>
            <w:shd w:val="clear" w:color="auto" w:fill="C6D9F1"/>
            <w:tcMar>
              <w:top w:w="0" w:type="dxa"/>
              <w:left w:w="28" w:type="dxa"/>
              <w:bottom w:w="0" w:type="dxa"/>
              <w:right w:w="28" w:type="dxa"/>
            </w:tcMar>
            <w:vAlign w:val="center"/>
          </w:tcPr>
          <w:p w:rsidR="00E44C9D" w:rsidRPr="00641C40" w:rsidRDefault="00E44C9D" w:rsidP="00E44C9D">
            <w:pPr>
              <w:spacing w:line="276" w:lineRule="auto"/>
              <w:jc w:val="center"/>
              <w:rPr>
                <w:rFonts w:ascii="Calibri" w:hAnsi="Calibri"/>
                <w:b/>
                <w:color w:val="000000"/>
                <w:szCs w:val="20"/>
              </w:rPr>
            </w:pPr>
            <w:r w:rsidRPr="00641C40">
              <w:rPr>
                <w:rFonts w:ascii="Calibri" w:hAnsi="Calibri"/>
                <w:b/>
                <w:color w:val="000000"/>
                <w:szCs w:val="20"/>
              </w:rPr>
              <w:t>Level of Gender Integration</w:t>
            </w:r>
          </w:p>
        </w:tc>
      </w:tr>
      <w:tr w:rsidR="00E44C9D" w:rsidTr="004B7F31">
        <w:trPr>
          <w:trHeight w:val="314"/>
          <w:jc w:val="center"/>
        </w:trPr>
        <w:tc>
          <w:tcPr>
            <w:tcW w:w="2227" w:type="dxa"/>
            <w:vMerge/>
            <w:tcBorders>
              <w:left w:val="single" w:sz="4" w:space="0" w:color="auto"/>
              <w:right w:val="single" w:sz="4" w:space="0" w:color="auto"/>
            </w:tcBorders>
            <w:shd w:val="clear" w:color="auto" w:fill="C6D9F1"/>
            <w:tcMar>
              <w:top w:w="0" w:type="dxa"/>
              <w:left w:w="28" w:type="dxa"/>
              <w:bottom w:w="0" w:type="dxa"/>
              <w:right w:w="28" w:type="dxa"/>
            </w:tcMar>
            <w:vAlign w:val="center"/>
          </w:tcPr>
          <w:p w:rsidR="00E44C9D" w:rsidRPr="00641C40" w:rsidRDefault="00E44C9D" w:rsidP="00777306">
            <w:pPr>
              <w:tabs>
                <w:tab w:val="left" w:pos="253"/>
              </w:tabs>
              <w:spacing w:line="276" w:lineRule="auto"/>
              <w:rPr>
                <w:rFonts w:ascii="Calibri" w:hAnsi="Calibri"/>
                <w:b/>
                <w:color w:val="000000"/>
                <w:szCs w:val="20"/>
              </w:rPr>
            </w:pPr>
          </w:p>
        </w:tc>
        <w:tc>
          <w:tcPr>
            <w:tcW w:w="489" w:type="dxa"/>
            <w:vMerge w:val="restart"/>
            <w:tcBorders>
              <w:top w:val="single" w:sz="4" w:space="0" w:color="auto"/>
              <w:left w:val="single" w:sz="4" w:space="0" w:color="auto"/>
              <w:bottom w:val="single" w:sz="4" w:space="0" w:color="auto"/>
              <w:right w:val="single" w:sz="4" w:space="0" w:color="auto"/>
            </w:tcBorders>
            <w:shd w:val="clear" w:color="auto" w:fill="C6D9F1"/>
            <w:tcMar>
              <w:top w:w="0" w:type="dxa"/>
              <w:left w:w="28" w:type="dxa"/>
              <w:bottom w:w="0" w:type="dxa"/>
              <w:right w:w="28" w:type="dxa"/>
            </w:tcMar>
            <w:vAlign w:val="center"/>
          </w:tcPr>
          <w:p w:rsidR="00E44C9D" w:rsidRPr="00641C40" w:rsidRDefault="00E44C9D" w:rsidP="00777306">
            <w:pPr>
              <w:tabs>
                <w:tab w:val="left" w:pos="253"/>
              </w:tabs>
              <w:spacing w:line="276" w:lineRule="auto"/>
              <w:jc w:val="center"/>
              <w:rPr>
                <w:rFonts w:ascii="Calibri" w:hAnsi="Calibri"/>
                <w:b/>
                <w:color w:val="000000"/>
                <w:szCs w:val="20"/>
                <w:lang w:val="es-ES_tradnl"/>
              </w:rPr>
            </w:pPr>
            <w:r w:rsidRPr="00641C40">
              <w:rPr>
                <w:rFonts w:ascii="Calibri" w:hAnsi="Calibri"/>
                <w:b/>
                <w:color w:val="000000"/>
                <w:szCs w:val="20"/>
                <w:lang w:val="es-ES_tradnl"/>
              </w:rPr>
              <w:t>N</w:t>
            </w:r>
          </w:p>
        </w:tc>
        <w:tc>
          <w:tcPr>
            <w:tcW w:w="1671" w:type="dxa"/>
            <w:gridSpan w:val="2"/>
            <w:tcBorders>
              <w:top w:val="single" w:sz="4" w:space="0" w:color="auto"/>
              <w:left w:val="single" w:sz="4" w:space="0" w:color="auto"/>
              <w:bottom w:val="single" w:sz="4" w:space="0" w:color="auto"/>
              <w:right w:val="nil"/>
            </w:tcBorders>
            <w:shd w:val="clear" w:color="auto" w:fill="C6D9F1"/>
            <w:tcMar>
              <w:top w:w="0" w:type="dxa"/>
              <w:left w:w="28" w:type="dxa"/>
              <w:bottom w:w="0" w:type="dxa"/>
              <w:right w:w="28" w:type="dxa"/>
            </w:tcMar>
            <w:vAlign w:val="center"/>
          </w:tcPr>
          <w:p w:rsidR="00E44C9D" w:rsidRPr="00641C40" w:rsidRDefault="00E44C9D" w:rsidP="00E44C9D">
            <w:pPr>
              <w:spacing w:line="276" w:lineRule="auto"/>
              <w:jc w:val="center"/>
              <w:rPr>
                <w:rFonts w:ascii="Calibri" w:hAnsi="Calibri"/>
                <w:b/>
                <w:color w:val="000000"/>
                <w:szCs w:val="20"/>
              </w:rPr>
            </w:pPr>
            <w:r w:rsidRPr="00641C40">
              <w:rPr>
                <w:rFonts w:ascii="Calibri" w:hAnsi="Calibri"/>
                <w:b/>
                <w:color w:val="000000"/>
                <w:szCs w:val="20"/>
              </w:rPr>
              <w:t xml:space="preserve">None or Weak </w:t>
            </w:r>
          </w:p>
        </w:tc>
        <w:tc>
          <w:tcPr>
            <w:tcW w:w="1800" w:type="dxa"/>
            <w:gridSpan w:val="2"/>
            <w:tcBorders>
              <w:top w:val="single" w:sz="4" w:space="0" w:color="auto"/>
              <w:left w:val="single" w:sz="4" w:space="0" w:color="auto"/>
              <w:bottom w:val="single" w:sz="4" w:space="0" w:color="auto"/>
              <w:right w:val="nil"/>
            </w:tcBorders>
            <w:shd w:val="clear" w:color="auto" w:fill="C6D9F1"/>
            <w:tcMar>
              <w:top w:w="0" w:type="dxa"/>
              <w:left w:w="28" w:type="dxa"/>
              <w:bottom w:w="0" w:type="dxa"/>
              <w:right w:w="28" w:type="dxa"/>
            </w:tcMar>
            <w:vAlign w:val="center"/>
          </w:tcPr>
          <w:p w:rsidR="00E44C9D" w:rsidRPr="00641C40" w:rsidRDefault="00E44C9D" w:rsidP="00E44C9D">
            <w:pPr>
              <w:spacing w:line="276" w:lineRule="auto"/>
              <w:jc w:val="center"/>
              <w:rPr>
                <w:rFonts w:ascii="Calibri" w:hAnsi="Calibri"/>
                <w:b/>
                <w:color w:val="000000"/>
                <w:szCs w:val="20"/>
              </w:rPr>
            </w:pPr>
            <w:r w:rsidRPr="00641C40">
              <w:rPr>
                <w:rFonts w:ascii="Calibri" w:hAnsi="Calibri"/>
                <w:b/>
                <w:color w:val="000000"/>
                <w:szCs w:val="20"/>
              </w:rPr>
              <w:t xml:space="preserve">Some or Moderate </w:t>
            </w:r>
          </w:p>
        </w:tc>
        <w:tc>
          <w:tcPr>
            <w:tcW w:w="1687" w:type="dxa"/>
            <w:gridSpan w:val="2"/>
            <w:tcBorders>
              <w:top w:val="single" w:sz="4" w:space="0" w:color="auto"/>
              <w:left w:val="single" w:sz="4" w:space="0" w:color="auto"/>
              <w:bottom w:val="single" w:sz="4" w:space="0" w:color="auto"/>
              <w:right w:val="single" w:sz="4" w:space="0" w:color="auto"/>
            </w:tcBorders>
            <w:shd w:val="clear" w:color="auto" w:fill="C6D9F1"/>
            <w:tcMar>
              <w:top w:w="0" w:type="dxa"/>
              <w:left w:w="28" w:type="dxa"/>
              <w:bottom w:w="0" w:type="dxa"/>
              <w:right w:w="28" w:type="dxa"/>
            </w:tcMar>
            <w:vAlign w:val="center"/>
          </w:tcPr>
          <w:p w:rsidR="00E44C9D" w:rsidRPr="00641C40" w:rsidRDefault="00E44C9D" w:rsidP="00E44C9D">
            <w:pPr>
              <w:spacing w:line="276" w:lineRule="auto"/>
              <w:jc w:val="center"/>
              <w:rPr>
                <w:rFonts w:ascii="Calibri" w:hAnsi="Calibri"/>
                <w:b/>
                <w:color w:val="000000"/>
                <w:szCs w:val="20"/>
              </w:rPr>
            </w:pPr>
            <w:r w:rsidRPr="00641C40">
              <w:rPr>
                <w:rFonts w:ascii="Calibri" w:hAnsi="Calibri"/>
                <w:b/>
                <w:color w:val="000000"/>
                <w:szCs w:val="20"/>
              </w:rPr>
              <w:t xml:space="preserve">Strong </w:t>
            </w:r>
          </w:p>
        </w:tc>
      </w:tr>
      <w:tr w:rsidR="00E44C9D" w:rsidTr="004B7F31">
        <w:trPr>
          <w:trHeight w:val="314"/>
          <w:jc w:val="center"/>
        </w:trPr>
        <w:tc>
          <w:tcPr>
            <w:tcW w:w="2227" w:type="dxa"/>
            <w:vMerge/>
            <w:tcBorders>
              <w:left w:val="single" w:sz="4" w:space="0" w:color="auto"/>
              <w:bottom w:val="single" w:sz="4" w:space="0" w:color="auto"/>
              <w:right w:val="single" w:sz="4" w:space="0" w:color="auto"/>
            </w:tcBorders>
            <w:vAlign w:val="center"/>
          </w:tcPr>
          <w:p w:rsidR="00E44C9D" w:rsidRPr="00641C40" w:rsidRDefault="00E44C9D" w:rsidP="00777306">
            <w:pPr>
              <w:rPr>
                <w:rFonts w:ascii="Calibri" w:hAnsi="Calibri"/>
                <w:b/>
                <w:color w:val="000000"/>
                <w:szCs w:val="20"/>
              </w:rPr>
            </w:pPr>
          </w:p>
        </w:tc>
        <w:tc>
          <w:tcPr>
            <w:tcW w:w="489" w:type="dxa"/>
            <w:vMerge/>
            <w:tcBorders>
              <w:top w:val="single" w:sz="4" w:space="0" w:color="auto"/>
              <w:left w:val="single" w:sz="4" w:space="0" w:color="auto"/>
              <w:bottom w:val="single" w:sz="4" w:space="0" w:color="auto"/>
              <w:right w:val="single" w:sz="4" w:space="0" w:color="auto"/>
            </w:tcBorders>
            <w:vAlign w:val="center"/>
          </w:tcPr>
          <w:p w:rsidR="00E44C9D" w:rsidRPr="00641C40" w:rsidRDefault="00E44C9D" w:rsidP="00777306">
            <w:pPr>
              <w:rPr>
                <w:rFonts w:ascii="Calibri" w:hAnsi="Calibri"/>
                <w:b/>
                <w:color w:val="000000"/>
                <w:szCs w:val="20"/>
                <w:lang w:val="en-US"/>
              </w:rPr>
            </w:pPr>
          </w:p>
        </w:tc>
        <w:tc>
          <w:tcPr>
            <w:tcW w:w="771" w:type="dxa"/>
            <w:tcBorders>
              <w:top w:val="single" w:sz="4" w:space="0" w:color="auto"/>
              <w:left w:val="single" w:sz="4" w:space="0" w:color="auto"/>
              <w:bottom w:val="single" w:sz="4" w:space="0" w:color="auto"/>
              <w:right w:val="nil"/>
            </w:tcBorders>
            <w:shd w:val="clear" w:color="auto" w:fill="C6D9F1"/>
            <w:tcMar>
              <w:top w:w="0" w:type="dxa"/>
              <w:left w:w="28" w:type="dxa"/>
              <w:bottom w:w="0" w:type="dxa"/>
              <w:right w:w="28" w:type="dxa"/>
            </w:tcMar>
            <w:vAlign w:val="center"/>
          </w:tcPr>
          <w:p w:rsidR="00E44C9D" w:rsidRPr="00641C40" w:rsidRDefault="00E44C9D" w:rsidP="00777306">
            <w:pPr>
              <w:spacing w:line="276" w:lineRule="auto"/>
              <w:jc w:val="center"/>
              <w:rPr>
                <w:rFonts w:ascii="Calibri" w:hAnsi="Calibri"/>
                <w:b/>
                <w:color w:val="000000"/>
                <w:szCs w:val="20"/>
                <w:lang w:val="es-ES_tradnl"/>
              </w:rPr>
            </w:pPr>
            <w:r w:rsidRPr="00641C40">
              <w:rPr>
                <w:rFonts w:ascii="Calibri" w:hAnsi="Calibri"/>
                <w:b/>
                <w:color w:val="000000"/>
                <w:szCs w:val="20"/>
                <w:lang w:val="es-ES_tradnl"/>
              </w:rPr>
              <w:t>n</w:t>
            </w:r>
          </w:p>
        </w:tc>
        <w:tc>
          <w:tcPr>
            <w:tcW w:w="900" w:type="dxa"/>
            <w:tcBorders>
              <w:top w:val="single" w:sz="4" w:space="0" w:color="auto"/>
              <w:left w:val="nil"/>
              <w:bottom w:val="single" w:sz="4" w:space="0" w:color="auto"/>
              <w:right w:val="nil"/>
            </w:tcBorders>
            <w:shd w:val="clear" w:color="auto" w:fill="C6D9F1"/>
            <w:tcMar>
              <w:top w:w="0" w:type="dxa"/>
              <w:left w:w="28" w:type="dxa"/>
              <w:bottom w:w="0" w:type="dxa"/>
              <w:right w:w="28" w:type="dxa"/>
            </w:tcMar>
            <w:vAlign w:val="center"/>
          </w:tcPr>
          <w:p w:rsidR="00E44C9D" w:rsidRPr="00641C40" w:rsidRDefault="00E44C9D" w:rsidP="00777306">
            <w:pPr>
              <w:spacing w:line="276" w:lineRule="auto"/>
              <w:jc w:val="center"/>
              <w:rPr>
                <w:rFonts w:ascii="Calibri" w:hAnsi="Calibri"/>
                <w:b/>
                <w:color w:val="000000"/>
                <w:szCs w:val="20"/>
                <w:lang w:val="es-ES_tradnl"/>
              </w:rPr>
            </w:pPr>
            <w:r w:rsidRPr="00641C40">
              <w:rPr>
                <w:rFonts w:ascii="Calibri" w:hAnsi="Calibri"/>
                <w:b/>
                <w:color w:val="000000"/>
                <w:szCs w:val="20"/>
                <w:lang w:val="es-ES_tradnl"/>
              </w:rPr>
              <w:t>%</w:t>
            </w:r>
          </w:p>
        </w:tc>
        <w:tc>
          <w:tcPr>
            <w:tcW w:w="737" w:type="dxa"/>
            <w:tcBorders>
              <w:top w:val="single" w:sz="4" w:space="0" w:color="auto"/>
              <w:left w:val="single" w:sz="4" w:space="0" w:color="auto"/>
              <w:bottom w:val="single" w:sz="4" w:space="0" w:color="auto"/>
              <w:right w:val="nil"/>
            </w:tcBorders>
            <w:shd w:val="clear" w:color="auto" w:fill="C6D9F1"/>
            <w:tcMar>
              <w:top w:w="0" w:type="dxa"/>
              <w:left w:w="28" w:type="dxa"/>
              <w:bottom w:w="0" w:type="dxa"/>
              <w:right w:w="28" w:type="dxa"/>
            </w:tcMar>
            <w:vAlign w:val="center"/>
          </w:tcPr>
          <w:p w:rsidR="00E44C9D" w:rsidRPr="00641C40" w:rsidRDefault="00E44C9D" w:rsidP="00777306">
            <w:pPr>
              <w:spacing w:line="276" w:lineRule="auto"/>
              <w:jc w:val="center"/>
              <w:rPr>
                <w:rFonts w:ascii="Calibri" w:hAnsi="Calibri"/>
                <w:b/>
                <w:color w:val="000000"/>
                <w:szCs w:val="20"/>
                <w:lang w:val="es-ES_tradnl"/>
              </w:rPr>
            </w:pPr>
            <w:r w:rsidRPr="00641C40">
              <w:rPr>
                <w:rFonts w:ascii="Calibri" w:hAnsi="Calibri"/>
                <w:b/>
                <w:color w:val="000000"/>
                <w:szCs w:val="20"/>
                <w:lang w:val="es-ES_tradnl"/>
              </w:rPr>
              <w:t>n</w:t>
            </w:r>
          </w:p>
        </w:tc>
        <w:tc>
          <w:tcPr>
            <w:tcW w:w="1063" w:type="dxa"/>
            <w:tcBorders>
              <w:top w:val="single" w:sz="4" w:space="0" w:color="auto"/>
              <w:left w:val="nil"/>
              <w:bottom w:val="single" w:sz="4" w:space="0" w:color="auto"/>
              <w:right w:val="nil"/>
            </w:tcBorders>
            <w:shd w:val="clear" w:color="auto" w:fill="C6D9F1"/>
            <w:tcMar>
              <w:top w:w="0" w:type="dxa"/>
              <w:left w:w="28" w:type="dxa"/>
              <w:bottom w:w="0" w:type="dxa"/>
              <w:right w:w="28" w:type="dxa"/>
            </w:tcMar>
            <w:vAlign w:val="center"/>
          </w:tcPr>
          <w:p w:rsidR="00E44C9D" w:rsidRPr="00641C40" w:rsidRDefault="00E44C9D" w:rsidP="00777306">
            <w:pPr>
              <w:spacing w:line="276" w:lineRule="auto"/>
              <w:jc w:val="center"/>
              <w:rPr>
                <w:rFonts w:ascii="Calibri" w:hAnsi="Calibri"/>
                <w:b/>
                <w:color w:val="000000"/>
                <w:szCs w:val="20"/>
                <w:lang w:val="es-ES_tradnl"/>
              </w:rPr>
            </w:pPr>
            <w:r w:rsidRPr="00641C40">
              <w:rPr>
                <w:rFonts w:ascii="Calibri" w:hAnsi="Calibri"/>
                <w:b/>
                <w:color w:val="000000"/>
                <w:szCs w:val="20"/>
                <w:lang w:val="es-ES_tradnl"/>
              </w:rPr>
              <w:t>%</w:t>
            </w:r>
          </w:p>
        </w:tc>
        <w:tc>
          <w:tcPr>
            <w:tcW w:w="770" w:type="dxa"/>
            <w:tcBorders>
              <w:top w:val="single" w:sz="4" w:space="0" w:color="auto"/>
              <w:left w:val="single" w:sz="4" w:space="0" w:color="auto"/>
              <w:bottom w:val="single" w:sz="4" w:space="0" w:color="auto"/>
              <w:right w:val="nil"/>
            </w:tcBorders>
            <w:shd w:val="clear" w:color="auto" w:fill="C6D9F1"/>
            <w:tcMar>
              <w:top w:w="0" w:type="dxa"/>
              <w:left w:w="28" w:type="dxa"/>
              <w:bottom w:w="0" w:type="dxa"/>
              <w:right w:w="28" w:type="dxa"/>
            </w:tcMar>
            <w:vAlign w:val="center"/>
          </w:tcPr>
          <w:p w:rsidR="00E44C9D" w:rsidRPr="00641C40" w:rsidRDefault="00E44C9D" w:rsidP="00777306">
            <w:pPr>
              <w:spacing w:line="276" w:lineRule="auto"/>
              <w:jc w:val="center"/>
              <w:rPr>
                <w:rFonts w:ascii="Calibri" w:hAnsi="Calibri"/>
                <w:b/>
                <w:color w:val="000000"/>
                <w:szCs w:val="20"/>
                <w:lang w:val="es-ES_tradnl"/>
              </w:rPr>
            </w:pPr>
            <w:r w:rsidRPr="00641C40">
              <w:rPr>
                <w:rFonts w:ascii="Calibri" w:hAnsi="Calibri"/>
                <w:b/>
                <w:color w:val="000000"/>
                <w:szCs w:val="20"/>
                <w:lang w:val="es-ES_tradnl"/>
              </w:rPr>
              <w:t>n</w:t>
            </w:r>
          </w:p>
        </w:tc>
        <w:tc>
          <w:tcPr>
            <w:tcW w:w="917" w:type="dxa"/>
            <w:tcBorders>
              <w:top w:val="single" w:sz="4" w:space="0" w:color="auto"/>
              <w:left w:val="nil"/>
              <w:bottom w:val="single" w:sz="4" w:space="0" w:color="auto"/>
              <w:right w:val="single" w:sz="4" w:space="0" w:color="auto"/>
            </w:tcBorders>
            <w:shd w:val="clear" w:color="auto" w:fill="C6D9F1"/>
            <w:tcMar>
              <w:top w:w="0" w:type="dxa"/>
              <w:left w:w="28" w:type="dxa"/>
              <w:bottom w:w="0" w:type="dxa"/>
              <w:right w:w="28" w:type="dxa"/>
            </w:tcMar>
            <w:vAlign w:val="center"/>
          </w:tcPr>
          <w:p w:rsidR="00E44C9D" w:rsidRPr="00641C40" w:rsidRDefault="00E44C9D" w:rsidP="00777306">
            <w:pPr>
              <w:spacing w:line="276" w:lineRule="auto"/>
              <w:jc w:val="center"/>
              <w:rPr>
                <w:rFonts w:ascii="Calibri" w:hAnsi="Calibri"/>
                <w:b/>
                <w:color w:val="000000"/>
                <w:szCs w:val="20"/>
                <w:lang w:val="es-ES_tradnl"/>
              </w:rPr>
            </w:pPr>
            <w:r w:rsidRPr="00641C40">
              <w:rPr>
                <w:rFonts w:ascii="Calibri" w:hAnsi="Calibri"/>
                <w:b/>
                <w:color w:val="000000"/>
                <w:szCs w:val="20"/>
                <w:lang w:val="es-ES_tradnl"/>
              </w:rPr>
              <w:t>%</w:t>
            </w:r>
          </w:p>
        </w:tc>
      </w:tr>
      <w:tr w:rsidR="009571FA" w:rsidTr="00777306">
        <w:trPr>
          <w:trHeight w:val="314"/>
          <w:jc w:val="center"/>
        </w:trPr>
        <w:tc>
          <w:tcPr>
            <w:tcW w:w="2227" w:type="dxa"/>
            <w:tcBorders>
              <w:top w:val="single" w:sz="4" w:space="0" w:color="auto"/>
              <w:left w:val="single" w:sz="4" w:space="0" w:color="auto"/>
              <w:bottom w:val="single" w:sz="4" w:space="0" w:color="auto"/>
              <w:right w:val="single" w:sz="4" w:space="0" w:color="auto"/>
            </w:tcBorders>
            <w:shd w:val="clear" w:color="auto" w:fill="EAF1DD"/>
            <w:tcMar>
              <w:top w:w="0" w:type="dxa"/>
              <w:left w:w="28" w:type="dxa"/>
              <w:bottom w:w="0" w:type="dxa"/>
              <w:right w:w="28" w:type="dxa"/>
            </w:tcMar>
            <w:vAlign w:val="center"/>
          </w:tcPr>
          <w:p w:rsidR="009571FA" w:rsidRPr="00641C40" w:rsidRDefault="009571FA" w:rsidP="00777306">
            <w:pPr>
              <w:tabs>
                <w:tab w:val="left" w:pos="253"/>
              </w:tabs>
              <w:spacing w:line="276" w:lineRule="auto"/>
              <w:rPr>
                <w:rFonts w:ascii="Calibri" w:hAnsi="Calibri"/>
                <w:b/>
                <w:szCs w:val="20"/>
              </w:rPr>
            </w:pPr>
            <w:r w:rsidRPr="00641C40">
              <w:rPr>
                <w:rFonts w:ascii="Calibri" w:hAnsi="Calibri"/>
                <w:b/>
                <w:szCs w:val="20"/>
              </w:rPr>
              <w:t>WHO planners sample</w:t>
            </w:r>
          </w:p>
        </w:tc>
        <w:tc>
          <w:tcPr>
            <w:tcW w:w="489" w:type="dxa"/>
            <w:tcBorders>
              <w:top w:val="single" w:sz="4" w:space="0" w:color="auto"/>
              <w:left w:val="single" w:sz="4" w:space="0" w:color="auto"/>
              <w:bottom w:val="single" w:sz="4" w:space="0" w:color="auto"/>
              <w:right w:val="single" w:sz="4" w:space="0" w:color="auto"/>
            </w:tcBorders>
            <w:shd w:val="clear" w:color="auto" w:fill="EAF1DD"/>
            <w:tcMar>
              <w:top w:w="0" w:type="dxa"/>
              <w:left w:w="28" w:type="dxa"/>
              <w:bottom w:w="0" w:type="dxa"/>
              <w:right w:w="28" w:type="dxa"/>
            </w:tcMar>
            <w:vAlign w:val="center"/>
          </w:tcPr>
          <w:p w:rsidR="009571FA" w:rsidRPr="00641C40" w:rsidRDefault="009571FA" w:rsidP="00777306">
            <w:pPr>
              <w:tabs>
                <w:tab w:val="left" w:pos="253"/>
              </w:tabs>
              <w:spacing w:line="276" w:lineRule="auto"/>
              <w:jc w:val="center"/>
              <w:rPr>
                <w:rFonts w:ascii="Calibri" w:hAnsi="Calibri"/>
                <w:szCs w:val="20"/>
                <w:lang w:val="es-ES_tradnl"/>
              </w:rPr>
            </w:pPr>
            <w:r w:rsidRPr="00641C40">
              <w:rPr>
                <w:rFonts w:ascii="Calibri" w:hAnsi="Calibri"/>
                <w:szCs w:val="20"/>
                <w:lang w:val="es-ES_tradnl"/>
              </w:rPr>
              <w:t>127</w:t>
            </w:r>
          </w:p>
        </w:tc>
        <w:tc>
          <w:tcPr>
            <w:tcW w:w="771" w:type="dxa"/>
            <w:tcBorders>
              <w:top w:val="single" w:sz="4" w:space="0" w:color="auto"/>
              <w:left w:val="single" w:sz="4" w:space="0" w:color="auto"/>
              <w:bottom w:val="single" w:sz="4" w:space="0" w:color="auto"/>
              <w:right w:val="nil"/>
            </w:tcBorders>
            <w:shd w:val="clear" w:color="auto" w:fill="EAF1DD"/>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s-ES_tradnl"/>
              </w:rPr>
            </w:pPr>
            <w:r w:rsidRPr="00641C40">
              <w:rPr>
                <w:rFonts w:ascii="Calibri" w:hAnsi="Calibri"/>
                <w:szCs w:val="20"/>
                <w:lang w:val="es-ES_tradnl"/>
              </w:rPr>
              <w:t>47</w:t>
            </w:r>
          </w:p>
        </w:tc>
        <w:tc>
          <w:tcPr>
            <w:tcW w:w="900" w:type="dxa"/>
            <w:tcBorders>
              <w:top w:val="single" w:sz="4" w:space="0" w:color="auto"/>
              <w:left w:val="nil"/>
              <w:bottom w:val="single" w:sz="4" w:space="0" w:color="auto"/>
              <w:right w:val="nil"/>
            </w:tcBorders>
            <w:shd w:val="clear" w:color="auto" w:fill="EAF1DD"/>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s-ES_tradnl"/>
              </w:rPr>
            </w:pPr>
            <w:r w:rsidRPr="00641C40">
              <w:rPr>
                <w:rFonts w:ascii="Calibri" w:hAnsi="Calibri"/>
                <w:szCs w:val="20"/>
                <w:lang w:val="es-ES_tradnl"/>
              </w:rPr>
              <w:t>37.0</w:t>
            </w:r>
          </w:p>
        </w:tc>
        <w:tc>
          <w:tcPr>
            <w:tcW w:w="737" w:type="dxa"/>
            <w:tcBorders>
              <w:top w:val="single" w:sz="4" w:space="0" w:color="auto"/>
              <w:left w:val="single" w:sz="4" w:space="0" w:color="auto"/>
              <w:bottom w:val="single" w:sz="4" w:space="0" w:color="auto"/>
              <w:right w:val="nil"/>
            </w:tcBorders>
            <w:shd w:val="clear" w:color="auto" w:fill="EAF1DD"/>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s-ES_tradnl"/>
              </w:rPr>
            </w:pPr>
            <w:r w:rsidRPr="00641C40">
              <w:rPr>
                <w:rFonts w:ascii="Calibri" w:hAnsi="Calibri"/>
                <w:szCs w:val="20"/>
                <w:lang w:val="es-ES_tradnl"/>
              </w:rPr>
              <w:t>73</w:t>
            </w:r>
          </w:p>
        </w:tc>
        <w:tc>
          <w:tcPr>
            <w:tcW w:w="1063" w:type="dxa"/>
            <w:tcBorders>
              <w:top w:val="single" w:sz="4" w:space="0" w:color="auto"/>
              <w:left w:val="nil"/>
              <w:bottom w:val="single" w:sz="4" w:space="0" w:color="auto"/>
              <w:right w:val="nil"/>
            </w:tcBorders>
            <w:shd w:val="clear" w:color="auto" w:fill="EAF1DD"/>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s-ES_tradnl"/>
              </w:rPr>
            </w:pPr>
            <w:r w:rsidRPr="00641C40">
              <w:rPr>
                <w:rFonts w:ascii="Calibri" w:hAnsi="Calibri"/>
                <w:szCs w:val="20"/>
                <w:lang w:val="es-ES_tradnl"/>
              </w:rPr>
              <w:t>57.5</w:t>
            </w:r>
          </w:p>
        </w:tc>
        <w:tc>
          <w:tcPr>
            <w:tcW w:w="770" w:type="dxa"/>
            <w:tcBorders>
              <w:top w:val="single" w:sz="4" w:space="0" w:color="auto"/>
              <w:left w:val="single" w:sz="4" w:space="0" w:color="auto"/>
              <w:bottom w:val="single" w:sz="4" w:space="0" w:color="auto"/>
              <w:right w:val="nil"/>
            </w:tcBorders>
            <w:shd w:val="clear" w:color="auto" w:fill="EAF1DD"/>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s-ES_tradnl"/>
              </w:rPr>
            </w:pPr>
            <w:r w:rsidRPr="00641C40">
              <w:rPr>
                <w:rFonts w:ascii="Calibri" w:hAnsi="Calibri"/>
                <w:szCs w:val="20"/>
                <w:lang w:val="es-ES_tradnl"/>
              </w:rPr>
              <w:t>7</w:t>
            </w:r>
          </w:p>
        </w:tc>
        <w:tc>
          <w:tcPr>
            <w:tcW w:w="917" w:type="dxa"/>
            <w:tcBorders>
              <w:top w:val="single" w:sz="4" w:space="0" w:color="auto"/>
              <w:left w:val="nil"/>
              <w:bottom w:val="single" w:sz="4" w:space="0" w:color="auto"/>
              <w:right w:val="single" w:sz="4" w:space="0" w:color="auto"/>
            </w:tcBorders>
            <w:shd w:val="clear" w:color="auto" w:fill="EAF1DD"/>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s-ES_tradnl"/>
              </w:rPr>
            </w:pPr>
            <w:r w:rsidRPr="00641C40">
              <w:rPr>
                <w:rFonts w:ascii="Calibri" w:hAnsi="Calibri"/>
                <w:szCs w:val="20"/>
                <w:lang w:val="es-ES_tradnl"/>
              </w:rPr>
              <w:t>5.5</w:t>
            </w:r>
          </w:p>
        </w:tc>
      </w:tr>
      <w:tr w:rsidR="009571FA" w:rsidTr="00777306">
        <w:trPr>
          <w:trHeight w:val="314"/>
          <w:jc w:val="center"/>
        </w:trPr>
        <w:tc>
          <w:tcPr>
            <w:tcW w:w="2227" w:type="dxa"/>
            <w:tcBorders>
              <w:top w:val="single" w:sz="4" w:space="0" w:color="auto"/>
              <w:left w:val="single" w:sz="4" w:space="0" w:color="auto"/>
              <w:bottom w:val="single" w:sz="4" w:space="0" w:color="auto"/>
              <w:right w:val="single" w:sz="4" w:space="0" w:color="auto"/>
            </w:tcBorders>
            <w:shd w:val="clear" w:color="auto" w:fill="DBE5F1"/>
            <w:tcMar>
              <w:top w:w="0" w:type="dxa"/>
              <w:left w:w="28" w:type="dxa"/>
              <w:bottom w:w="0" w:type="dxa"/>
              <w:right w:w="28" w:type="dxa"/>
            </w:tcMar>
            <w:vAlign w:val="center"/>
          </w:tcPr>
          <w:p w:rsidR="009571FA" w:rsidRPr="00641C40" w:rsidRDefault="009571FA" w:rsidP="00777306">
            <w:pPr>
              <w:tabs>
                <w:tab w:val="left" w:pos="253"/>
              </w:tabs>
              <w:spacing w:line="276" w:lineRule="auto"/>
              <w:rPr>
                <w:rFonts w:ascii="Calibri" w:hAnsi="Calibri"/>
                <w:b/>
                <w:szCs w:val="20"/>
                <w:lang w:val="es-ES_tradnl"/>
              </w:rPr>
            </w:pPr>
            <w:r w:rsidRPr="00641C40">
              <w:rPr>
                <w:rFonts w:ascii="Calibri" w:hAnsi="Calibri"/>
                <w:b/>
                <w:szCs w:val="20"/>
                <w:lang w:val="es-ES_tradnl"/>
              </w:rPr>
              <w:t>PAHO planners sample</w:t>
            </w:r>
          </w:p>
        </w:tc>
        <w:tc>
          <w:tcPr>
            <w:tcW w:w="489" w:type="dxa"/>
            <w:tcBorders>
              <w:top w:val="single" w:sz="4" w:space="0" w:color="auto"/>
              <w:left w:val="single" w:sz="4" w:space="0" w:color="auto"/>
              <w:bottom w:val="single" w:sz="4" w:space="0" w:color="auto"/>
              <w:right w:val="single" w:sz="4" w:space="0" w:color="auto"/>
            </w:tcBorders>
            <w:shd w:val="clear" w:color="auto" w:fill="DBE5F1"/>
            <w:tcMar>
              <w:top w:w="0" w:type="dxa"/>
              <w:left w:w="28" w:type="dxa"/>
              <w:bottom w:w="0" w:type="dxa"/>
              <w:right w:w="28" w:type="dxa"/>
            </w:tcMar>
            <w:vAlign w:val="center"/>
          </w:tcPr>
          <w:p w:rsidR="009571FA" w:rsidRPr="00641C40" w:rsidRDefault="009571FA" w:rsidP="00777306">
            <w:pPr>
              <w:tabs>
                <w:tab w:val="left" w:pos="253"/>
              </w:tabs>
              <w:spacing w:line="276" w:lineRule="auto"/>
              <w:jc w:val="center"/>
              <w:rPr>
                <w:rFonts w:ascii="Calibri" w:hAnsi="Calibri"/>
                <w:szCs w:val="20"/>
                <w:lang w:val="es-ES_tradnl"/>
              </w:rPr>
            </w:pPr>
            <w:r w:rsidRPr="00641C40">
              <w:rPr>
                <w:rFonts w:ascii="Calibri" w:hAnsi="Calibri"/>
                <w:szCs w:val="20"/>
                <w:lang w:val="es-ES_tradnl"/>
              </w:rPr>
              <w:t>17*</w:t>
            </w:r>
          </w:p>
        </w:tc>
        <w:tc>
          <w:tcPr>
            <w:tcW w:w="771" w:type="dxa"/>
            <w:tcBorders>
              <w:top w:val="single" w:sz="4" w:space="0" w:color="auto"/>
              <w:left w:val="single" w:sz="4" w:space="0" w:color="auto"/>
              <w:bottom w:val="single" w:sz="4" w:space="0" w:color="auto"/>
              <w:right w:val="nil"/>
            </w:tcBorders>
            <w:shd w:val="clear" w:color="auto" w:fill="DBE5F1"/>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s-ES_tradnl"/>
              </w:rPr>
            </w:pPr>
            <w:r w:rsidRPr="00641C40">
              <w:rPr>
                <w:rFonts w:ascii="Calibri" w:hAnsi="Calibri"/>
                <w:szCs w:val="20"/>
                <w:lang w:val="es-ES_tradnl"/>
              </w:rPr>
              <w:t>6</w:t>
            </w:r>
          </w:p>
        </w:tc>
        <w:tc>
          <w:tcPr>
            <w:tcW w:w="900" w:type="dxa"/>
            <w:tcBorders>
              <w:top w:val="single" w:sz="4" w:space="0" w:color="auto"/>
              <w:left w:val="nil"/>
              <w:bottom w:val="single" w:sz="4" w:space="0" w:color="auto"/>
              <w:right w:val="nil"/>
            </w:tcBorders>
            <w:shd w:val="clear" w:color="auto" w:fill="DBE5F1"/>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s-ES_tradnl"/>
              </w:rPr>
            </w:pPr>
            <w:r w:rsidRPr="00641C40">
              <w:rPr>
                <w:rFonts w:ascii="Calibri" w:hAnsi="Calibri"/>
                <w:szCs w:val="20"/>
                <w:lang w:val="es-ES_tradnl"/>
              </w:rPr>
              <w:t>35</w:t>
            </w:r>
            <w:r w:rsidRPr="00641C40">
              <w:rPr>
                <w:rFonts w:ascii="Calibri" w:hAnsi="Calibri"/>
                <w:szCs w:val="20"/>
              </w:rPr>
              <w:t>.</w:t>
            </w:r>
            <w:r w:rsidRPr="00641C40">
              <w:rPr>
                <w:rFonts w:ascii="Calibri" w:hAnsi="Calibri"/>
                <w:szCs w:val="20"/>
                <w:lang w:val="es-ES_tradnl"/>
              </w:rPr>
              <w:t>3</w:t>
            </w:r>
          </w:p>
        </w:tc>
        <w:tc>
          <w:tcPr>
            <w:tcW w:w="737" w:type="dxa"/>
            <w:tcBorders>
              <w:top w:val="single" w:sz="4" w:space="0" w:color="auto"/>
              <w:left w:val="single" w:sz="4" w:space="0" w:color="auto"/>
              <w:bottom w:val="single" w:sz="4" w:space="0" w:color="auto"/>
              <w:right w:val="nil"/>
            </w:tcBorders>
            <w:shd w:val="clear" w:color="auto" w:fill="DBE5F1"/>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s-ES_tradnl"/>
              </w:rPr>
            </w:pPr>
            <w:r w:rsidRPr="00641C40">
              <w:rPr>
                <w:rFonts w:ascii="Calibri" w:hAnsi="Calibri"/>
                <w:szCs w:val="20"/>
                <w:lang w:val="es-ES_tradnl"/>
              </w:rPr>
              <w:t>11</w:t>
            </w:r>
          </w:p>
        </w:tc>
        <w:tc>
          <w:tcPr>
            <w:tcW w:w="1063" w:type="dxa"/>
            <w:tcBorders>
              <w:top w:val="single" w:sz="4" w:space="0" w:color="auto"/>
              <w:left w:val="nil"/>
              <w:bottom w:val="single" w:sz="4" w:space="0" w:color="auto"/>
              <w:right w:val="nil"/>
            </w:tcBorders>
            <w:shd w:val="clear" w:color="auto" w:fill="DBE5F1"/>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s-ES_tradnl"/>
              </w:rPr>
            </w:pPr>
            <w:r w:rsidRPr="00641C40">
              <w:rPr>
                <w:rFonts w:ascii="Calibri" w:hAnsi="Calibri"/>
                <w:szCs w:val="20"/>
                <w:lang w:val="es-ES_tradnl"/>
              </w:rPr>
              <w:t>64.7</w:t>
            </w:r>
          </w:p>
        </w:tc>
        <w:tc>
          <w:tcPr>
            <w:tcW w:w="770" w:type="dxa"/>
            <w:tcBorders>
              <w:top w:val="single" w:sz="4" w:space="0" w:color="auto"/>
              <w:left w:val="single" w:sz="4" w:space="0" w:color="auto"/>
              <w:bottom w:val="single" w:sz="4" w:space="0" w:color="auto"/>
              <w:right w:val="nil"/>
            </w:tcBorders>
            <w:shd w:val="clear" w:color="auto" w:fill="DBE5F1"/>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s-ES_tradnl"/>
              </w:rPr>
            </w:pPr>
            <w:r w:rsidRPr="00641C40">
              <w:rPr>
                <w:rFonts w:ascii="Calibri" w:hAnsi="Calibri"/>
                <w:szCs w:val="20"/>
                <w:lang w:val="es-ES_tradnl"/>
              </w:rPr>
              <w:t>0</w:t>
            </w:r>
          </w:p>
        </w:tc>
        <w:tc>
          <w:tcPr>
            <w:tcW w:w="917" w:type="dxa"/>
            <w:tcBorders>
              <w:top w:val="single" w:sz="4" w:space="0" w:color="auto"/>
              <w:left w:val="nil"/>
              <w:bottom w:val="single" w:sz="4" w:space="0" w:color="auto"/>
              <w:right w:val="single" w:sz="4" w:space="0" w:color="auto"/>
            </w:tcBorders>
            <w:shd w:val="clear" w:color="auto" w:fill="DBE5F1"/>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s-ES_tradnl"/>
              </w:rPr>
            </w:pPr>
            <w:r w:rsidRPr="00641C40">
              <w:rPr>
                <w:rFonts w:ascii="Calibri" w:hAnsi="Calibri"/>
                <w:szCs w:val="20"/>
                <w:lang w:val="es-ES_tradnl"/>
              </w:rPr>
              <w:t>0.0</w:t>
            </w:r>
          </w:p>
        </w:tc>
      </w:tr>
      <w:tr w:rsidR="009571FA" w:rsidTr="00777306">
        <w:trPr>
          <w:trHeight w:val="314"/>
          <w:jc w:val="center"/>
        </w:trPr>
        <w:tc>
          <w:tcPr>
            <w:tcW w:w="2227" w:type="dxa"/>
            <w:tcBorders>
              <w:top w:val="single" w:sz="4" w:space="0" w:color="auto"/>
              <w:left w:val="single" w:sz="4" w:space="0" w:color="auto"/>
              <w:bottom w:val="single" w:sz="4" w:space="0" w:color="auto"/>
              <w:right w:val="single" w:sz="4" w:space="0" w:color="auto"/>
            </w:tcBorders>
            <w:shd w:val="clear" w:color="auto" w:fill="DBE5F1"/>
            <w:tcMar>
              <w:top w:w="0" w:type="dxa"/>
              <w:left w:w="28" w:type="dxa"/>
              <w:bottom w:w="0" w:type="dxa"/>
              <w:right w:w="28" w:type="dxa"/>
            </w:tcMar>
            <w:vAlign w:val="center"/>
          </w:tcPr>
          <w:p w:rsidR="009571FA" w:rsidRPr="00641C40" w:rsidRDefault="009571FA" w:rsidP="00777306">
            <w:pPr>
              <w:tabs>
                <w:tab w:val="left" w:pos="253"/>
              </w:tabs>
              <w:spacing w:line="276" w:lineRule="auto"/>
              <w:rPr>
                <w:rFonts w:ascii="Calibri" w:hAnsi="Calibri"/>
                <w:b/>
                <w:szCs w:val="20"/>
                <w:lang w:val="es-ES_tradnl"/>
              </w:rPr>
            </w:pPr>
            <w:r w:rsidRPr="00641C40">
              <w:rPr>
                <w:rFonts w:ascii="Calibri" w:hAnsi="Calibri"/>
                <w:b/>
                <w:szCs w:val="20"/>
                <w:lang w:val="es-ES_tradnl"/>
              </w:rPr>
              <w:t>By Sex</w:t>
            </w:r>
          </w:p>
        </w:tc>
        <w:tc>
          <w:tcPr>
            <w:tcW w:w="489" w:type="dxa"/>
            <w:tcBorders>
              <w:top w:val="single" w:sz="4" w:space="0" w:color="auto"/>
              <w:left w:val="single" w:sz="4" w:space="0" w:color="auto"/>
              <w:bottom w:val="single" w:sz="4" w:space="0" w:color="auto"/>
              <w:right w:val="single" w:sz="4" w:space="0" w:color="auto"/>
            </w:tcBorders>
            <w:shd w:val="clear" w:color="auto" w:fill="DBE5F1"/>
            <w:tcMar>
              <w:top w:w="0" w:type="dxa"/>
              <w:left w:w="28" w:type="dxa"/>
              <w:bottom w:w="0" w:type="dxa"/>
              <w:right w:w="28" w:type="dxa"/>
            </w:tcMar>
            <w:vAlign w:val="center"/>
          </w:tcPr>
          <w:p w:rsidR="009571FA" w:rsidRPr="00641C40" w:rsidRDefault="009571FA" w:rsidP="00777306">
            <w:pPr>
              <w:tabs>
                <w:tab w:val="left" w:pos="253"/>
              </w:tabs>
              <w:spacing w:line="276" w:lineRule="auto"/>
              <w:jc w:val="center"/>
              <w:rPr>
                <w:rFonts w:ascii="Calibri" w:hAnsi="Calibri"/>
                <w:szCs w:val="20"/>
                <w:lang w:val="es-ES_tradnl"/>
              </w:rPr>
            </w:pPr>
          </w:p>
        </w:tc>
        <w:tc>
          <w:tcPr>
            <w:tcW w:w="771" w:type="dxa"/>
            <w:tcBorders>
              <w:top w:val="single" w:sz="4" w:space="0" w:color="auto"/>
              <w:left w:val="single" w:sz="4" w:space="0" w:color="auto"/>
              <w:bottom w:val="single" w:sz="4" w:space="0" w:color="auto"/>
              <w:right w:val="nil"/>
            </w:tcBorders>
            <w:shd w:val="clear" w:color="auto" w:fill="DBE5F1"/>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s-ES_tradnl"/>
              </w:rPr>
            </w:pPr>
          </w:p>
        </w:tc>
        <w:tc>
          <w:tcPr>
            <w:tcW w:w="900" w:type="dxa"/>
            <w:tcBorders>
              <w:top w:val="single" w:sz="4" w:space="0" w:color="auto"/>
              <w:left w:val="nil"/>
              <w:bottom w:val="single" w:sz="4" w:space="0" w:color="auto"/>
              <w:right w:val="nil"/>
            </w:tcBorders>
            <w:shd w:val="clear" w:color="auto" w:fill="DBE5F1"/>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s-ES_tradnl"/>
              </w:rPr>
            </w:pPr>
          </w:p>
        </w:tc>
        <w:tc>
          <w:tcPr>
            <w:tcW w:w="737" w:type="dxa"/>
            <w:tcBorders>
              <w:top w:val="single" w:sz="4" w:space="0" w:color="auto"/>
              <w:left w:val="single" w:sz="4" w:space="0" w:color="auto"/>
              <w:bottom w:val="single" w:sz="4" w:space="0" w:color="auto"/>
              <w:right w:val="nil"/>
            </w:tcBorders>
            <w:shd w:val="clear" w:color="auto" w:fill="DBE5F1"/>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s-ES_tradnl"/>
              </w:rPr>
            </w:pPr>
          </w:p>
        </w:tc>
        <w:tc>
          <w:tcPr>
            <w:tcW w:w="1063" w:type="dxa"/>
            <w:tcBorders>
              <w:top w:val="single" w:sz="4" w:space="0" w:color="auto"/>
              <w:left w:val="nil"/>
              <w:bottom w:val="single" w:sz="4" w:space="0" w:color="auto"/>
              <w:right w:val="nil"/>
            </w:tcBorders>
            <w:shd w:val="clear" w:color="auto" w:fill="DBE5F1"/>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s-ES_tradnl"/>
              </w:rPr>
            </w:pPr>
          </w:p>
        </w:tc>
        <w:tc>
          <w:tcPr>
            <w:tcW w:w="770" w:type="dxa"/>
            <w:tcBorders>
              <w:top w:val="single" w:sz="4" w:space="0" w:color="auto"/>
              <w:left w:val="single" w:sz="4" w:space="0" w:color="auto"/>
              <w:bottom w:val="single" w:sz="4" w:space="0" w:color="auto"/>
              <w:right w:val="nil"/>
            </w:tcBorders>
            <w:shd w:val="clear" w:color="auto" w:fill="DBE5F1"/>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s-ES_tradnl"/>
              </w:rPr>
            </w:pPr>
          </w:p>
        </w:tc>
        <w:tc>
          <w:tcPr>
            <w:tcW w:w="917" w:type="dxa"/>
            <w:tcBorders>
              <w:top w:val="single" w:sz="4" w:space="0" w:color="auto"/>
              <w:left w:val="nil"/>
              <w:bottom w:val="single" w:sz="4" w:space="0" w:color="auto"/>
              <w:right w:val="single" w:sz="4" w:space="0" w:color="auto"/>
            </w:tcBorders>
            <w:shd w:val="clear" w:color="auto" w:fill="DBE5F1"/>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s-ES_tradnl"/>
              </w:rPr>
            </w:pPr>
          </w:p>
        </w:tc>
      </w:tr>
      <w:tr w:rsidR="009571FA" w:rsidTr="00777306">
        <w:trPr>
          <w:trHeight w:val="314"/>
          <w:jc w:val="center"/>
        </w:trPr>
        <w:tc>
          <w:tcPr>
            <w:tcW w:w="2227" w:type="dxa"/>
            <w:tcBorders>
              <w:top w:val="single" w:sz="4" w:space="0" w:color="auto"/>
              <w:left w:val="single" w:sz="4" w:space="0" w:color="auto"/>
              <w:bottom w:val="single" w:sz="4" w:space="0" w:color="BFBFBF"/>
              <w:right w:val="single" w:sz="4" w:space="0" w:color="auto"/>
            </w:tcBorders>
            <w:tcMar>
              <w:top w:w="0" w:type="dxa"/>
              <w:left w:w="28" w:type="dxa"/>
              <w:bottom w:w="0" w:type="dxa"/>
              <w:right w:w="28" w:type="dxa"/>
            </w:tcMar>
            <w:vAlign w:val="center"/>
          </w:tcPr>
          <w:p w:rsidR="009571FA" w:rsidRPr="00641C40" w:rsidRDefault="009571FA" w:rsidP="00777306">
            <w:pPr>
              <w:tabs>
                <w:tab w:val="left" w:pos="253"/>
              </w:tabs>
              <w:spacing w:line="276" w:lineRule="auto"/>
              <w:rPr>
                <w:rFonts w:ascii="Calibri" w:hAnsi="Calibri"/>
                <w:szCs w:val="20"/>
                <w:lang w:val="es-ES_tradnl"/>
              </w:rPr>
            </w:pPr>
            <w:r w:rsidRPr="00641C40">
              <w:rPr>
                <w:rFonts w:ascii="Calibri" w:hAnsi="Calibri"/>
                <w:szCs w:val="20"/>
                <w:lang w:val="es-ES_tradnl"/>
              </w:rPr>
              <w:tab/>
              <w:t>Female Staff</w:t>
            </w:r>
          </w:p>
        </w:tc>
        <w:tc>
          <w:tcPr>
            <w:tcW w:w="489" w:type="dxa"/>
            <w:tcBorders>
              <w:top w:val="single" w:sz="4" w:space="0" w:color="auto"/>
              <w:left w:val="single" w:sz="4" w:space="0" w:color="auto"/>
              <w:bottom w:val="single" w:sz="4" w:space="0" w:color="BFBFBF"/>
              <w:right w:val="single" w:sz="4" w:space="0" w:color="auto"/>
            </w:tcBorders>
            <w:tcMar>
              <w:top w:w="0" w:type="dxa"/>
              <w:left w:w="28" w:type="dxa"/>
              <w:bottom w:w="0" w:type="dxa"/>
              <w:right w:w="28" w:type="dxa"/>
            </w:tcMar>
            <w:vAlign w:val="center"/>
          </w:tcPr>
          <w:p w:rsidR="009571FA" w:rsidRPr="00641C40" w:rsidRDefault="009571FA" w:rsidP="00777306">
            <w:pPr>
              <w:tabs>
                <w:tab w:val="left" w:pos="253"/>
              </w:tabs>
              <w:spacing w:line="276" w:lineRule="auto"/>
              <w:jc w:val="center"/>
              <w:rPr>
                <w:rFonts w:ascii="Calibri" w:hAnsi="Calibri"/>
                <w:szCs w:val="20"/>
                <w:lang w:val="es-ES_tradnl"/>
              </w:rPr>
            </w:pPr>
            <w:r w:rsidRPr="00641C40">
              <w:rPr>
                <w:rFonts w:ascii="Calibri" w:hAnsi="Calibri"/>
                <w:szCs w:val="20"/>
                <w:lang w:val="es-ES_tradnl"/>
              </w:rPr>
              <w:t>5</w:t>
            </w:r>
          </w:p>
        </w:tc>
        <w:tc>
          <w:tcPr>
            <w:tcW w:w="771" w:type="dxa"/>
            <w:tcBorders>
              <w:top w:val="single" w:sz="4" w:space="0" w:color="auto"/>
              <w:left w:val="single" w:sz="4" w:space="0" w:color="auto"/>
              <w:bottom w:val="single" w:sz="4" w:space="0" w:color="BFBFBF"/>
              <w:right w:val="nil"/>
            </w:tcBorders>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s-ES_tradnl"/>
              </w:rPr>
            </w:pPr>
            <w:r w:rsidRPr="00641C40">
              <w:rPr>
                <w:rFonts w:ascii="Calibri" w:hAnsi="Calibri"/>
                <w:szCs w:val="20"/>
                <w:lang w:val="es-ES_tradnl"/>
              </w:rPr>
              <w:t>1</w:t>
            </w:r>
          </w:p>
        </w:tc>
        <w:tc>
          <w:tcPr>
            <w:tcW w:w="900" w:type="dxa"/>
            <w:tcBorders>
              <w:top w:val="single" w:sz="4" w:space="0" w:color="auto"/>
              <w:left w:val="nil"/>
              <w:bottom w:val="single" w:sz="4" w:space="0" w:color="BFBFBF"/>
              <w:right w:val="nil"/>
            </w:tcBorders>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s-ES_tradnl"/>
              </w:rPr>
            </w:pPr>
            <w:r w:rsidRPr="00641C40">
              <w:rPr>
                <w:rFonts w:ascii="Calibri" w:hAnsi="Calibri"/>
                <w:szCs w:val="20"/>
                <w:lang w:val="es-ES_tradnl"/>
              </w:rPr>
              <w:t>20.0</w:t>
            </w:r>
          </w:p>
        </w:tc>
        <w:tc>
          <w:tcPr>
            <w:tcW w:w="737" w:type="dxa"/>
            <w:tcBorders>
              <w:top w:val="single" w:sz="4" w:space="0" w:color="auto"/>
              <w:left w:val="single" w:sz="4" w:space="0" w:color="auto"/>
              <w:bottom w:val="single" w:sz="4" w:space="0" w:color="BFBFBF"/>
              <w:right w:val="nil"/>
            </w:tcBorders>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s-ES_tradnl"/>
              </w:rPr>
            </w:pPr>
            <w:r w:rsidRPr="00641C40">
              <w:rPr>
                <w:rFonts w:ascii="Calibri" w:hAnsi="Calibri"/>
                <w:szCs w:val="20"/>
                <w:lang w:val="es-ES_tradnl"/>
              </w:rPr>
              <w:t>4</w:t>
            </w:r>
          </w:p>
        </w:tc>
        <w:tc>
          <w:tcPr>
            <w:tcW w:w="1063" w:type="dxa"/>
            <w:tcBorders>
              <w:top w:val="single" w:sz="4" w:space="0" w:color="auto"/>
              <w:left w:val="nil"/>
              <w:bottom w:val="single" w:sz="4" w:space="0" w:color="BFBFBF"/>
              <w:right w:val="nil"/>
            </w:tcBorders>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s-ES_tradnl"/>
              </w:rPr>
            </w:pPr>
            <w:r w:rsidRPr="00641C40">
              <w:rPr>
                <w:rFonts w:ascii="Calibri" w:hAnsi="Calibri"/>
                <w:szCs w:val="20"/>
                <w:lang w:val="es-ES_tradnl"/>
              </w:rPr>
              <w:t>80.0</w:t>
            </w:r>
          </w:p>
        </w:tc>
        <w:tc>
          <w:tcPr>
            <w:tcW w:w="770" w:type="dxa"/>
            <w:tcBorders>
              <w:top w:val="single" w:sz="4" w:space="0" w:color="auto"/>
              <w:left w:val="single" w:sz="4" w:space="0" w:color="auto"/>
              <w:bottom w:val="single" w:sz="4" w:space="0" w:color="BFBFBF"/>
              <w:right w:val="nil"/>
            </w:tcBorders>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s-ES_tradnl"/>
              </w:rPr>
            </w:pPr>
            <w:r w:rsidRPr="00641C40">
              <w:rPr>
                <w:rFonts w:ascii="Calibri" w:hAnsi="Calibri"/>
                <w:szCs w:val="20"/>
                <w:lang w:val="es-ES_tradnl"/>
              </w:rPr>
              <w:t>0</w:t>
            </w:r>
          </w:p>
        </w:tc>
        <w:tc>
          <w:tcPr>
            <w:tcW w:w="917" w:type="dxa"/>
            <w:tcBorders>
              <w:top w:val="single" w:sz="4" w:space="0" w:color="auto"/>
              <w:left w:val="nil"/>
              <w:bottom w:val="single" w:sz="4" w:space="0" w:color="BFBFBF"/>
              <w:right w:val="single" w:sz="4" w:space="0" w:color="auto"/>
            </w:tcBorders>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s-ES_tradnl"/>
              </w:rPr>
            </w:pPr>
            <w:r w:rsidRPr="00641C40">
              <w:rPr>
                <w:rFonts w:ascii="Calibri" w:hAnsi="Calibri"/>
                <w:szCs w:val="20"/>
                <w:lang w:val="es-ES_tradnl"/>
              </w:rPr>
              <w:t>0.0</w:t>
            </w:r>
          </w:p>
        </w:tc>
      </w:tr>
      <w:tr w:rsidR="009571FA" w:rsidTr="00777306">
        <w:trPr>
          <w:trHeight w:val="314"/>
          <w:jc w:val="center"/>
        </w:trPr>
        <w:tc>
          <w:tcPr>
            <w:tcW w:w="2227" w:type="dxa"/>
            <w:tcBorders>
              <w:top w:val="single" w:sz="4" w:space="0" w:color="BFBFBF"/>
              <w:left w:val="single" w:sz="4" w:space="0" w:color="auto"/>
              <w:bottom w:val="single" w:sz="4" w:space="0" w:color="auto"/>
              <w:right w:val="single" w:sz="4" w:space="0" w:color="auto"/>
            </w:tcBorders>
            <w:tcMar>
              <w:top w:w="0" w:type="dxa"/>
              <w:left w:w="28" w:type="dxa"/>
              <w:bottom w:w="0" w:type="dxa"/>
              <w:right w:w="28" w:type="dxa"/>
            </w:tcMar>
            <w:vAlign w:val="center"/>
          </w:tcPr>
          <w:p w:rsidR="009571FA" w:rsidRPr="00641C40" w:rsidRDefault="009571FA" w:rsidP="00777306">
            <w:pPr>
              <w:tabs>
                <w:tab w:val="left" w:pos="253"/>
              </w:tabs>
              <w:spacing w:line="276" w:lineRule="auto"/>
              <w:rPr>
                <w:rFonts w:ascii="Calibri" w:hAnsi="Calibri"/>
                <w:szCs w:val="20"/>
                <w:lang w:val="es-ES_tradnl"/>
              </w:rPr>
            </w:pPr>
            <w:r w:rsidRPr="00641C40">
              <w:rPr>
                <w:rFonts w:ascii="Calibri" w:hAnsi="Calibri"/>
                <w:szCs w:val="20"/>
                <w:lang w:val="es-ES_tradnl"/>
              </w:rPr>
              <w:tab/>
              <w:t>Male Staff</w:t>
            </w:r>
          </w:p>
        </w:tc>
        <w:tc>
          <w:tcPr>
            <w:tcW w:w="489" w:type="dxa"/>
            <w:tcBorders>
              <w:top w:val="single" w:sz="4" w:space="0" w:color="BFBFBF"/>
              <w:left w:val="single" w:sz="4" w:space="0" w:color="auto"/>
              <w:bottom w:val="single" w:sz="4" w:space="0" w:color="auto"/>
              <w:right w:val="single" w:sz="4" w:space="0" w:color="auto"/>
            </w:tcBorders>
            <w:tcMar>
              <w:top w:w="0" w:type="dxa"/>
              <w:left w:w="28" w:type="dxa"/>
              <w:bottom w:w="0" w:type="dxa"/>
              <w:right w:w="28" w:type="dxa"/>
            </w:tcMar>
            <w:vAlign w:val="center"/>
          </w:tcPr>
          <w:p w:rsidR="009571FA" w:rsidRPr="00641C40" w:rsidRDefault="009571FA" w:rsidP="00777306">
            <w:pPr>
              <w:tabs>
                <w:tab w:val="left" w:pos="253"/>
              </w:tabs>
              <w:spacing w:line="276" w:lineRule="auto"/>
              <w:jc w:val="center"/>
              <w:rPr>
                <w:rFonts w:ascii="Calibri" w:hAnsi="Calibri"/>
                <w:szCs w:val="20"/>
                <w:lang w:val="es-ES_tradnl"/>
              </w:rPr>
            </w:pPr>
            <w:r w:rsidRPr="00641C40">
              <w:rPr>
                <w:rFonts w:ascii="Calibri" w:hAnsi="Calibri"/>
                <w:szCs w:val="20"/>
                <w:lang w:val="es-ES_tradnl"/>
              </w:rPr>
              <w:t>12</w:t>
            </w:r>
          </w:p>
        </w:tc>
        <w:tc>
          <w:tcPr>
            <w:tcW w:w="771" w:type="dxa"/>
            <w:tcBorders>
              <w:top w:val="single" w:sz="4" w:space="0" w:color="BFBFBF"/>
              <w:left w:val="single" w:sz="4" w:space="0" w:color="auto"/>
              <w:bottom w:val="single" w:sz="4" w:space="0" w:color="auto"/>
              <w:right w:val="nil"/>
            </w:tcBorders>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s-ES_tradnl"/>
              </w:rPr>
            </w:pPr>
            <w:r w:rsidRPr="00641C40">
              <w:rPr>
                <w:rFonts w:ascii="Calibri" w:hAnsi="Calibri"/>
                <w:szCs w:val="20"/>
                <w:lang w:val="es-ES_tradnl"/>
              </w:rPr>
              <w:t>5</w:t>
            </w:r>
          </w:p>
        </w:tc>
        <w:tc>
          <w:tcPr>
            <w:tcW w:w="900" w:type="dxa"/>
            <w:tcBorders>
              <w:top w:val="single" w:sz="4" w:space="0" w:color="BFBFBF"/>
              <w:left w:val="nil"/>
              <w:bottom w:val="single" w:sz="4" w:space="0" w:color="auto"/>
              <w:right w:val="nil"/>
            </w:tcBorders>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s-ES_tradnl"/>
              </w:rPr>
            </w:pPr>
            <w:r w:rsidRPr="00641C40">
              <w:rPr>
                <w:rFonts w:ascii="Calibri" w:hAnsi="Calibri"/>
                <w:szCs w:val="20"/>
                <w:lang w:val="es-ES_tradnl"/>
              </w:rPr>
              <w:t>41.7</w:t>
            </w:r>
          </w:p>
        </w:tc>
        <w:tc>
          <w:tcPr>
            <w:tcW w:w="737" w:type="dxa"/>
            <w:tcBorders>
              <w:top w:val="single" w:sz="4" w:space="0" w:color="BFBFBF"/>
              <w:left w:val="single" w:sz="4" w:space="0" w:color="auto"/>
              <w:bottom w:val="single" w:sz="4" w:space="0" w:color="auto"/>
              <w:right w:val="nil"/>
            </w:tcBorders>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s-ES_tradnl"/>
              </w:rPr>
            </w:pPr>
            <w:r w:rsidRPr="00641C40">
              <w:rPr>
                <w:rFonts w:ascii="Calibri" w:hAnsi="Calibri"/>
                <w:szCs w:val="20"/>
                <w:lang w:val="es-ES_tradnl"/>
              </w:rPr>
              <w:t>7</w:t>
            </w:r>
          </w:p>
        </w:tc>
        <w:tc>
          <w:tcPr>
            <w:tcW w:w="1063" w:type="dxa"/>
            <w:tcBorders>
              <w:top w:val="single" w:sz="4" w:space="0" w:color="BFBFBF"/>
              <w:left w:val="nil"/>
              <w:bottom w:val="single" w:sz="4" w:space="0" w:color="auto"/>
              <w:right w:val="nil"/>
            </w:tcBorders>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s-ES_tradnl"/>
              </w:rPr>
            </w:pPr>
            <w:r w:rsidRPr="00641C40">
              <w:rPr>
                <w:rFonts w:ascii="Calibri" w:hAnsi="Calibri"/>
                <w:szCs w:val="20"/>
                <w:lang w:val="es-ES_tradnl"/>
              </w:rPr>
              <w:t>58.3</w:t>
            </w:r>
          </w:p>
        </w:tc>
        <w:tc>
          <w:tcPr>
            <w:tcW w:w="770" w:type="dxa"/>
            <w:tcBorders>
              <w:top w:val="single" w:sz="4" w:space="0" w:color="BFBFBF"/>
              <w:left w:val="single" w:sz="4" w:space="0" w:color="auto"/>
              <w:bottom w:val="single" w:sz="4" w:space="0" w:color="auto"/>
              <w:right w:val="nil"/>
            </w:tcBorders>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s-ES_tradnl"/>
              </w:rPr>
            </w:pPr>
            <w:r w:rsidRPr="00641C40">
              <w:rPr>
                <w:rFonts w:ascii="Calibri" w:hAnsi="Calibri"/>
                <w:szCs w:val="20"/>
                <w:lang w:val="es-ES_tradnl"/>
              </w:rPr>
              <w:t>0</w:t>
            </w:r>
          </w:p>
        </w:tc>
        <w:tc>
          <w:tcPr>
            <w:tcW w:w="917" w:type="dxa"/>
            <w:tcBorders>
              <w:top w:val="single" w:sz="4" w:space="0" w:color="BFBFBF"/>
              <w:left w:val="nil"/>
              <w:bottom w:val="single" w:sz="4" w:space="0" w:color="auto"/>
              <w:right w:val="single" w:sz="4" w:space="0" w:color="auto"/>
            </w:tcBorders>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s-ES_tradnl"/>
              </w:rPr>
            </w:pPr>
            <w:r w:rsidRPr="00641C40">
              <w:rPr>
                <w:rFonts w:ascii="Calibri" w:hAnsi="Calibri"/>
                <w:szCs w:val="20"/>
                <w:lang w:val="es-ES_tradnl"/>
              </w:rPr>
              <w:t>0.0</w:t>
            </w:r>
          </w:p>
        </w:tc>
      </w:tr>
      <w:tr w:rsidR="009571FA" w:rsidTr="00777306">
        <w:trPr>
          <w:trHeight w:val="314"/>
          <w:jc w:val="center"/>
        </w:trPr>
        <w:tc>
          <w:tcPr>
            <w:tcW w:w="2227" w:type="dxa"/>
            <w:tcBorders>
              <w:top w:val="single" w:sz="4" w:space="0" w:color="auto"/>
              <w:left w:val="single" w:sz="4" w:space="0" w:color="auto"/>
              <w:bottom w:val="single" w:sz="4" w:space="0" w:color="auto"/>
              <w:right w:val="single" w:sz="4" w:space="0" w:color="auto"/>
            </w:tcBorders>
            <w:shd w:val="clear" w:color="auto" w:fill="DBE5F1"/>
            <w:tcMar>
              <w:top w:w="0" w:type="dxa"/>
              <w:left w:w="28" w:type="dxa"/>
              <w:bottom w:w="0" w:type="dxa"/>
              <w:right w:w="28" w:type="dxa"/>
            </w:tcMar>
            <w:vAlign w:val="center"/>
          </w:tcPr>
          <w:p w:rsidR="009571FA" w:rsidRPr="00641C40" w:rsidRDefault="009571FA" w:rsidP="00777306">
            <w:pPr>
              <w:tabs>
                <w:tab w:val="left" w:pos="253"/>
              </w:tabs>
              <w:spacing w:line="276" w:lineRule="auto"/>
              <w:rPr>
                <w:rFonts w:ascii="Calibri" w:hAnsi="Calibri"/>
                <w:b/>
                <w:szCs w:val="20"/>
                <w:lang w:val="es-ES_tradnl"/>
              </w:rPr>
            </w:pPr>
            <w:r w:rsidRPr="00641C40">
              <w:rPr>
                <w:rFonts w:ascii="Calibri" w:hAnsi="Calibri"/>
                <w:b/>
                <w:szCs w:val="20"/>
                <w:lang w:val="es-ES_tradnl"/>
              </w:rPr>
              <w:t>By Grade</w:t>
            </w:r>
          </w:p>
        </w:tc>
        <w:tc>
          <w:tcPr>
            <w:tcW w:w="489" w:type="dxa"/>
            <w:tcBorders>
              <w:top w:val="single" w:sz="4" w:space="0" w:color="auto"/>
              <w:left w:val="single" w:sz="4" w:space="0" w:color="auto"/>
              <w:bottom w:val="single" w:sz="4" w:space="0" w:color="auto"/>
              <w:right w:val="single" w:sz="4" w:space="0" w:color="auto"/>
            </w:tcBorders>
            <w:shd w:val="clear" w:color="auto" w:fill="DBE5F1"/>
            <w:tcMar>
              <w:top w:w="0" w:type="dxa"/>
              <w:left w:w="28" w:type="dxa"/>
              <w:bottom w:w="0" w:type="dxa"/>
              <w:right w:w="28" w:type="dxa"/>
            </w:tcMar>
            <w:vAlign w:val="center"/>
          </w:tcPr>
          <w:p w:rsidR="009571FA" w:rsidRPr="00641C40" w:rsidRDefault="009571FA" w:rsidP="00777306">
            <w:pPr>
              <w:tabs>
                <w:tab w:val="left" w:pos="253"/>
              </w:tabs>
              <w:spacing w:line="276" w:lineRule="auto"/>
              <w:jc w:val="center"/>
              <w:rPr>
                <w:rFonts w:ascii="Calibri" w:hAnsi="Calibri"/>
                <w:szCs w:val="20"/>
                <w:lang w:val="es-ES_tradnl"/>
              </w:rPr>
            </w:pPr>
          </w:p>
        </w:tc>
        <w:tc>
          <w:tcPr>
            <w:tcW w:w="771" w:type="dxa"/>
            <w:tcBorders>
              <w:top w:val="single" w:sz="4" w:space="0" w:color="auto"/>
              <w:left w:val="single" w:sz="4" w:space="0" w:color="auto"/>
              <w:bottom w:val="single" w:sz="4" w:space="0" w:color="auto"/>
              <w:right w:val="nil"/>
            </w:tcBorders>
            <w:shd w:val="clear" w:color="auto" w:fill="DBE5F1"/>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s-ES_tradnl"/>
              </w:rPr>
            </w:pPr>
          </w:p>
        </w:tc>
        <w:tc>
          <w:tcPr>
            <w:tcW w:w="900" w:type="dxa"/>
            <w:tcBorders>
              <w:top w:val="single" w:sz="4" w:space="0" w:color="auto"/>
              <w:left w:val="nil"/>
              <w:bottom w:val="single" w:sz="4" w:space="0" w:color="auto"/>
              <w:right w:val="nil"/>
            </w:tcBorders>
            <w:shd w:val="clear" w:color="auto" w:fill="DBE5F1"/>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s-ES_tradnl"/>
              </w:rPr>
            </w:pPr>
          </w:p>
        </w:tc>
        <w:tc>
          <w:tcPr>
            <w:tcW w:w="737" w:type="dxa"/>
            <w:tcBorders>
              <w:top w:val="single" w:sz="4" w:space="0" w:color="auto"/>
              <w:left w:val="single" w:sz="4" w:space="0" w:color="auto"/>
              <w:bottom w:val="single" w:sz="4" w:space="0" w:color="auto"/>
              <w:right w:val="nil"/>
            </w:tcBorders>
            <w:shd w:val="clear" w:color="auto" w:fill="DBE5F1"/>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s-ES_tradnl"/>
              </w:rPr>
            </w:pPr>
          </w:p>
        </w:tc>
        <w:tc>
          <w:tcPr>
            <w:tcW w:w="1063" w:type="dxa"/>
            <w:tcBorders>
              <w:top w:val="single" w:sz="4" w:space="0" w:color="auto"/>
              <w:left w:val="nil"/>
              <w:bottom w:val="single" w:sz="4" w:space="0" w:color="auto"/>
              <w:right w:val="nil"/>
            </w:tcBorders>
            <w:shd w:val="clear" w:color="auto" w:fill="DBE5F1"/>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s-ES_tradnl"/>
              </w:rPr>
            </w:pPr>
          </w:p>
        </w:tc>
        <w:tc>
          <w:tcPr>
            <w:tcW w:w="770" w:type="dxa"/>
            <w:tcBorders>
              <w:top w:val="single" w:sz="4" w:space="0" w:color="auto"/>
              <w:left w:val="single" w:sz="4" w:space="0" w:color="auto"/>
              <w:bottom w:val="single" w:sz="4" w:space="0" w:color="auto"/>
              <w:right w:val="nil"/>
            </w:tcBorders>
            <w:shd w:val="clear" w:color="auto" w:fill="DBE5F1"/>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s-ES_tradnl"/>
              </w:rPr>
            </w:pPr>
          </w:p>
        </w:tc>
        <w:tc>
          <w:tcPr>
            <w:tcW w:w="917" w:type="dxa"/>
            <w:tcBorders>
              <w:top w:val="single" w:sz="4" w:space="0" w:color="auto"/>
              <w:left w:val="nil"/>
              <w:bottom w:val="single" w:sz="4" w:space="0" w:color="auto"/>
              <w:right w:val="single" w:sz="4" w:space="0" w:color="auto"/>
            </w:tcBorders>
            <w:shd w:val="clear" w:color="auto" w:fill="DBE5F1"/>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s-ES_tradnl"/>
              </w:rPr>
            </w:pPr>
          </w:p>
        </w:tc>
      </w:tr>
      <w:tr w:rsidR="009571FA" w:rsidTr="00777306">
        <w:trPr>
          <w:trHeight w:val="314"/>
          <w:jc w:val="center"/>
        </w:trPr>
        <w:tc>
          <w:tcPr>
            <w:tcW w:w="2227" w:type="dxa"/>
            <w:tcBorders>
              <w:top w:val="single" w:sz="4" w:space="0" w:color="auto"/>
              <w:left w:val="single" w:sz="4" w:space="0" w:color="auto"/>
              <w:bottom w:val="single" w:sz="4" w:space="0" w:color="BFBFBF"/>
              <w:right w:val="single" w:sz="4" w:space="0" w:color="auto"/>
            </w:tcBorders>
            <w:tcMar>
              <w:top w:w="0" w:type="dxa"/>
              <w:left w:w="28" w:type="dxa"/>
              <w:bottom w:w="0" w:type="dxa"/>
              <w:right w:w="28" w:type="dxa"/>
            </w:tcMar>
            <w:vAlign w:val="center"/>
          </w:tcPr>
          <w:p w:rsidR="009571FA" w:rsidRPr="00641C40" w:rsidRDefault="009571FA" w:rsidP="00777306">
            <w:pPr>
              <w:tabs>
                <w:tab w:val="left" w:pos="253"/>
              </w:tabs>
              <w:spacing w:line="276" w:lineRule="auto"/>
              <w:rPr>
                <w:rFonts w:ascii="Calibri" w:hAnsi="Calibri"/>
                <w:szCs w:val="20"/>
                <w:lang w:val="es-ES_tradnl"/>
              </w:rPr>
            </w:pPr>
            <w:r w:rsidRPr="00641C40">
              <w:rPr>
                <w:rFonts w:ascii="Calibri" w:hAnsi="Calibri"/>
                <w:szCs w:val="20"/>
                <w:lang w:val="es-ES_tradnl"/>
              </w:rPr>
              <w:tab/>
              <w:t>D</w:t>
            </w:r>
          </w:p>
        </w:tc>
        <w:tc>
          <w:tcPr>
            <w:tcW w:w="489" w:type="dxa"/>
            <w:tcBorders>
              <w:top w:val="single" w:sz="4" w:space="0" w:color="auto"/>
              <w:left w:val="single" w:sz="4" w:space="0" w:color="auto"/>
              <w:bottom w:val="single" w:sz="4" w:space="0" w:color="BFBFBF"/>
              <w:right w:val="single" w:sz="4" w:space="0" w:color="auto"/>
            </w:tcBorders>
            <w:tcMar>
              <w:top w:w="0" w:type="dxa"/>
              <w:left w:w="28" w:type="dxa"/>
              <w:bottom w:w="0" w:type="dxa"/>
              <w:right w:w="28" w:type="dxa"/>
            </w:tcMar>
            <w:vAlign w:val="center"/>
          </w:tcPr>
          <w:p w:rsidR="009571FA" w:rsidRPr="00641C40" w:rsidRDefault="009571FA" w:rsidP="00777306">
            <w:pPr>
              <w:tabs>
                <w:tab w:val="left" w:pos="253"/>
              </w:tabs>
              <w:spacing w:line="276" w:lineRule="auto"/>
              <w:jc w:val="center"/>
              <w:rPr>
                <w:rFonts w:ascii="Calibri" w:hAnsi="Calibri"/>
                <w:szCs w:val="20"/>
                <w:lang w:val="es-ES_tradnl"/>
              </w:rPr>
            </w:pPr>
            <w:r w:rsidRPr="00641C40">
              <w:rPr>
                <w:rFonts w:ascii="Calibri" w:hAnsi="Calibri"/>
                <w:szCs w:val="20"/>
                <w:lang w:val="es-ES_tradnl"/>
              </w:rPr>
              <w:t>4</w:t>
            </w:r>
          </w:p>
        </w:tc>
        <w:tc>
          <w:tcPr>
            <w:tcW w:w="771" w:type="dxa"/>
            <w:tcBorders>
              <w:top w:val="single" w:sz="4" w:space="0" w:color="auto"/>
              <w:left w:val="single" w:sz="4" w:space="0" w:color="auto"/>
              <w:bottom w:val="single" w:sz="4" w:space="0" w:color="BFBFBF"/>
              <w:right w:val="nil"/>
            </w:tcBorders>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s-ES_tradnl"/>
              </w:rPr>
            </w:pPr>
            <w:r w:rsidRPr="00641C40">
              <w:rPr>
                <w:rFonts w:ascii="Calibri" w:hAnsi="Calibri"/>
                <w:szCs w:val="20"/>
                <w:lang w:val="es-ES_tradnl"/>
              </w:rPr>
              <w:t>1</w:t>
            </w:r>
          </w:p>
        </w:tc>
        <w:tc>
          <w:tcPr>
            <w:tcW w:w="900" w:type="dxa"/>
            <w:tcBorders>
              <w:top w:val="single" w:sz="4" w:space="0" w:color="auto"/>
              <w:left w:val="nil"/>
              <w:bottom w:val="single" w:sz="4" w:space="0" w:color="BFBFBF"/>
              <w:right w:val="nil"/>
            </w:tcBorders>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s-ES_tradnl"/>
              </w:rPr>
            </w:pPr>
            <w:r w:rsidRPr="00641C40">
              <w:rPr>
                <w:rFonts w:ascii="Calibri" w:hAnsi="Calibri"/>
                <w:szCs w:val="20"/>
                <w:lang w:val="es-ES_tradnl"/>
              </w:rPr>
              <w:t>25.0</w:t>
            </w:r>
          </w:p>
        </w:tc>
        <w:tc>
          <w:tcPr>
            <w:tcW w:w="737" w:type="dxa"/>
            <w:tcBorders>
              <w:top w:val="single" w:sz="4" w:space="0" w:color="auto"/>
              <w:left w:val="single" w:sz="4" w:space="0" w:color="auto"/>
              <w:bottom w:val="single" w:sz="4" w:space="0" w:color="BFBFBF"/>
              <w:right w:val="nil"/>
            </w:tcBorders>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s-ES_tradnl"/>
              </w:rPr>
            </w:pPr>
            <w:r w:rsidRPr="00641C40">
              <w:rPr>
                <w:rFonts w:ascii="Calibri" w:hAnsi="Calibri"/>
                <w:szCs w:val="20"/>
                <w:lang w:val="es-ES_tradnl"/>
              </w:rPr>
              <w:t>3</w:t>
            </w:r>
          </w:p>
        </w:tc>
        <w:tc>
          <w:tcPr>
            <w:tcW w:w="1063" w:type="dxa"/>
            <w:tcBorders>
              <w:top w:val="single" w:sz="4" w:space="0" w:color="auto"/>
              <w:left w:val="nil"/>
              <w:bottom w:val="single" w:sz="4" w:space="0" w:color="BFBFBF"/>
              <w:right w:val="nil"/>
            </w:tcBorders>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s-ES_tradnl"/>
              </w:rPr>
            </w:pPr>
            <w:r w:rsidRPr="00641C40">
              <w:rPr>
                <w:rFonts w:ascii="Calibri" w:hAnsi="Calibri"/>
                <w:szCs w:val="20"/>
                <w:lang w:val="es-ES_tradnl"/>
              </w:rPr>
              <w:t>75.0</w:t>
            </w:r>
          </w:p>
        </w:tc>
        <w:tc>
          <w:tcPr>
            <w:tcW w:w="770" w:type="dxa"/>
            <w:tcBorders>
              <w:top w:val="single" w:sz="4" w:space="0" w:color="auto"/>
              <w:left w:val="single" w:sz="4" w:space="0" w:color="auto"/>
              <w:bottom w:val="single" w:sz="4" w:space="0" w:color="BFBFBF"/>
              <w:right w:val="nil"/>
            </w:tcBorders>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s-ES_tradnl"/>
              </w:rPr>
            </w:pPr>
            <w:r w:rsidRPr="00641C40">
              <w:rPr>
                <w:rFonts w:ascii="Calibri" w:hAnsi="Calibri"/>
                <w:szCs w:val="20"/>
                <w:lang w:val="es-ES_tradnl"/>
              </w:rPr>
              <w:t>0</w:t>
            </w:r>
          </w:p>
        </w:tc>
        <w:tc>
          <w:tcPr>
            <w:tcW w:w="917" w:type="dxa"/>
            <w:tcBorders>
              <w:top w:val="single" w:sz="4" w:space="0" w:color="auto"/>
              <w:left w:val="nil"/>
              <w:bottom w:val="single" w:sz="4" w:space="0" w:color="BFBFBF"/>
              <w:right w:val="single" w:sz="4" w:space="0" w:color="auto"/>
            </w:tcBorders>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s-ES_tradnl"/>
              </w:rPr>
            </w:pPr>
            <w:r w:rsidRPr="00641C40">
              <w:rPr>
                <w:rFonts w:ascii="Calibri" w:hAnsi="Calibri"/>
                <w:szCs w:val="20"/>
                <w:lang w:val="es-ES_tradnl"/>
              </w:rPr>
              <w:t>0.0</w:t>
            </w:r>
          </w:p>
        </w:tc>
      </w:tr>
      <w:tr w:rsidR="009571FA" w:rsidTr="00777306">
        <w:trPr>
          <w:trHeight w:val="314"/>
          <w:jc w:val="center"/>
        </w:trPr>
        <w:tc>
          <w:tcPr>
            <w:tcW w:w="2227" w:type="dxa"/>
            <w:tcBorders>
              <w:top w:val="single" w:sz="4" w:space="0" w:color="BFBFBF"/>
              <w:left w:val="single" w:sz="4" w:space="0" w:color="auto"/>
              <w:bottom w:val="single" w:sz="4" w:space="0" w:color="BFBFBF"/>
              <w:right w:val="single" w:sz="4" w:space="0" w:color="auto"/>
            </w:tcBorders>
            <w:tcMar>
              <w:top w:w="0" w:type="dxa"/>
              <w:left w:w="28" w:type="dxa"/>
              <w:bottom w:w="0" w:type="dxa"/>
              <w:right w:w="28" w:type="dxa"/>
            </w:tcMar>
            <w:vAlign w:val="center"/>
          </w:tcPr>
          <w:p w:rsidR="009571FA" w:rsidRPr="00641C40" w:rsidRDefault="009571FA" w:rsidP="00777306">
            <w:pPr>
              <w:tabs>
                <w:tab w:val="left" w:pos="253"/>
              </w:tabs>
              <w:spacing w:line="276" w:lineRule="auto"/>
              <w:rPr>
                <w:rFonts w:ascii="Calibri" w:hAnsi="Calibri"/>
                <w:szCs w:val="20"/>
                <w:lang w:val="es-ES_tradnl"/>
              </w:rPr>
            </w:pPr>
            <w:r w:rsidRPr="00641C40">
              <w:rPr>
                <w:rFonts w:ascii="Calibri" w:hAnsi="Calibri"/>
                <w:szCs w:val="20"/>
                <w:lang w:val="es-ES_tradnl"/>
              </w:rPr>
              <w:tab/>
              <w:t>P</w:t>
            </w:r>
          </w:p>
        </w:tc>
        <w:tc>
          <w:tcPr>
            <w:tcW w:w="489" w:type="dxa"/>
            <w:tcBorders>
              <w:top w:val="single" w:sz="4" w:space="0" w:color="BFBFBF"/>
              <w:left w:val="single" w:sz="4" w:space="0" w:color="auto"/>
              <w:bottom w:val="single" w:sz="4" w:space="0" w:color="BFBFBF"/>
              <w:right w:val="single" w:sz="4" w:space="0" w:color="auto"/>
            </w:tcBorders>
            <w:tcMar>
              <w:top w:w="0" w:type="dxa"/>
              <w:left w:w="28" w:type="dxa"/>
              <w:bottom w:w="0" w:type="dxa"/>
              <w:right w:w="28" w:type="dxa"/>
            </w:tcMar>
            <w:vAlign w:val="center"/>
          </w:tcPr>
          <w:p w:rsidR="009571FA" w:rsidRPr="00641C40" w:rsidRDefault="009571FA" w:rsidP="00777306">
            <w:pPr>
              <w:tabs>
                <w:tab w:val="left" w:pos="253"/>
              </w:tabs>
              <w:spacing w:line="276" w:lineRule="auto"/>
              <w:jc w:val="center"/>
              <w:rPr>
                <w:rFonts w:ascii="Calibri" w:hAnsi="Calibri"/>
                <w:szCs w:val="20"/>
                <w:lang w:val="es-ES_tradnl"/>
              </w:rPr>
            </w:pPr>
            <w:r w:rsidRPr="00641C40">
              <w:rPr>
                <w:rFonts w:ascii="Calibri" w:hAnsi="Calibri"/>
                <w:szCs w:val="20"/>
                <w:lang w:val="es-ES_tradnl"/>
              </w:rPr>
              <w:t>13</w:t>
            </w:r>
          </w:p>
        </w:tc>
        <w:tc>
          <w:tcPr>
            <w:tcW w:w="771" w:type="dxa"/>
            <w:tcBorders>
              <w:top w:val="single" w:sz="4" w:space="0" w:color="BFBFBF"/>
              <w:left w:val="single" w:sz="4" w:space="0" w:color="auto"/>
              <w:bottom w:val="single" w:sz="4" w:space="0" w:color="BFBFBF"/>
              <w:right w:val="nil"/>
            </w:tcBorders>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s-ES_tradnl"/>
              </w:rPr>
            </w:pPr>
            <w:r w:rsidRPr="00641C40">
              <w:rPr>
                <w:rFonts w:ascii="Calibri" w:hAnsi="Calibri"/>
                <w:szCs w:val="20"/>
                <w:lang w:val="es-ES_tradnl"/>
              </w:rPr>
              <w:t>5</w:t>
            </w:r>
          </w:p>
        </w:tc>
        <w:tc>
          <w:tcPr>
            <w:tcW w:w="900" w:type="dxa"/>
            <w:tcBorders>
              <w:top w:val="single" w:sz="4" w:space="0" w:color="BFBFBF"/>
              <w:left w:val="nil"/>
              <w:bottom w:val="single" w:sz="4" w:space="0" w:color="BFBFBF"/>
              <w:right w:val="nil"/>
            </w:tcBorders>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s-ES_tradnl"/>
              </w:rPr>
            </w:pPr>
            <w:r w:rsidRPr="00641C40">
              <w:rPr>
                <w:rFonts w:ascii="Calibri" w:hAnsi="Calibri"/>
                <w:szCs w:val="20"/>
                <w:lang w:val="es-ES_tradnl"/>
              </w:rPr>
              <w:t>38.5</w:t>
            </w:r>
          </w:p>
        </w:tc>
        <w:tc>
          <w:tcPr>
            <w:tcW w:w="737" w:type="dxa"/>
            <w:tcBorders>
              <w:top w:val="single" w:sz="4" w:space="0" w:color="BFBFBF"/>
              <w:left w:val="single" w:sz="4" w:space="0" w:color="auto"/>
              <w:bottom w:val="single" w:sz="4" w:space="0" w:color="BFBFBF"/>
              <w:right w:val="nil"/>
            </w:tcBorders>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s-ES_tradnl"/>
              </w:rPr>
            </w:pPr>
            <w:r w:rsidRPr="00641C40">
              <w:rPr>
                <w:rFonts w:ascii="Calibri" w:hAnsi="Calibri"/>
                <w:szCs w:val="20"/>
                <w:lang w:val="es-ES_tradnl"/>
              </w:rPr>
              <w:t>8</w:t>
            </w:r>
          </w:p>
        </w:tc>
        <w:tc>
          <w:tcPr>
            <w:tcW w:w="1063" w:type="dxa"/>
            <w:tcBorders>
              <w:top w:val="single" w:sz="4" w:space="0" w:color="BFBFBF"/>
              <w:left w:val="nil"/>
              <w:bottom w:val="single" w:sz="4" w:space="0" w:color="BFBFBF"/>
              <w:right w:val="nil"/>
            </w:tcBorders>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s-ES_tradnl"/>
              </w:rPr>
            </w:pPr>
            <w:r w:rsidRPr="00641C40">
              <w:rPr>
                <w:rFonts w:ascii="Calibri" w:hAnsi="Calibri"/>
                <w:szCs w:val="20"/>
                <w:lang w:val="es-ES_tradnl"/>
              </w:rPr>
              <w:t>61.5</w:t>
            </w:r>
          </w:p>
        </w:tc>
        <w:tc>
          <w:tcPr>
            <w:tcW w:w="770" w:type="dxa"/>
            <w:tcBorders>
              <w:top w:val="single" w:sz="4" w:space="0" w:color="BFBFBF"/>
              <w:left w:val="single" w:sz="4" w:space="0" w:color="auto"/>
              <w:bottom w:val="single" w:sz="4" w:space="0" w:color="BFBFBF"/>
              <w:right w:val="nil"/>
            </w:tcBorders>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s-ES_tradnl"/>
              </w:rPr>
            </w:pPr>
            <w:r w:rsidRPr="00641C40">
              <w:rPr>
                <w:rFonts w:ascii="Calibri" w:hAnsi="Calibri"/>
                <w:szCs w:val="20"/>
                <w:lang w:val="es-ES_tradnl"/>
              </w:rPr>
              <w:t>0</w:t>
            </w:r>
          </w:p>
        </w:tc>
        <w:tc>
          <w:tcPr>
            <w:tcW w:w="917" w:type="dxa"/>
            <w:tcBorders>
              <w:top w:val="single" w:sz="4" w:space="0" w:color="BFBFBF"/>
              <w:left w:val="nil"/>
              <w:bottom w:val="single" w:sz="4" w:space="0" w:color="BFBFBF"/>
              <w:right w:val="single" w:sz="4" w:space="0" w:color="auto"/>
            </w:tcBorders>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s-ES_tradnl"/>
              </w:rPr>
            </w:pPr>
            <w:r w:rsidRPr="00641C40">
              <w:rPr>
                <w:rFonts w:ascii="Calibri" w:hAnsi="Calibri"/>
                <w:szCs w:val="20"/>
                <w:lang w:val="es-ES_tradnl"/>
              </w:rPr>
              <w:t>0.0</w:t>
            </w:r>
          </w:p>
        </w:tc>
      </w:tr>
      <w:tr w:rsidR="009571FA" w:rsidTr="00777306">
        <w:trPr>
          <w:trHeight w:val="314"/>
          <w:jc w:val="center"/>
        </w:trPr>
        <w:tc>
          <w:tcPr>
            <w:tcW w:w="2227" w:type="dxa"/>
            <w:tcBorders>
              <w:top w:val="single" w:sz="4" w:space="0" w:color="auto"/>
              <w:left w:val="single" w:sz="4" w:space="0" w:color="auto"/>
              <w:bottom w:val="single" w:sz="4" w:space="0" w:color="auto"/>
              <w:right w:val="single" w:sz="4" w:space="0" w:color="auto"/>
            </w:tcBorders>
            <w:shd w:val="clear" w:color="auto" w:fill="DBE5F1"/>
            <w:tcMar>
              <w:top w:w="0" w:type="dxa"/>
              <w:left w:w="28" w:type="dxa"/>
              <w:bottom w:w="0" w:type="dxa"/>
              <w:right w:w="28" w:type="dxa"/>
            </w:tcMar>
            <w:vAlign w:val="center"/>
          </w:tcPr>
          <w:p w:rsidR="009571FA" w:rsidRPr="00641C40" w:rsidRDefault="009571FA" w:rsidP="00777306">
            <w:pPr>
              <w:tabs>
                <w:tab w:val="left" w:pos="253"/>
              </w:tabs>
              <w:spacing w:line="276" w:lineRule="auto"/>
              <w:rPr>
                <w:rFonts w:ascii="Calibri" w:hAnsi="Calibri"/>
                <w:b/>
                <w:szCs w:val="20"/>
                <w:lang w:val="es-ES_tradnl"/>
              </w:rPr>
            </w:pPr>
            <w:r w:rsidRPr="00641C40">
              <w:rPr>
                <w:rFonts w:ascii="Calibri" w:hAnsi="Calibri"/>
                <w:b/>
                <w:szCs w:val="20"/>
                <w:lang w:val="es-ES_tradnl"/>
              </w:rPr>
              <w:t>By Collaboration with GE</w:t>
            </w:r>
          </w:p>
        </w:tc>
        <w:tc>
          <w:tcPr>
            <w:tcW w:w="489" w:type="dxa"/>
            <w:tcBorders>
              <w:top w:val="single" w:sz="4" w:space="0" w:color="auto"/>
              <w:left w:val="single" w:sz="4" w:space="0" w:color="auto"/>
              <w:bottom w:val="single" w:sz="4" w:space="0" w:color="auto"/>
              <w:right w:val="single" w:sz="4" w:space="0" w:color="auto"/>
            </w:tcBorders>
            <w:shd w:val="clear" w:color="auto" w:fill="DBE5F1"/>
            <w:tcMar>
              <w:top w:w="0" w:type="dxa"/>
              <w:left w:w="28" w:type="dxa"/>
              <w:bottom w:w="0" w:type="dxa"/>
              <w:right w:w="28" w:type="dxa"/>
            </w:tcMar>
            <w:vAlign w:val="center"/>
          </w:tcPr>
          <w:p w:rsidR="009571FA" w:rsidRPr="00641C40" w:rsidRDefault="009571FA" w:rsidP="00777306">
            <w:pPr>
              <w:tabs>
                <w:tab w:val="left" w:pos="253"/>
              </w:tabs>
              <w:spacing w:line="276" w:lineRule="auto"/>
              <w:jc w:val="center"/>
              <w:rPr>
                <w:rFonts w:ascii="Calibri" w:hAnsi="Calibri"/>
                <w:b/>
                <w:szCs w:val="20"/>
                <w:lang w:val="es-ES_tradnl"/>
              </w:rPr>
            </w:pPr>
          </w:p>
        </w:tc>
        <w:tc>
          <w:tcPr>
            <w:tcW w:w="771" w:type="dxa"/>
            <w:tcBorders>
              <w:top w:val="single" w:sz="4" w:space="0" w:color="auto"/>
              <w:left w:val="single" w:sz="4" w:space="0" w:color="auto"/>
              <w:bottom w:val="single" w:sz="4" w:space="0" w:color="auto"/>
              <w:right w:val="nil"/>
            </w:tcBorders>
            <w:shd w:val="clear" w:color="auto" w:fill="DBE5F1"/>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b/>
                <w:szCs w:val="20"/>
                <w:lang w:val="es-ES_tradnl"/>
              </w:rPr>
            </w:pPr>
          </w:p>
        </w:tc>
        <w:tc>
          <w:tcPr>
            <w:tcW w:w="900" w:type="dxa"/>
            <w:tcBorders>
              <w:top w:val="single" w:sz="4" w:space="0" w:color="auto"/>
              <w:left w:val="nil"/>
              <w:bottom w:val="single" w:sz="4" w:space="0" w:color="auto"/>
              <w:right w:val="nil"/>
            </w:tcBorders>
            <w:shd w:val="clear" w:color="auto" w:fill="DBE5F1"/>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b/>
                <w:szCs w:val="20"/>
                <w:lang w:val="es-ES_tradnl"/>
              </w:rPr>
            </w:pPr>
          </w:p>
        </w:tc>
        <w:tc>
          <w:tcPr>
            <w:tcW w:w="737" w:type="dxa"/>
            <w:tcBorders>
              <w:top w:val="single" w:sz="4" w:space="0" w:color="auto"/>
              <w:left w:val="single" w:sz="4" w:space="0" w:color="auto"/>
              <w:bottom w:val="single" w:sz="4" w:space="0" w:color="auto"/>
              <w:right w:val="nil"/>
            </w:tcBorders>
            <w:shd w:val="clear" w:color="auto" w:fill="DBE5F1"/>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b/>
                <w:szCs w:val="20"/>
                <w:lang w:val="es-ES_tradnl"/>
              </w:rPr>
            </w:pPr>
          </w:p>
        </w:tc>
        <w:tc>
          <w:tcPr>
            <w:tcW w:w="1063" w:type="dxa"/>
            <w:tcBorders>
              <w:top w:val="single" w:sz="4" w:space="0" w:color="auto"/>
              <w:left w:val="nil"/>
              <w:bottom w:val="single" w:sz="4" w:space="0" w:color="auto"/>
              <w:right w:val="nil"/>
            </w:tcBorders>
            <w:shd w:val="clear" w:color="auto" w:fill="DBE5F1"/>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b/>
                <w:szCs w:val="20"/>
                <w:lang w:val="es-ES_tradnl"/>
              </w:rPr>
            </w:pPr>
          </w:p>
        </w:tc>
        <w:tc>
          <w:tcPr>
            <w:tcW w:w="770" w:type="dxa"/>
            <w:tcBorders>
              <w:top w:val="single" w:sz="4" w:space="0" w:color="auto"/>
              <w:left w:val="single" w:sz="4" w:space="0" w:color="auto"/>
              <w:bottom w:val="single" w:sz="4" w:space="0" w:color="auto"/>
              <w:right w:val="nil"/>
            </w:tcBorders>
            <w:shd w:val="clear" w:color="auto" w:fill="DBE5F1"/>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b/>
                <w:szCs w:val="20"/>
                <w:lang w:val="es-ES_tradnl"/>
              </w:rPr>
            </w:pPr>
          </w:p>
        </w:tc>
        <w:tc>
          <w:tcPr>
            <w:tcW w:w="917" w:type="dxa"/>
            <w:tcBorders>
              <w:top w:val="single" w:sz="4" w:space="0" w:color="auto"/>
              <w:left w:val="nil"/>
              <w:bottom w:val="single" w:sz="4" w:space="0" w:color="auto"/>
              <w:right w:val="single" w:sz="4" w:space="0" w:color="auto"/>
            </w:tcBorders>
            <w:shd w:val="clear" w:color="auto" w:fill="DBE5F1"/>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b/>
                <w:szCs w:val="20"/>
                <w:lang w:val="es-ES_tradnl"/>
              </w:rPr>
            </w:pPr>
          </w:p>
        </w:tc>
      </w:tr>
      <w:tr w:rsidR="009571FA" w:rsidTr="00777306">
        <w:trPr>
          <w:trHeight w:val="314"/>
          <w:jc w:val="center"/>
        </w:trPr>
        <w:tc>
          <w:tcPr>
            <w:tcW w:w="2227" w:type="dxa"/>
            <w:tcBorders>
              <w:top w:val="single" w:sz="4" w:space="0" w:color="auto"/>
              <w:left w:val="single" w:sz="4" w:space="0" w:color="auto"/>
              <w:bottom w:val="single" w:sz="4" w:space="0" w:color="BFBFBF"/>
              <w:right w:val="single" w:sz="4" w:space="0" w:color="auto"/>
            </w:tcBorders>
            <w:tcMar>
              <w:top w:w="0" w:type="dxa"/>
              <w:left w:w="28" w:type="dxa"/>
              <w:bottom w:w="0" w:type="dxa"/>
              <w:right w:w="28" w:type="dxa"/>
            </w:tcMar>
            <w:vAlign w:val="center"/>
          </w:tcPr>
          <w:p w:rsidR="009571FA" w:rsidRPr="00641C40" w:rsidRDefault="009571FA" w:rsidP="00777306">
            <w:pPr>
              <w:tabs>
                <w:tab w:val="left" w:pos="253"/>
              </w:tabs>
              <w:spacing w:line="276" w:lineRule="auto"/>
              <w:rPr>
                <w:rFonts w:ascii="Calibri" w:hAnsi="Calibri"/>
                <w:szCs w:val="20"/>
                <w:lang w:val="es-ES_tradnl"/>
              </w:rPr>
            </w:pPr>
            <w:r w:rsidRPr="00641C40">
              <w:rPr>
                <w:rFonts w:ascii="Calibri" w:hAnsi="Calibri"/>
                <w:szCs w:val="20"/>
                <w:lang w:val="es-ES_tradnl"/>
              </w:rPr>
              <w:tab/>
              <w:t>Yes</w:t>
            </w:r>
          </w:p>
        </w:tc>
        <w:tc>
          <w:tcPr>
            <w:tcW w:w="489" w:type="dxa"/>
            <w:tcBorders>
              <w:top w:val="single" w:sz="4" w:space="0" w:color="auto"/>
              <w:left w:val="single" w:sz="4" w:space="0" w:color="auto"/>
              <w:bottom w:val="single" w:sz="4" w:space="0" w:color="BFBFBF"/>
              <w:right w:val="single" w:sz="4" w:space="0" w:color="auto"/>
            </w:tcBorders>
            <w:tcMar>
              <w:top w:w="0" w:type="dxa"/>
              <w:left w:w="28" w:type="dxa"/>
              <w:bottom w:w="0" w:type="dxa"/>
              <w:right w:w="28" w:type="dxa"/>
            </w:tcMar>
            <w:vAlign w:val="center"/>
          </w:tcPr>
          <w:p w:rsidR="009571FA" w:rsidRPr="00641C40" w:rsidRDefault="009571FA" w:rsidP="00777306">
            <w:pPr>
              <w:tabs>
                <w:tab w:val="left" w:pos="253"/>
              </w:tabs>
              <w:spacing w:line="276" w:lineRule="auto"/>
              <w:jc w:val="center"/>
              <w:rPr>
                <w:rFonts w:ascii="Calibri" w:hAnsi="Calibri"/>
                <w:szCs w:val="20"/>
                <w:lang w:val="es-ES_tradnl"/>
              </w:rPr>
            </w:pPr>
            <w:r w:rsidRPr="00641C40">
              <w:rPr>
                <w:rFonts w:ascii="Calibri" w:hAnsi="Calibri"/>
                <w:szCs w:val="20"/>
                <w:lang w:val="es-ES_tradnl"/>
              </w:rPr>
              <w:t>10</w:t>
            </w:r>
          </w:p>
        </w:tc>
        <w:tc>
          <w:tcPr>
            <w:tcW w:w="771" w:type="dxa"/>
            <w:tcBorders>
              <w:top w:val="single" w:sz="4" w:space="0" w:color="auto"/>
              <w:left w:val="single" w:sz="4" w:space="0" w:color="auto"/>
              <w:bottom w:val="single" w:sz="4" w:space="0" w:color="BFBFBF"/>
              <w:right w:val="nil"/>
            </w:tcBorders>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s-ES_tradnl"/>
              </w:rPr>
            </w:pPr>
            <w:r w:rsidRPr="00641C40">
              <w:rPr>
                <w:rFonts w:ascii="Calibri" w:hAnsi="Calibri"/>
                <w:szCs w:val="20"/>
                <w:lang w:val="es-ES_tradnl"/>
              </w:rPr>
              <w:t>1</w:t>
            </w:r>
          </w:p>
        </w:tc>
        <w:tc>
          <w:tcPr>
            <w:tcW w:w="900" w:type="dxa"/>
            <w:tcBorders>
              <w:top w:val="single" w:sz="4" w:space="0" w:color="auto"/>
              <w:left w:val="nil"/>
              <w:bottom w:val="single" w:sz="4" w:space="0" w:color="BFBFBF"/>
              <w:right w:val="nil"/>
            </w:tcBorders>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s-ES_tradnl"/>
              </w:rPr>
            </w:pPr>
            <w:r w:rsidRPr="00641C40">
              <w:rPr>
                <w:rFonts w:ascii="Calibri" w:hAnsi="Calibri"/>
                <w:szCs w:val="20"/>
                <w:lang w:val="es-ES_tradnl"/>
              </w:rPr>
              <w:t>10.0</w:t>
            </w:r>
          </w:p>
        </w:tc>
        <w:tc>
          <w:tcPr>
            <w:tcW w:w="737" w:type="dxa"/>
            <w:tcBorders>
              <w:top w:val="single" w:sz="4" w:space="0" w:color="auto"/>
              <w:left w:val="single" w:sz="4" w:space="0" w:color="auto"/>
              <w:bottom w:val="single" w:sz="4" w:space="0" w:color="BFBFBF"/>
              <w:right w:val="nil"/>
            </w:tcBorders>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s-ES_tradnl"/>
              </w:rPr>
            </w:pPr>
            <w:r w:rsidRPr="00641C40">
              <w:rPr>
                <w:rFonts w:ascii="Calibri" w:hAnsi="Calibri"/>
                <w:szCs w:val="20"/>
                <w:lang w:val="es-ES_tradnl"/>
              </w:rPr>
              <w:t>9</w:t>
            </w:r>
          </w:p>
        </w:tc>
        <w:tc>
          <w:tcPr>
            <w:tcW w:w="1063" w:type="dxa"/>
            <w:tcBorders>
              <w:top w:val="single" w:sz="4" w:space="0" w:color="auto"/>
              <w:left w:val="nil"/>
              <w:bottom w:val="single" w:sz="4" w:space="0" w:color="BFBFBF"/>
              <w:right w:val="nil"/>
            </w:tcBorders>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s-ES_tradnl"/>
              </w:rPr>
            </w:pPr>
            <w:r w:rsidRPr="00641C40">
              <w:rPr>
                <w:rFonts w:ascii="Calibri" w:hAnsi="Calibri"/>
                <w:szCs w:val="20"/>
                <w:lang w:val="es-ES_tradnl"/>
              </w:rPr>
              <w:t>90.0</w:t>
            </w:r>
          </w:p>
        </w:tc>
        <w:tc>
          <w:tcPr>
            <w:tcW w:w="770" w:type="dxa"/>
            <w:tcBorders>
              <w:top w:val="single" w:sz="4" w:space="0" w:color="auto"/>
              <w:left w:val="single" w:sz="4" w:space="0" w:color="auto"/>
              <w:bottom w:val="single" w:sz="4" w:space="0" w:color="BFBFBF"/>
              <w:right w:val="nil"/>
            </w:tcBorders>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s-ES_tradnl"/>
              </w:rPr>
            </w:pPr>
            <w:r w:rsidRPr="00641C40">
              <w:rPr>
                <w:rFonts w:ascii="Calibri" w:hAnsi="Calibri"/>
                <w:szCs w:val="20"/>
                <w:lang w:val="es-ES_tradnl"/>
              </w:rPr>
              <w:t>0</w:t>
            </w:r>
          </w:p>
        </w:tc>
        <w:tc>
          <w:tcPr>
            <w:tcW w:w="917" w:type="dxa"/>
            <w:tcBorders>
              <w:top w:val="single" w:sz="4" w:space="0" w:color="auto"/>
              <w:left w:val="nil"/>
              <w:bottom w:val="single" w:sz="4" w:space="0" w:color="BFBFBF"/>
              <w:right w:val="single" w:sz="4" w:space="0" w:color="auto"/>
            </w:tcBorders>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s-ES_tradnl"/>
              </w:rPr>
            </w:pPr>
            <w:r w:rsidRPr="00641C40">
              <w:rPr>
                <w:rFonts w:ascii="Calibri" w:hAnsi="Calibri"/>
                <w:szCs w:val="20"/>
                <w:lang w:val="es-ES_tradnl"/>
              </w:rPr>
              <w:t>0.0</w:t>
            </w:r>
          </w:p>
        </w:tc>
      </w:tr>
      <w:tr w:rsidR="009571FA" w:rsidTr="00777306">
        <w:trPr>
          <w:trHeight w:val="314"/>
          <w:jc w:val="center"/>
        </w:trPr>
        <w:tc>
          <w:tcPr>
            <w:tcW w:w="2227" w:type="dxa"/>
            <w:tcBorders>
              <w:top w:val="single" w:sz="4" w:space="0" w:color="BFBFBF"/>
              <w:left w:val="single" w:sz="4" w:space="0" w:color="auto"/>
              <w:bottom w:val="single" w:sz="4" w:space="0" w:color="auto"/>
              <w:right w:val="single" w:sz="4" w:space="0" w:color="auto"/>
            </w:tcBorders>
            <w:tcMar>
              <w:top w:w="0" w:type="dxa"/>
              <w:left w:w="28" w:type="dxa"/>
              <w:bottom w:w="0" w:type="dxa"/>
              <w:right w:w="28" w:type="dxa"/>
            </w:tcMar>
            <w:vAlign w:val="center"/>
          </w:tcPr>
          <w:p w:rsidR="009571FA" w:rsidRPr="00641C40" w:rsidRDefault="009571FA" w:rsidP="00777306">
            <w:pPr>
              <w:tabs>
                <w:tab w:val="left" w:pos="253"/>
              </w:tabs>
              <w:spacing w:line="276" w:lineRule="auto"/>
              <w:rPr>
                <w:rFonts w:ascii="Calibri" w:hAnsi="Calibri"/>
                <w:szCs w:val="20"/>
                <w:lang w:val="es-ES_tradnl"/>
              </w:rPr>
            </w:pPr>
            <w:r w:rsidRPr="00641C40">
              <w:rPr>
                <w:rFonts w:ascii="Calibri" w:hAnsi="Calibri"/>
                <w:szCs w:val="20"/>
                <w:lang w:val="es-ES_tradnl"/>
              </w:rPr>
              <w:tab/>
              <w:t>No / Don't Know</w:t>
            </w:r>
          </w:p>
        </w:tc>
        <w:tc>
          <w:tcPr>
            <w:tcW w:w="489" w:type="dxa"/>
            <w:tcBorders>
              <w:top w:val="single" w:sz="4" w:space="0" w:color="BFBFBF"/>
              <w:left w:val="single" w:sz="4" w:space="0" w:color="auto"/>
              <w:bottom w:val="single" w:sz="4" w:space="0" w:color="auto"/>
              <w:right w:val="single" w:sz="4" w:space="0" w:color="auto"/>
            </w:tcBorders>
            <w:tcMar>
              <w:top w:w="0" w:type="dxa"/>
              <w:left w:w="28" w:type="dxa"/>
              <w:bottom w:w="0" w:type="dxa"/>
              <w:right w:w="28" w:type="dxa"/>
            </w:tcMar>
            <w:vAlign w:val="center"/>
          </w:tcPr>
          <w:p w:rsidR="009571FA" w:rsidRPr="00641C40" w:rsidRDefault="009571FA" w:rsidP="00777306">
            <w:pPr>
              <w:tabs>
                <w:tab w:val="left" w:pos="253"/>
              </w:tabs>
              <w:spacing w:line="276" w:lineRule="auto"/>
              <w:jc w:val="center"/>
              <w:rPr>
                <w:rFonts w:ascii="Calibri" w:hAnsi="Calibri"/>
                <w:szCs w:val="20"/>
                <w:lang w:val="es-ES_tradnl"/>
              </w:rPr>
            </w:pPr>
            <w:r w:rsidRPr="00641C40">
              <w:rPr>
                <w:rFonts w:ascii="Calibri" w:hAnsi="Calibri"/>
                <w:szCs w:val="20"/>
                <w:lang w:val="es-ES_tradnl"/>
              </w:rPr>
              <w:t>7</w:t>
            </w:r>
          </w:p>
        </w:tc>
        <w:tc>
          <w:tcPr>
            <w:tcW w:w="771" w:type="dxa"/>
            <w:tcBorders>
              <w:top w:val="single" w:sz="4" w:space="0" w:color="BFBFBF"/>
              <w:left w:val="single" w:sz="4" w:space="0" w:color="auto"/>
              <w:bottom w:val="single" w:sz="4" w:space="0" w:color="auto"/>
              <w:right w:val="nil"/>
            </w:tcBorders>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s-ES_tradnl"/>
              </w:rPr>
            </w:pPr>
            <w:r w:rsidRPr="00641C40">
              <w:rPr>
                <w:rFonts w:ascii="Calibri" w:hAnsi="Calibri"/>
                <w:szCs w:val="20"/>
                <w:lang w:val="es-ES_tradnl"/>
              </w:rPr>
              <w:t>5</w:t>
            </w:r>
          </w:p>
        </w:tc>
        <w:tc>
          <w:tcPr>
            <w:tcW w:w="900" w:type="dxa"/>
            <w:tcBorders>
              <w:top w:val="single" w:sz="4" w:space="0" w:color="BFBFBF"/>
              <w:left w:val="nil"/>
              <w:bottom w:val="single" w:sz="4" w:space="0" w:color="auto"/>
              <w:right w:val="nil"/>
            </w:tcBorders>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s-ES_tradnl"/>
              </w:rPr>
            </w:pPr>
            <w:r w:rsidRPr="00641C40">
              <w:rPr>
                <w:rFonts w:ascii="Calibri" w:hAnsi="Calibri"/>
                <w:szCs w:val="20"/>
                <w:lang w:val="es-ES_tradnl"/>
              </w:rPr>
              <w:t>71.4</w:t>
            </w:r>
          </w:p>
        </w:tc>
        <w:tc>
          <w:tcPr>
            <w:tcW w:w="737" w:type="dxa"/>
            <w:tcBorders>
              <w:top w:val="single" w:sz="4" w:space="0" w:color="BFBFBF"/>
              <w:left w:val="single" w:sz="4" w:space="0" w:color="auto"/>
              <w:bottom w:val="single" w:sz="4" w:space="0" w:color="auto"/>
              <w:right w:val="nil"/>
            </w:tcBorders>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s-ES_tradnl"/>
              </w:rPr>
            </w:pPr>
            <w:r w:rsidRPr="00641C40">
              <w:rPr>
                <w:rFonts w:ascii="Calibri" w:hAnsi="Calibri"/>
                <w:szCs w:val="20"/>
                <w:lang w:val="es-ES_tradnl"/>
              </w:rPr>
              <w:t>2</w:t>
            </w:r>
          </w:p>
        </w:tc>
        <w:tc>
          <w:tcPr>
            <w:tcW w:w="1063" w:type="dxa"/>
            <w:tcBorders>
              <w:top w:val="single" w:sz="4" w:space="0" w:color="BFBFBF"/>
              <w:left w:val="nil"/>
              <w:bottom w:val="single" w:sz="4" w:space="0" w:color="auto"/>
              <w:right w:val="nil"/>
            </w:tcBorders>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s-ES_tradnl"/>
              </w:rPr>
            </w:pPr>
            <w:r w:rsidRPr="00641C40">
              <w:rPr>
                <w:rFonts w:ascii="Calibri" w:hAnsi="Calibri"/>
                <w:szCs w:val="20"/>
                <w:lang w:val="es-ES_tradnl"/>
              </w:rPr>
              <w:t>28.6</w:t>
            </w:r>
          </w:p>
        </w:tc>
        <w:tc>
          <w:tcPr>
            <w:tcW w:w="770" w:type="dxa"/>
            <w:tcBorders>
              <w:top w:val="single" w:sz="4" w:space="0" w:color="BFBFBF"/>
              <w:left w:val="single" w:sz="4" w:space="0" w:color="auto"/>
              <w:bottom w:val="single" w:sz="4" w:space="0" w:color="auto"/>
              <w:right w:val="nil"/>
            </w:tcBorders>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s-ES_tradnl"/>
              </w:rPr>
            </w:pPr>
            <w:r w:rsidRPr="00641C40">
              <w:rPr>
                <w:rFonts w:ascii="Calibri" w:hAnsi="Calibri"/>
                <w:szCs w:val="20"/>
                <w:lang w:val="es-ES_tradnl"/>
              </w:rPr>
              <w:t>0</w:t>
            </w:r>
          </w:p>
        </w:tc>
        <w:tc>
          <w:tcPr>
            <w:tcW w:w="917" w:type="dxa"/>
            <w:tcBorders>
              <w:top w:val="single" w:sz="4" w:space="0" w:color="BFBFBF"/>
              <w:left w:val="nil"/>
              <w:bottom w:val="single" w:sz="4" w:space="0" w:color="auto"/>
              <w:right w:val="single" w:sz="4" w:space="0" w:color="auto"/>
            </w:tcBorders>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s-ES_tradnl"/>
              </w:rPr>
            </w:pPr>
            <w:r w:rsidRPr="00641C40">
              <w:rPr>
                <w:rFonts w:ascii="Calibri" w:hAnsi="Calibri"/>
                <w:szCs w:val="20"/>
                <w:lang w:val="es-ES_tradnl"/>
              </w:rPr>
              <w:t>0.0</w:t>
            </w:r>
          </w:p>
        </w:tc>
      </w:tr>
    </w:tbl>
    <w:p w:rsidR="009571FA" w:rsidRDefault="009571FA" w:rsidP="00777306">
      <w:pPr>
        <w:tabs>
          <w:tab w:val="left" w:pos="1134"/>
        </w:tabs>
        <w:ind w:left="720"/>
        <w:rPr>
          <w:rFonts w:ascii="Cambria" w:hAnsi="Cambria"/>
          <w:sz w:val="18"/>
          <w:lang w:val="es-ES_tradnl"/>
        </w:rPr>
      </w:pPr>
    </w:p>
    <w:p w:rsidR="009571FA" w:rsidRDefault="009571FA" w:rsidP="00777306">
      <w:pPr>
        <w:tabs>
          <w:tab w:val="left" w:pos="1134"/>
        </w:tabs>
        <w:ind w:left="720"/>
        <w:rPr>
          <w:sz w:val="18"/>
        </w:rPr>
      </w:pPr>
      <w:r>
        <w:rPr>
          <w:sz w:val="18"/>
        </w:rPr>
        <w:t xml:space="preserve">* 4 </w:t>
      </w:r>
      <w:r w:rsidR="002F41A6">
        <w:rPr>
          <w:sz w:val="18"/>
        </w:rPr>
        <w:t xml:space="preserve">respondents on this subject were excluded due to </w:t>
      </w:r>
      <w:r>
        <w:rPr>
          <w:sz w:val="18"/>
        </w:rPr>
        <w:t xml:space="preserve">don't know </w:t>
      </w:r>
      <w:r w:rsidR="002F41A6">
        <w:rPr>
          <w:sz w:val="18"/>
        </w:rPr>
        <w:t>answers</w:t>
      </w:r>
    </w:p>
    <w:p w:rsidR="009F2CA7" w:rsidRDefault="009F2CA7" w:rsidP="004456AA">
      <w:pPr>
        <w:pStyle w:val="ListParagraph"/>
        <w:ind w:left="0"/>
        <w:rPr>
          <w:sz w:val="22"/>
        </w:rPr>
      </w:pPr>
    </w:p>
    <w:p w:rsidR="009571FA" w:rsidRDefault="009571FA" w:rsidP="004456AA">
      <w:pPr>
        <w:pStyle w:val="ListParagraph"/>
        <w:ind w:left="0"/>
        <w:rPr>
          <w:sz w:val="22"/>
        </w:rPr>
      </w:pPr>
      <w:r w:rsidRPr="00777306">
        <w:rPr>
          <w:sz w:val="22"/>
        </w:rPr>
        <w:t>Although the small sample size d</w:t>
      </w:r>
      <w:r>
        <w:rPr>
          <w:sz w:val="22"/>
        </w:rPr>
        <w:t>id</w:t>
      </w:r>
      <w:r w:rsidRPr="00777306">
        <w:rPr>
          <w:sz w:val="22"/>
        </w:rPr>
        <w:t xml:space="preserve"> not allow </w:t>
      </w:r>
      <w:r>
        <w:rPr>
          <w:sz w:val="22"/>
        </w:rPr>
        <w:t xml:space="preserve">for </w:t>
      </w:r>
      <w:r w:rsidRPr="00777306">
        <w:rPr>
          <w:sz w:val="22"/>
        </w:rPr>
        <w:t xml:space="preserve">statistically significant inferences, variations in the level of this integration were evident according to sex, grade and history of </w:t>
      </w:r>
      <w:r>
        <w:rPr>
          <w:sz w:val="22"/>
        </w:rPr>
        <w:t>GE collaboration</w:t>
      </w:r>
      <w:r w:rsidRPr="00777306">
        <w:rPr>
          <w:sz w:val="22"/>
        </w:rPr>
        <w:t xml:space="preserve">. As in the planning stage, the proportion integrating gender in the implementation of work plans was higher among women, Ds, and those </w:t>
      </w:r>
      <w:r w:rsidR="002F41A6">
        <w:rPr>
          <w:sz w:val="22"/>
        </w:rPr>
        <w:t>PFP</w:t>
      </w:r>
      <w:r w:rsidRPr="00777306">
        <w:rPr>
          <w:sz w:val="22"/>
        </w:rPr>
        <w:t xml:space="preserve"> that had collaborated with GE. </w:t>
      </w:r>
    </w:p>
    <w:p w:rsidR="009571FA" w:rsidRPr="00777306" w:rsidRDefault="009571FA" w:rsidP="004456AA">
      <w:pPr>
        <w:pStyle w:val="ListParagraph"/>
        <w:ind w:left="0"/>
        <w:rPr>
          <w:sz w:val="22"/>
        </w:rPr>
      </w:pPr>
    </w:p>
    <w:p w:rsidR="009571FA" w:rsidRPr="003F23D0" w:rsidRDefault="003F23D0" w:rsidP="00E205AB">
      <w:pPr>
        <w:pStyle w:val="ListParagraph"/>
        <w:ind w:left="0"/>
        <w:rPr>
          <w:b/>
          <w:sz w:val="22"/>
        </w:rPr>
      </w:pPr>
      <w:r w:rsidRPr="003F23D0">
        <w:rPr>
          <w:b/>
          <w:sz w:val="22"/>
        </w:rPr>
        <w:t>1.3.</w:t>
      </w:r>
      <w:r w:rsidR="009571FA" w:rsidRPr="003F23D0">
        <w:rPr>
          <w:b/>
          <w:sz w:val="22"/>
        </w:rPr>
        <w:t xml:space="preserve"> In monitoring and evaluating work plans</w:t>
      </w:r>
    </w:p>
    <w:p w:rsidR="009571FA" w:rsidRPr="00141EAB" w:rsidRDefault="009571FA" w:rsidP="00777306">
      <w:pPr>
        <w:pStyle w:val="ListParagraph"/>
        <w:tabs>
          <w:tab w:val="left" w:pos="1691"/>
        </w:tabs>
        <w:rPr>
          <w:sz w:val="10"/>
        </w:rPr>
      </w:pPr>
      <w:r>
        <w:rPr>
          <w:b/>
          <w:sz w:val="24"/>
        </w:rPr>
        <w:tab/>
      </w:r>
    </w:p>
    <w:p w:rsidR="009571FA" w:rsidRDefault="009571FA" w:rsidP="00777306">
      <w:pPr>
        <w:pStyle w:val="ListParagraph"/>
        <w:tabs>
          <w:tab w:val="left" w:pos="1691"/>
        </w:tabs>
        <w:ind w:left="0"/>
        <w:rPr>
          <w:sz w:val="22"/>
        </w:rPr>
      </w:pPr>
      <w:r w:rsidRPr="00777306">
        <w:rPr>
          <w:sz w:val="22"/>
        </w:rPr>
        <w:t>Scores on gender integration in monitoring and evaluation were assigned to respondent’s assessments of the extent to which the process of monitoring and evaluating 2006-2007 biennial work plans addressed gender inequalities in health</w:t>
      </w:r>
      <w:r w:rsidR="00602E79">
        <w:rPr>
          <w:rStyle w:val="FootnoteReference"/>
          <w:sz w:val="22"/>
        </w:rPr>
        <w:footnoteReference w:id="10"/>
      </w:r>
      <w:r w:rsidRPr="00777306">
        <w:rPr>
          <w:sz w:val="22"/>
        </w:rPr>
        <w:t xml:space="preserve">. </w:t>
      </w:r>
    </w:p>
    <w:p w:rsidR="00602E79" w:rsidRPr="00A14D8B" w:rsidRDefault="00602E79" w:rsidP="00777306">
      <w:pPr>
        <w:pStyle w:val="ListParagraph"/>
        <w:tabs>
          <w:tab w:val="left" w:pos="1691"/>
        </w:tabs>
        <w:ind w:left="0"/>
        <w:rPr>
          <w:sz w:val="12"/>
        </w:rPr>
      </w:pPr>
    </w:p>
    <w:p w:rsidR="009571FA" w:rsidRDefault="009571FA" w:rsidP="00777306">
      <w:pPr>
        <w:pStyle w:val="ListParagraph"/>
        <w:tabs>
          <w:tab w:val="left" w:pos="1691"/>
        </w:tabs>
        <w:ind w:left="0"/>
        <w:rPr>
          <w:sz w:val="22"/>
        </w:rPr>
      </w:pPr>
      <w:r w:rsidRPr="00777306">
        <w:rPr>
          <w:sz w:val="22"/>
        </w:rPr>
        <w:t>None of the interviewees acknowledged having strongly integrated gender in the monitoring and evaluating process of their 2006-2007 work plans</w:t>
      </w:r>
      <w:r w:rsidR="00602E79">
        <w:rPr>
          <w:sz w:val="22"/>
        </w:rPr>
        <w:t>, while</w:t>
      </w:r>
      <w:r w:rsidRPr="00777306">
        <w:rPr>
          <w:sz w:val="22"/>
        </w:rPr>
        <w:t xml:space="preserve"> the corresponding figure for the WH</w:t>
      </w:r>
      <w:r w:rsidR="00602E79">
        <w:rPr>
          <w:sz w:val="22"/>
        </w:rPr>
        <w:t>O sample was 1.6%.  O</w:t>
      </w:r>
      <w:r w:rsidRPr="00777306">
        <w:rPr>
          <w:sz w:val="22"/>
        </w:rPr>
        <w:t xml:space="preserve">ver 80% (13 out of 16) reported none or a weak level of gender integration in their monitoring &amp; evaluating process, and only 3 </w:t>
      </w:r>
      <w:r w:rsidR="00602E79">
        <w:rPr>
          <w:sz w:val="22"/>
        </w:rPr>
        <w:t xml:space="preserve">of the 16 PFPs </w:t>
      </w:r>
      <w:r w:rsidRPr="00777306">
        <w:rPr>
          <w:sz w:val="22"/>
        </w:rPr>
        <w:t xml:space="preserve">indicated </w:t>
      </w:r>
      <w:r w:rsidR="00602E79">
        <w:rPr>
          <w:sz w:val="22"/>
        </w:rPr>
        <w:t xml:space="preserve">some or a </w:t>
      </w:r>
      <w:r w:rsidRPr="00777306">
        <w:rPr>
          <w:sz w:val="22"/>
        </w:rPr>
        <w:t>moderate level, thus illustrating the near absence of gender considerations at this stage of the programming cycle (Table</w:t>
      </w:r>
      <w:r w:rsidR="003F23D0">
        <w:rPr>
          <w:sz w:val="22"/>
        </w:rPr>
        <w:t>12</w:t>
      </w:r>
      <w:r w:rsidRPr="00777306">
        <w:rPr>
          <w:sz w:val="22"/>
        </w:rPr>
        <w:t xml:space="preserve">). </w:t>
      </w:r>
    </w:p>
    <w:p w:rsidR="009571FA" w:rsidRPr="00A14D8B" w:rsidRDefault="009571FA" w:rsidP="00777306">
      <w:pPr>
        <w:pStyle w:val="ListParagraph"/>
        <w:tabs>
          <w:tab w:val="left" w:pos="1691"/>
        </w:tabs>
        <w:ind w:left="0"/>
        <w:rPr>
          <w:sz w:val="14"/>
        </w:rPr>
      </w:pPr>
    </w:p>
    <w:p w:rsidR="009571FA" w:rsidRPr="00777306" w:rsidRDefault="009571FA" w:rsidP="00AC445A">
      <w:pPr>
        <w:pStyle w:val="ListParagraph"/>
        <w:tabs>
          <w:tab w:val="left" w:pos="1691"/>
        </w:tabs>
        <w:ind w:left="0"/>
        <w:rPr>
          <w:sz w:val="22"/>
        </w:rPr>
      </w:pPr>
      <w:r w:rsidRPr="00777306">
        <w:rPr>
          <w:sz w:val="22"/>
        </w:rPr>
        <w:t>As in the preceding programming stages, the few respondents reporting any gender integration in the monitoring phase of their work plans clustered around the staff categories of females, Ds, and GE collaborators (Table</w:t>
      </w:r>
      <w:r w:rsidR="00A14D8B">
        <w:rPr>
          <w:sz w:val="22"/>
        </w:rPr>
        <w:t>12</w:t>
      </w:r>
      <w:r w:rsidRPr="00777306">
        <w:rPr>
          <w:sz w:val="22"/>
        </w:rPr>
        <w:t xml:space="preserve">). </w:t>
      </w:r>
    </w:p>
    <w:p w:rsidR="009571FA" w:rsidRPr="00777306" w:rsidRDefault="009571FA" w:rsidP="00777306">
      <w:pPr>
        <w:pStyle w:val="ListParagraph"/>
        <w:tabs>
          <w:tab w:val="left" w:pos="1691"/>
        </w:tabs>
        <w:ind w:left="0"/>
        <w:rPr>
          <w:sz w:val="22"/>
        </w:rPr>
      </w:pPr>
    </w:p>
    <w:p w:rsidR="009571FA" w:rsidRDefault="009571FA" w:rsidP="00777306">
      <w:pPr>
        <w:ind w:left="720" w:right="540"/>
      </w:pPr>
      <w:r>
        <w:rPr>
          <w:b/>
        </w:rPr>
        <w:t xml:space="preserve">Table </w:t>
      </w:r>
      <w:r w:rsidR="003F23D0">
        <w:rPr>
          <w:b/>
        </w:rPr>
        <w:t>12.</w:t>
      </w:r>
      <w:r>
        <w:rPr>
          <w:b/>
        </w:rPr>
        <w:t xml:space="preserve">  </w:t>
      </w:r>
      <w:r w:rsidRPr="00763121">
        <w:t xml:space="preserve">AMRO/PAHO: </w:t>
      </w:r>
      <w:r>
        <w:t xml:space="preserve">Percent distribution of sampled planning focal points according to reported level </w:t>
      </w:r>
      <w:r w:rsidRPr="005A33F9">
        <w:t>of gender integration in</w:t>
      </w:r>
      <w:r w:rsidRPr="00763121">
        <w:t xml:space="preserve"> </w:t>
      </w:r>
      <w:r>
        <w:t xml:space="preserve">the </w:t>
      </w:r>
      <w:r w:rsidRPr="00602E79">
        <w:rPr>
          <w:b/>
        </w:rPr>
        <w:t>monitoring &amp; evaluation</w:t>
      </w:r>
      <w:r>
        <w:t xml:space="preserve"> of their 2006-2007 work plans</w:t>
      </w:r>
      <w:r w:rsidRPr="00763121">
        <w:t>, by sex</w:t>
      </w:r>
      <w:r>
        <w:t xml:space="preserve">, </w:t>
      </w:r>
      <w:r w:rsidRPr="00763121">
        <w:t>grade</w:t>
      </w:r>
      <w:r>
        <w:t>, and previous collaboration with PAHO/GE. 2008</w:t>
      </w:r>
    </w:p>
    <w:p w:rsidR="009571FA" w:rsidRDefault="009571FA" w:rsidP="00777306">
      <w:pPr>
        <w:ind w:right="810"/>
        <w:rPr>
          <w:b/>
        </w:rPr>
      </w:pPr>
      <w:r>
        <w:rPr>
          <w:b/>
        </w:rPr>
        <w:t xml:space="preserve"> </w:t>
      </w:r>
    </w:p>
    <w:tbl>
      <w:tblPr>
        <w:tblW w:w="0" w:type="auto"/>
        <w:jc w:val="center"/>
        <w:tblInd w:w="1262" w:type="dxa"/>
        <w:tblLook w:val="00BF"/>
      </w:tblPr>
      <w:tblGrid>
        <w:gridCol w:w="2134"/>
        <w:gridCol w:w="578"/>
        <w:gridCol w:w="785"/>
        <w:gridCol w:w="885"/>
        <w:gridCol w:w="916"/>
        <w:gridCol w:w="809"/>
        <w:gridCol w:w="810"/>
        <w:gridCol w:w="977"/>
      </w:tblGrid>
      <w:tr w:rsidR="00AE047F" w:rsidTr="004B7F31">
        <w:trPr>
          <w:trHeight w:val="314"/>
          <w:jc w:val="center"/>
        </w:trPr>
        <w:tc>
          <w:tcPr>
            <w:tcW w:w="2134" w:type="dxa"/>
            <w:vMerge w:val="restart"/>
            <w:tcBorders>
              <w:top w:val="single" w:sz="4" w:space="0" w:color="auto"/>
              <w:left w:val="single" w:sz="4" w:space="0" w:color="auto"/>
              <w:right w:val="single" w:sz="4" w:space="0" w:color="auto"/>
            </w:tcBorders>
            <w:shd w:val="clear" w:color="auto" w:fill="C6D9F1"/>
            <w:tcMar>
              <w:top w:w="0" w:type="dxa"/>
              <w:left w:w="28" w:type="dxa"/>
              <w:bottom w:w="0" w:type="dxa"/>
              <w:right w:w="28" w:type="dxa"/>
            </w:tcMar>
            <w:vAlign w:val="center"/>
          </w:tcPr>
          <w:p w:rsidR="003704F9" w:rsidRDefault="00AE047F" w:rsidP="00777306">
            <w:pPr>
              <w:tabs>
                <w:tab w:val="left" w:pos="253"/>
              </w:tabs>
              <w:spacing w:line="276" w:lineRule="auto"/>
              <w:rPr>
                <w:rFonts w:ascii="Calibri" w:hAnsi="Calibri"/>
                <w:b/>
                <w:color w:val="000000"/>
                <w:szCs w:val="20"/>
              </w:rPr>
            </w:pPr>
            <w:r>
              <w:rPr>
                <w:rFonts w:ascii="Calibri" w:hAnsi="Calibri"/>
                <w:b/>
                <w:color w:val="000000"/>
                <w:szCs w:val="20"/>
              </w:rPr>
              <w:t xml:space="preserve">     </w:t>
            </w:r>
            <w:r w:rsidR="003704F9">
              <w:rPr>
                <w:rFonts w:ascii="Calibri" w:hAnsi="Calibri"/>
                <w:b/>
                <w:color w:val="000000"/>
                <w:szCs w:val="20"/>
              </w:rPr>
              <w:t xml:space="preserve"> </w:t>
            </w:r>
            <w:r>
              <w:rPr>
                <w:rFonts w:ascii="Calibri" w:hAnsi="Calibri"/>
                <w:b/>
                <w:color w:val="000000"/>
                <w:szCs w:val="20"/>
              </w:rPr>
              <w:t>Monitoring</w:t>
            </w:r>
            <w:r w:rsidR="003704F9">
              <w:rPr>
                <w:rFonts w:ascii="Calibri" w:hAnsi="Calibri"/>
                <w:b/>
                <w:color w:val="000000"/>
                <w:szCs w:val="20"/>
              </w:rPr>
              <w:t xml:space="preserve">                      </w:t>
            </w:r>
            <w:r>
              <w:rPr>
                <w:rFonts w:ascii="Calibri" w:hAnsi="Calibri"/>
                <w:b/>
                <w:color w:val="000000"/>
                <w:szCs w:val="20"/>
              </w:rPr>
              <w:t xml:space="preserve"> </w:t>
            </w:r>
            <w:r w:rsidR="003704F9">
              <w:rPr>
                <w:rFonts w:ascii="Calibri" w:hAnsi="Calibri"/>
                <w:b/>
                <w:color w:val="000000"/>
                <w:szCs w:val="20"/>
              </w:rPr>
              <w:t xml:space="preserve">                </w:t>
            </w:r>
          </w:p>
          <w:p w:rsidR="00AE047F" w:rsidRPr="00641C40" w:rsidRDefault="003704F9" w:rsidP="003704F9">
            <w:pPr>
              <w:tabs>
                <w:tab w:val="left" w:pos="253"/>
              </w:tabs>
              <w:spacing w:line="276" w:lineRule="auto"/>
              <w:rPr>
                <w:rFonts w:ascii="Calibri" w:hAnsi="Calibri"/>
                <w:b/>
                <w:color w:val="000000"/>
                <w:szCs w:val="20"/>
              </w:rPr>
            </w:pPr>
            <w:r>
              <w:rPr>
                <w:rFonts w:ascii="Calibri" w:hAnsi="Calibri"/>
                <w:b/>
                <w:color w:val="000000"/>
                <w:szCs w:val="20"/>
              </w:rPr>
              <w:t xml:space="preserve">      &amp;</w:t>
            </w:r>
            <w:r w:rsidR="00AE047F">
              <w:rPr>
                <w:rFonts w:ascii="Calibri" w:hAnsi="Calibri"/>
                <w:b/>
                <w:color w:val="000000"/>
                <w:szCs w:val="20"/>
              </w:rPr>
              <w:t xml:space="preserve"> </w:t>
            </w:r>
            <w:r>
              <w:rPr>
                <w:rFonts w:ascii="Calibri" w:hAnsi="Calibri"/>
                <w:b/>
                <w:color w:val="000000"/>
                <w:szCs w:val="20"/>
              </w:rPr>
              <w:t>E</w:t>
            </w:r>
            <w:r w:rsidR="00AE047F">
              <w:rPr>
                <w:rFonts w:ascii="Calibri" w:hAnsi="Calibri"/>
                <w:b/>
                <w:color w:val="000000"/>
                <w:szCs w:val="20"/>
              </w:rPr>
              <w:t>valuation</w:t>
            </w:r>
          </w:p>
        </w:tc>
        <w:tc>
          <w:tcPr>
            <w:tcW w:w="578" w:type="dxa"/>
            <w:vMerge w:val="restart"/>
            <w:tcBorders>
              <w:top w:val="single" w:sz="4" w:space="0" w:color="auto"/>
              <w:left w:val="single" w:sz="4" w:space="0" w:color="auto"/>
              <w:right w:val="single" w:sz="4" w:space="0" w:color="auto"/>
            </w:tcBorders>
            <w:shd w:val="clear" w:color="auto" w:fill="C6D9F1"/>
            <w:tcMar>
              <w:top w:w="0" w:type="dxa"/>
              <w:left w:w="28" w:type="dxa"/>
              <w:bottom w:w="0" w:type="dxa"/>
              <w:right w:w="28" w:type="dxa"/>
            </w:tcMar>
            <w:vAlign w:val="center"/>
          </w:tcPr>
          <w:p w:rsidR="00AE047F" w:rsidRPr="003F23D0" w:rsidRDefault="00AE047F" w:rsidP="00777306">
            <w:pPr>
              <w:tabs>
                <w:tab w:val="left" w:pos="253"/>
              </w:tabs>
              <w:spacing w:line="276" w:lineRule="auto"/>
              <w:jc w:val="center"/>
              <w:rPr>
                <w:rFonts w:ascii="Calibri" w:hAnsi="Calibri"/>
                <w:b/>
                <w:color w:val="000000"/>
                <w:szCs w:val="20"/>
                <w:lang w:val="en-US"/>
              </w:rPr>
            </w:pPr>
            <w:r w:rsidRPr="003F23D0">
              <w:rPr>
                <w:rFonts w:ascii="Calibri" w:hAnsi="Calibri"/>
                <w:b/>
                <w:color w:val="000000"/>
                <w:szCs w:val="20"/>
                <w:lang w:val="en-US"/>
              </w:rPr>
              <w:t>N</w:t>
            </w:r>
          </w:p>
        </w:tc>
        <w:tc>
          <w:tcPr>
            <w:tcW w:w="5182" w:type="dxa"/>
            <w:gridSpan w:val="6"/>
            <w:tcBorders>
              <w:top w:val="single" w:sz="4" w:space="0" w:color="auto"/>
              <w:left w:val="single" w:sz="4" w:space="0" w:color="auto"/>
              <w:bottom w:val="single" w:sz="4" w:space="0" w:color="auto"/>
              <w:right w:val="single" w:sz="4" w:space="0" w:color="auto"/>
            </w:tcBorders>
            <w:shd w:val="clear" w:color="auto" w:fill="C6D9F1"/>
            <w:tcMar>
              <w:top w:w="0" w:type="dxa"/>
              <w:left w:w="28" w:type="dxa"/>
              <w:bottom w:w="0" w:type="dxa"/>
              <w:right w:w="28" w:type="dxa"/>
            </w:tcMar>
            <w:vAlign w:val="center"/>
          </w:tcPr>
          <w:p w:rsidR="00AE047F" w:rsidRPr="00641C40" w:rsidRDefault="00AE047F" w:rsidP="00AE047F">
            <w:pPr>
              <w:spacing w:line="276" w:lineRule="auto"/>
              <w:jc w:val="center"/>
              <w:rPr>
                <w:rFonts w:ascii="Calibri" w:hAnsi="Calibri"/>
                <w:b/>
                <w:color w:val="000000"/>
                <w:szCs w:val="20"/>
              </w:rPr>
            </w:pPr>
            <w:r>
              <w:rPr>
                <w:rFonts w:ascii="Calibri" w:hAnsi="Calibri"/>
                <w:b/>
                <w:color w:val="000000"/>
                <w:szCs w:val="20"/>
              </w:rPr>
              <w:t>Level of Gender Integration</w:t>
            </w:r>
          </w:p>
        </w:tc>
      </w:tr>
      <w:tr w:rsidR="00AE047F" w:rsidTr="004B7F31">
        <w:trPr>
          <w:trHeight w:val="314"/>
          <w:jc w:val="center"/>
        </w:trPr>
        <w:tc>
          <w:tcPr>
            <w:tcW w:w="2134" w:type="dxa"/>
            <w:vMerge/>
            <w:tcBorders>
              <w:left w:val="single" w:sz="4" w:space="0" w:color="auto"/>
              <w:right w:val="single" w:sz="4" w:space="0" w:color="auto"/>
            </w:tcBorders>
            <w:shd w:val="clear" w:color="auto" w:fill="C6D9F1"/>
            <w:tcMar>
              <w:top w:w="0" w:type="dxa"/>
              <w:left w:w="28" w:type="dxa"/>
              <w:bottom w:w="0" w:type="dxa"/>
              <w:right w:w="28" w:type="dxa"/>
            </w:tcMar>
            <w:vAlign w:val="center"/>
          </w:tcPr>
          <w:p w:rsidR="00AE047F" w:rsidRPr="00641C40" w:rsidRDefault="00AE047F" w:rsidP="00777306">
            <w:pPr>
              <w:tabs>
                <w:tab w:val="left" w:pos="253"/>
              </w:tabs>
              <w:spacing w:line="276" w:lineRule="auto"/>
              <w:rPr>
                <w:rFonts w:ascii="Calibri" w:hAnsi="Calibri"/>
                <w:b/>
                <w:color w:val="000000"/>
                <w:szCs w:val="20"/>
              </w:rPr>
            </w:pPr>
          </w:p>
        </w:tc>
        <w:tc>
          <w:tcPr>
            <w:tcW w:w="578" w:type="dxa"/>
            <w:vMerge/>
            <w:tcBorders>
              <w:left w:val="single" w:sz="4" w:space="0" w:color="auto"/>
              <w:right w:val="single" w:sz="4" w:space="0" w:color="auto"/>
            </w:tcBorders>
            <w:shd w:val="clear" w:color="auto" w:fill="C6D9F1"/>
            <w:tcMar>
              <w:top w:w="0" w:type="dxa"/>
              <w:left w:w="28" w:type="dxa"/>
              <w:bottom w:w="0" w:type="dxa"/>
              <w:right w:w="28" w:type="dxa"/>
            </w:tcMar>
            <w:vAlign w:val="center"/>
          </w:tcPr>
          <w:p w:rsidR="00AE047F" w:rsidRPr="003F23D0" w:rsidRDefault="00AE047F" w:rsidP="00777306">
            <w:pPr>
              <w:tabs>
                <w:tab w:val="left" w:pos="253"/>
              </w:tabs>
              <w:spacing w:line="276" w:lineRule="auto"/>
              <w:jc w:val="center"/>
              <w:rPr>
                <w:rFonts w:ascii="Calibri" w:hAnsi="Calibri"/>
                <w:b/>
                <w:color w:val="000000"/>
                <w:szCs w:val="20"/>
                <w:lang w:val="en-US"/>
              </w:rPr>
            </w:pPr>
          </w:p>
        </w:tc>
        <w:tc>
          <w:tcPr>
            <w:tcW w:w="1670" w:type="dxa"/>
            <w:gridSpan w:val="2"/>
            <w:tcBorders>
              <w:top w:val="single" w:sz="4" w:space="0" w:color="auto"/>
              <w:left w:val="single" w:sz="4" w:space="0" w:color="auto"/>
              <w:bottom w:val="single" w:sz="4" w:space="0" w:color="auto"/>
              <w:right w:val="nil"/>
            </w:tcBorders>
            <w:shd w:val="clear" w:color="auto" w:fill="C6D9F1"/>
            <w:tcMar>
              <w:top w:w="0" w:type="dxa"/>
              <w:left w:w="28" w:type="dxa"/>
              <w:bottom w:w="0" w:type="dxa"/>
              <w:right w:w="28" w:type="dxa"/>
            </w:tcMar>
            <w:vAlign w:val="center"/>
          </w:tcPr>
          <w:p w:rsidR="00AE047F" w:rsidRPr="00641C40" w:rsidRDefault="00AE047F" w:rsidP="00AE047F">
            <w:pPr>
              <w:spacing w:line="276" w:lineRule="auto"/>
              <w:jc w:val="center"/>
              <w:rPr>
                <w:rFonts w:ascii="Calibri" w:hAnsi="Calibri"/>
                <w:b/>
                <w:color w:val="000000"/>
                <w:szCs w:val="20"/>
              </w:rPr>
            </w:pPr>
            <w:r w:rsidRPr="00641C40">
              <w:rPr>
                <w:rFonts w:ascii="Calibri" w:hAnsi="Calibri"/>
                <w:b/>
                <w:color w:val="000000"/>
                <w:szCs w:val="20"/>
              </w:rPr>
              <w:t xml:space="preserve">None or Weak </w:t>
            </w:r>
          </w:p>
        </w:tc>
        <w:tc>
          <w:tcPr>
            <w:tcW w:w="1725" w:type="dxa"/>
            <w:gridSpan w:val="2"/>
            <w:tcBorders>
              <w:top w:val="single" w:sz="4" w:space="0" w:color="auto"/>
              <w:left w:val="single" w:sz="4" w:space="0" w:color="auto"/>
              <w:bottom w:val="single" w:sz="4" w:space="0" w:color="auto"/>
              <w:right w:val="nil"/>
            </w:tcBorders>
            <w:shd w:val="clear" w:color="auto" w:fill="C6D9F1"/>
            <w:tcMar>
              <w:top w:w="0" w:type="dxa"/>
              <w:left w:w="28" w:type="dxa"/>
              <w:bottom w:w="0" w:type="dxa"/>
              <w:right w:w="28" w:type="dxa"/>
            </w:tcMar>
            <w:vAlign w:val="center"/>
          </w:tcPr>
          <w:p w:rsidR="00AE047F" w:rsidRPr="00641C40" w:rsidRDefault="00AE047F" w:rsidP="00AE047F">
            <w:pPr>
              <w:spacing w:line="276" w:lineRule="auto"/>
              <w:jc w:val="center"/>
              <w:rPr>
                <w:rFonts w:ascii="Calibri" w:hAnsi="Calibri"/>
                <w:b/>
                <w:color w:val="000000"/>
                <w:szCs w:val="20"/>
              </w:rPr>
            </w:pPr>
            <w:r w:rsidRPr="00641C40">
              <w:rPr>
                <w:rFonts w:ascii="Calibri" w:hAnsi="Calibri"/>
                <w:b/>
                <w:color w:val="000000"/>
                <w:szCs w:val="20"/>
              </w:rPr>
              <w:t xml:space="preserve">Some or Moderate </w:t>
            </w:r>
          </w:p>
        </w:tc>
        <w:tc>
          <w:tcPr>
            <w:tcW w:w="1787" w:type="dxa"/>
            <w:gridSpan w:val="2"/>
            <w:tcBorders>
              <w:top w:val="single" w:sz="4" w:space="0" w:color="auto"/>
              <w:left w:val="single" w:sz="4" w:space="0" w:color="auto"/>
              <w:bottom w:val="single" w:sz="4" w:space="0" w:color="auto"/>
              <w:right w:val="single" w:sz="4" w:space="0" w:color="auto"/>
            </w:tcBorders>
            <w:shd w:val="clear" w:color="auto" w:fill="C6D9F1"/>
            <w:tcMar>
              <w:top w:w="0" w:type="dxa"/>
              <w:left w:w="28" w:type="dxa"/>
              <w:bottom w:w="0" w:type="dxa"/>
              <w:right w:w="28" w:type="dxa"/>
            </w:tcMar>
            <w:vAlign w:val="center"/>
          </w:tcPr>
          <w:p w:rsidR="00AE047F" w:rsidRPr="00641C40" w:rsidRDefault="00AE047F" w:rsidP="00AE047F">
            <w:pPr>
              <w:spacing w:line="276" w:lineRule="auto"/>
              <w:jc w:val="center"/>
              <w:rPr>
                <w:rFonts w:ascii="Calibri" w:hAnsi="Calibri"/>
                <w:b/>
                <w:color w:val="000000"/>
                <w:szCs w:val="20"/>
              </w:rPr>
            </w:pPr>
            <w:r w:rsidRPr="00641C40">
              <w:rPr>
                <w:rFonts w:ascii="Calibri" w:hAnsi="Calibri"/>
                <w:b/>
                <w:color w:val="000000"/>
                <w:szCs w:val="20"/>
              </w:rPr>
              <w:t xml:space="preserve">Strong Level of </w:t>
            </w:r>
          </w:p>
        </w:tc>
      </w:tr>
      <w:tr w:rsidR="00AE047F" w:rsidTr="004B7F31">
        <w:trPr>
          <w:trHeight w:val="314"/>
          <w:jc w:val="center"/>
        </w:trPr>
        <w:tc>
          <w:tcPr>
            <w:tcW w:w="2134" w:type="dxa"/>
            <w:vMerge/>
            <w:tcBorders>
              <w:left w:val="single" w:sz="4" w:space="0" w:color="auto"/>
              <w:bottom w:val="single" w:sz="4" w:space="0" w:color="auto"/>
              <w:right w:val="single" w:sz="4" w:space="0" w:color="auto"/>
            </w:tcBorders>
            <w:vAlign w:val="center"/>
          </w:tcPr>
          <w:p w:rsidR="00AE047F" w:rsidRPr="00641C40" w:rsidRDefault="00AE047F" w:rsidP="00777306">
            <w:pPr>
              <w:rPr>
                <w:rFonts w:ascii="Calibri" w:hAnsi="Calibri"/>
                <w:b/>
                <w:color w:val="000000"/>
                <w:szCs w:val="20"/>
              </w:rPr>
            </w:pPr>
          </w:p>
        </w:tc>
        <w:tc>
          <w:tcPr>
            <w:tcW w:w="578" w:type="dxa"/>
            <w:vMerge/>
            <w:tcBorders>
              <w:left w:val="single" w:sz="4" w:space="0" w:color="auto"/>
              <w:bottom w:val="single" w:sz="4" w:space="0" w:color="auto"/>
              <w:right w:val="single" w:sz="4" w:space="0" w:color="auto"/>
            </w:tcBorders>
            <w:vAlign w:val="center"/>
          </w:tcPr>
          <w:p w:rsidR="00AE047F" w:rsidRPr="00641C40" w:rsidRDefault="00AE047F" w:rsidP="00777306">
            <w:pPr>
              <w:rPr>
                <w:rFonts w:ascii="Calibri" w:hAnsi="Calibri"/>
                <w:b/>
                <w:color w:val="000000"/>
                <w:szCs w:val="20"/>
                <w:lang w:val="en-US"/>
              </w:rPr>
            </w:pPr>
          </w:p>
        </w:tc>
        <w:tc>
          <w:tcPr>
            <w:tcW w:w="785" w:type="dxa"/>
            <w:tcBorders>
              <w:top w:val="single" w:sz="4" w:space="0" w:color="auto"/>
              <w:left w:val="single" w:sz="4" w:space="0" w:color="auto"/>
              <w:bottom w:val="single" w:sz="4" w:space="0" w:color="auto"/>
              <w:right w:val="nil"/>
            </w:tcBorders>
            <w:shd w:val="clear" w:color="auto" w:fill="C6D9F1"/>
            <w:tcMar>
              <w:top w:w="0" w:type="dxa"/>
              <w:left w:w="28" w:type="dxa"/>
              <w:bottom w:w="0" w:type="dxa"/>
              <w:right w:w="28" w:type="dxa"/>
            </w:tcMar>
            <w:vAlign w:val="center"/>
          </w:tcPr>
          <w:p w:rsidR="00AE047F" w:rsidRPr="00641C40" w:rsidRDefault="00AE047F" w:rsidP="00777306">
            <w:pPr>
              <w:spacing w:line="276" w:lineRule="auto"/>
              <w:jc w:val="center"/>
              <w:rPr>
                <w:rFonts w:ascii="Calibri" w:hAnsi="Calibri"/>
                <w:b/>
                <w:color w:val="000000"/>
                <w:szCs w:val="20"/>
                <w:lang w:val="es-ES_tradnl"/>
              </w:rPr>
            </w:pPr>
            <w:r w:rsidRPr="00641C40">
              <w:rPr>
                <w:rFonts w:ascii="Calibri" w:hAnsi="Calibri"/>
                <w:b/>
                <w:color w:val="000000"/>
                <w:szCs w:val="20"/>
                <w:lang w:val="es-ES_tradnl"/>
              </w:rPr>
              <w:t>N</w:t>
            </w:r>
          </w:p>
        </w:tc>
        <w:tc>
          <w:tcPr>
            <w:tcW w:w="885" w:type="dxa"/>
            <w:tcBorders>
              <w:top w:val="single" w:sz="4" w:space="0" w:color="auto"/>
              <w:left w:val="nil"/>
              <w:bottom w:val="single" w:sz="4" w:space="0" w:color="auto"/>
              <w:right w:val="nil"/>
            </w:tcBorders>
            <w:shd w:val="clear" w:color="auto" w:fill="C6D9F1"/>
            <w:tcMar>
              <w:top w:w="0" w:type="dxa"/>
              <w:left w:w="28" w:type="dxa"/>
              <w:bottom w:w="0" w:type="dxa"/>
              <w:right w:w="28" w:type="dxa"/>
            </w:tcMar>
            <w:vAlign w:val="center"/>
          </w:tcPr>
          <w:p w:rsidR="00AE047F" w:rsidRPr="00641C40" w:rsidRDefault="00AE047F" w:rsidP="00777306">
            <w:pPr>
              <w:spacing w:line="276" w:lineRule="auto"/>
              <w:jc w:val="center"/>
              <w:rPr>
                <w:rFonts w:ascii="Calibri" w:hAnsi="Calibri"/>
                <w:b/>
                <w:color w:val="000000"/>
                <w:szCs w:val="20"/>
                <w:lang w:val="es-ES_tradnl"/>
              </w:rPr>
            </w:pPr>
            <w:r w:rsidRPr="00641C40">
              <w:rPr>
                <w:rFonts w:ascii="Calibri" w:hAnsi="Calibri"/>
                <w:b/>
                <w:color w:val="000000"/>
                <w:szCs w:val="20"/>
                <w:lang w:val="es-ES_tradnl"/>
              </w:rPr>
              <w:t>%</w:t>
            </w:r>
          </w:p>
        </w:tc>
        <w:tc>
          <w:tcPr>
            <w:tcW w:w="916" w:type="dxa"/>
            <w:tcBorders>
              <w:top w:val="single" w:sz="4" w:space="0" w:color="auto"/>
              <w:left w:val="single" w:sz="4" w:space="0" w:color="auto"/>
              <w:bottom w:val="single" w:sz="4" w:space="0" w:color="auto"/>
              <w:right w:val="nil"/>
            </w:tcBorders>
            <w:shd w:val="clear" w:color="auto" w:fill="C6D9F1"/>
            <w:tcMar>
              <w:top w:w="0" w:type="dxa"/>
              <w:left w:w="28" w:type="dxa"/>
              <w:bottom w:w="0" w:type="dxa"/>
              <w:right w:w="28" w:type="dxa"/>
            </w:tcMar>
            <w:vAlign w:val="center"/>
          </w:tcPr>
          <w:p w:rsidR="00AE047F" w:rsidRPr="00641C40" w:rsidRDefault="00AE047F" w:rsidP="00777306">
            <w:pPr>
              <w:spacing w:line="276" w:lineRule="auto"/>
              <w:jc w:val="center"/>
              <w:rPr>
                <w:rFonts w:ascii="Calibri" w:hAnsi="Calibri"/>
                <w:b/>
                <w:color w:val="000000"/>
                <w:szCs w:val="20"/>
                <w:lang w:val="es-ES_tradnl"/>
              </w:rPr>
            </w:pPr>
            <w:r w:rsidRPr="00641C40">
              <w:rPr>
                <w:rFonts w:ascii="Calibri" w:hAnsi="Calibri"/>
                <w:b/>
                <w:color w:val="000000"/>
                <w:szCs w:val="20"/>
                <w:lang w:val="es-ES_tradnl"/>
              </w:rPr>
              <w:t>n</w:t>
            </w:r>
          </w:p>
        </w:tc>
        <w:tc>
          <w:tcPr>
            <w:tcW w:w="809" w:type="dxa"/>
            <w:tcBorders>
              <w:top w:val="single" w:sz="4" w:space="0" w:color="auto"/>
              <w:left w:val="nil"/>
              <w:bottom w:val="single" w:sz="4" w:space="0" w:color="auto"/>
              <w:right w:val="nil"/>
            </w:tcBorders>
            <w:shd w:val="clear" w:color="auto" w:fill="C6D9F1"/>
            <w:tcMar>
              <w:top w:w="0" w:type="dxa"/>
              <w:left w:w="28" w:type="dxa"/>
              <w:bottom w:w="0" w:type="dxa"/>
              <w:right w:w="28" w:type="dxa"/>
            </w:tcMar>
            <w:vAlign w:val="center"/>
          </w:tcPr>
          <w:p w:rsidR="00AE047F" w:rsidRPr="00641C40" w:rsidRDefault="00AE047F" w:rsidP="00777306">
            <w:pPr>
              <w:spacing w:line="276" w:lineRule="auto"/>
              <w:jc w:val="center"/>
              <w:rPr>
                <w:rFonts w:ascii="Calibri" w:hAnsi="Calibri"/>
                <w:b/>
                <w:color w:val="000000"/>
                <w:szCs w:val="20"/>
                <w:lang w:val="es-ES_tradnl"/>
              </w:rPr>
            </w:pPr>
            <w:r w:rsidRPr="00641C40">
              <w:rPr>
                <w:rFonts w:ascii="Calibri" w:hAnsi="Calibri"/>
                <w:b/>
                <w:color w:val="000000"/>
                <w:szCs w:val="20"/>
                <w:lang w:val="es-ES_tradnl"/>
              </w:rPr>
              <w:t>%</w:t>
            </w:r>
          </w:p>
        </w:tc>
        <w:tc>
          <w:tcPr>
            <w:tcW w:w="810" w:type="dxa"/>
            <w:tcBorders>
              <w:top w:val="single" w:sz="4" w:space="0" w:color="auto"/>
              <w:left w:val="single" w:sz="4" w:space="0" w:color="auto"/>
              <w:bottom w:val="single" w:sz="4" w:space="0" w:color="auto"/>
              <w:right w:val="nil"/>
            </w:tcBorders>
            <w:shd w:val="clear" w:color="auto" w:fill="C6D9F1"/>
            <w:tcMar>
              <w:top w:w="0" w:type="dxa"/>
              <w:left w:w="28" w:type="dxa"/>
              <w:bottom w:w="0" w:type="dxa"/>
              <w:right w:w="28" w:type="dxa"/>
            </w:tcMar>
            <w:vAlign w:val="center"/>
          </w:tcPr>
          <w:p w:rsidR="00AE047F" w:rsidRPr="00641C40" w:rsidRDefault="00AE047F" w:rsidP="00777306">
            <w:pPr>
              <w:spacing w:line="276" w:lineRule="auto"/>
              <w:jc w:val="center"/>
              <w:rPr>
                <w:rFonts w:ascii="Calibri" w:hAnsi="Calibri"/>
                <w:b/>
                <w:color w:val="000000"/>
                <w:szCs w:val="20"/>
                <w:lang w:val="es-ES_tradnl"/>
              </w:rPr>
            </w:pPr>
            <w:r w:rsidRPr="00641C40">
              <w:rPr>
                <w:rFonts w:ascii="Calibri" w:hAnsi="Calibri"/>
                <w:b/>
                <w:color w:val="000000"/>
                <w:szCs w:val="20"/>
                <w:lang w:val="es-ES_tradnl"/>
              </w:rPr>
              <w:t>n</w:t>
            </w:r>
          </w:p>
        </w:tc>
        <w:tc>
          <w:tcPr>
            <w:tcW w:w="977" w:type="dxa"/>
            <w:tcBorders>
              <w:top w:val="single" w:sz="4" w:space="0" w:color="auto"/>
              <w:left w:val="nil"/>
              <w:bottom w:val="single" w:sz="4" w:space="0" w:color="auto"/>
              <w:right w:val="single" w:sz="4" w:space="0" w:color="auto"/>
            </w:tcBorders>
            <w:shd w:val="clear" w:color="auto" w:fill="C6D9F1"/>
            <w:tcMar>
              <w:top w:w="0" w:type="dxa"/>
              <w:left w:w="28" w:type="dxa"/>
              <w:bottom w:w="0" w:type="dxa"/>
              <w:right w:w="28" w:type="dxa"/>
            </w:tcMar>
            <w:vAlign w:val="center"/>
          </w:tcPr>
          <w:p w:rsidR="00AE047F" w:rsidRPr="00641C40" w:rsidRDefault="00AE047F" w:rsidP="00777306">
            <w:pPr>
              <w:spacing w:line="276" w:lineRule="auto"/>
              <w:jc w:val="center"/>
              <w:rPr>
                <w:rFonts w:ascii="Calibri" w:hAnsi="Calibri"/>
                <w:b/>
                <w:color w:val="000000"/>
                <w:szCs w:val="20"/>
                <w:lang w:val="es-ES_tradnl"/>
              </w:rPr>
            </w:pPr>
            <w:r w:rsidRPr="00641C40">
              <w:rPr>
                <w:rFonts w:ascii="Calibri" w:hAnsi="Calibri"/>
                <w:b/>
                <w:color w:val="000000"/>
                <w:szCs w:val="20"/>
                <w:lang w:val="es-ES_tradnl"/>
              </w:rPr>
              <w:t>%</w:t>
            </w:r>
          </w:p>
        </w:tc>
      </w:tr>
      <w:tr w:rsidR="009571FA" w:rsidTr="00777306">
        <w:trPr>
          <w:trHeight w:val="314"/>
          <w:jc w:val="center"/>
        </w:trPr>
        <w:tc>
          <w:tcPr>
            <w:tcW w:w="2134" w:type="dxa"/>
            <w:tcBorders>
              <w:top w:val="single" w:sz="4" w:space="0" w:color="auto"/>
              <w:left w:val="single" w:sz="4" w:space="0" w:color="auto"/>
              <w:bottom w:val="single" w:sz="4" w:space="0" w:color="auto"/>
              <w:right w:val="single" w:sz="4" w:space="0" w:color="auto"/>
            </w:tcBorders>
            <w:shd w:val="clear" w:color="auto" w:fill="EAF1DD"/>
            <w:tcMar>
              <w:top w:w="0" w:type="dxa"/>
              <w:left w:w="28" w:type="dxa"/>
              <w:bottom w:w="0" w:type="dxa"/>
              <w:right w:w="28" w:type="dxa"/>
            </w:tcMar>
            <w:vAlign w:val="center"/>
          </w:tcPr>
          <w:p w:rsidR="009571FA" w:rsidRPr="00641C40" w:rsidRDefault="009571FA" w:rsidP="00777306">
            <w:pPr>
              <w:tabs>
                <w:tab w:val="left" w:pos="253"/>
              </w:tabs>
              <w:spacing w:line="276" w:lineRule="auto"/>
              <w:rPr>
                <w:rFonts w:ascii="Calibri" w:hAnsi="Calibri"/>
                <w:b/>
                <w:szCs w:val="20"/>
              </w:rPr>
            </w:pPr>
            <w:r w:rsidRPr="00641C40">
              <w:rPr>
                <w:rFonts w:ascii="Calibri" w:hAnsi="Calibri"/>
                <w:b/>
                <w:szCs w:val="20"/>
              </w:rPr>
              <w:t>WHO planners sample</w:t>
            </w:r>
          </w:p>
        </w:tc>
        <w:tc>
          <w:tcPr>
            <w:tcW w:w="578" w:type="dxa"/>
            <w:tcBorders>
              <w:top w:val="single" w:sz="4" w:space="0" w:color="auto"/>
              <w:left w:val="single" w:sz="4" w:space="0" w:color="auto"/>
              <w:bottom w:val="single" w:sz="4" w:space="0" w:color="auto"/>
              <w:right w:val="single" w:sz="4" w:space="0" w:color="auto"/>
            </w:tcBorders>
            <w:shd w:val="clear" w:color="auto" w:fill="EAF1DD"/>
            <w:tcMar>
              <w:top w:w="0" w:type="dxa"/>
              <w:left w:w="28" w:type="dxa"/>
              <w:bottom w:w="0" w:type="dxa"/>
              <w:right w:w="28" w:type="dxa"/>
            </w:tcMar>
            <w:vAlign w:val="center"/>
          </w:tcPr>
          <w:p w:rsidR="009571FA" w:rsidRPr="00641C40" w:rsidRDefault="009571FA" w:rsidP="00777306">
            <w:pPr>
              <w:tabs>
                <w:tab w:val="left" w:pos="253"/>
              </w:tabs>
              <w:spacing w:line="276" w:lineRule="auto"/>
              <w:jc w:val="center"/>
              <w:rPr>
                <w:rFonts w:ascii="Calibri" w:hAnsi="Calibri"/>
                <w:szCs w:val="20"/>
                <w:lang w:val="es-ES_tradnl"/>
              </w:rPr>
            </w:pPr>
            <w:r w:rsidRPr="00641C40">
              <w:rPr>
                <w:rFonts w:ascii="Calibri" w:hAnsi="Calibri"/>
                <w:szCs w:val="20"/>
                <w:lang w:val="es-ES_tradnl"/>
              </w:rPr>
              <w:t>127</w:t>
            </w:r>
          </w:p>
        </w:tc>
        <w:tc>
          <w:tcPr>
            <w:tcW w:w="785" w:type="dxa"/>
            <w:tcBorders>
              <w:top w:val="single" w:sz="4" w:space="0" w:color="auto"/>
              <w:left w:val="single" w:sz="4" w:space="0" w:color="auto"/>
              <w:bottom w:val="single" w:sz="4" w:space="0" w:color="auto"/>
              <w:right w:val="nil"/>
            </w:tcBorders>
            <w:shd w:val="clear" w:color="auto" w:fill="EAF1DD"/>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s-ES_tradnl"/>
              </w:rPr>
            </w:pPr>
            <w:r w:rsidRPr="00641C40">
              <w:rPr>
                <w:rFonts w:ascii="Calibri" w:hAnsi="Calibri"/>
                <w:szCs w:val="20"/>
                <w:lang w:val="es-ES_tradnl"/>
              </w:rPr>
              <w:t>87</w:t>
            </w:r>
          </w:p>
        </w:tc>
        <w:tc>
          <w:tcPr>
            <w:tcW w:w="885" w:type="dxa"/>
            <w:tcBorders>
              <w:top w:val="single" w:sz="4" w:space="0" w:color="auto"/>
              <w:left w:val="nil"/>
              <w:bottom w:val="single" w:sz="4" w:space="0" w:color="auto"/>
              <w:right w:val="nil"/>
            </w:tcBorders>
            <w:shd w:val="clear" w:color="auto" w:fill="EAF1DD"/>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s-ES_tradnl"/>
              </w:rPr>
            </w:pPr>
            <w:r w:rsidRPr="00641C40">
              <w:rPr>
                <w:rFonts w:ascii="Calibri" w:hAnsi="Calibri"/>
                <w:szCs w:val="20"/>
                <w:lang w:val="es-ES_tradnl"/>
              </w:rPr>
              <w:t>68.5</w:t>
            </w:r>
          </w:p>
        </w:tc>
        <w:tc>
          <w:tcPr>
            <w:tcW w:w="916" w:type="dxa"/>
            <w:tcBorders>
              <w:top w:val="single" w:sz="4" w:space="0" w:color="auto"/>
              <w:left w:val="single" w:sz="4" w:space="0" w:color="auto"/>
              <w:bottom w:val="single" w:sz="4" w:space="0" w:color="auto"/>
              <w:right w:val="nil"/>
            </w:tcBorders>
            <w:shd w:val="clear" w:color="auto" w:fill="EAF1DD"/>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s-ES_tradnl"/>
              </w:rPr>
            </w:pPr>
            <w:r w:rsidRPr="00641C40">
              <w:rPr>
                <w:rFonts w:ascii="Calibri" w:hAnsi="Calibri"/>
                <w:szCs w:val="20"/>
                <w:lang w:val="es-ES_tradnl"/>
              </w:rPr>
              <w:t>38</w:t>
            </w:r>
          </w:p>
        </w:tc>
        <w:tc>
          <w:tcPr>
            <w:tcW w:w="809" w:type="dxa"/>
            <w:tcBorders>
              <w:top w:val="single" w:sz="4" w:space="0" w:color="auto"/>
              <w:left w:val="nil"/>
              <w:bottom w:val="single" w:sz="4" w:space="0" w:color="auto"/>
              <w:right w:val="nil"/>
            </w:tcBorders>
            <w:shd w:val="clear" w:color="auto" w:fill="EAF1DD"/>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s-ES_tradnl"/>
              </w:rPr>
            </w:pPr>
            <w:r w:rsidRPr="00641C40">
              <w:rPr>
                <w:rFonts w:ascii="Calibri" w:hAnsi="Calibri"/>
                <w:szCs w:val="20"/>
                <w:lang w:val="es-ES_tradnl"/>
              </w:rPr>
              <w:t>29.9</w:t>
            </w:r>
          </w:p>
        </w:tc>
        <w:tc>
          <w:tcPr>
            <w:tcW w:w="810" w:type="dxa"/>
            <w:tcBorders>
              <w:top w:val="single" w:sz="4" w:space="0" w:color="auto"/>
              <w:left w:val="single" w:sz="4" w:space="0" w:color="auto"/>
              <w:bottom w:val="single" w:sz="4" w:space="0" w:color="auto"/>
              <w:right w:val="nil"/>
            </w:tcBorders>
            <w:shd w:val="clear" w:color="auto" w:fill="EAF1DD"/>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s-ES_tradnl"/>
              </w:rPr>
            </w:pPr>
            <w:r w:rsidRPr="00641C40">
              <w:rPr>
                <w:rFonts w:ascii="Calibri" w:hAnsi="Calibri"/>
                <w:szCs w:val="20"/>
                <w:lang w:val="es-ES_tradnl"/>
              </w:rPr>
              <w:t>2</w:t>
            </w:r>
          </w:p>
        </w:tc>
        <w:tc>
          <w:tcPr>
            <w:tcW w:w="977" w:type="dxa"/>
            <w:tcBorders>
              <w:top w:val="single" w:sz="4" w:space="0" w:color="auto"/>
              <w:left w:val="nil"/>
              <w:bottom w:val="single" w:sz="4" w:space="0" w:color="auto"/>
              <w:right w:val="single" w:sz="4" w:space="0" w:color="auto"/>
            </w:tcBorders>
            <w:shd w:val="clear" w:color="auto" w:fill="EAF1DD"/>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s-ES_tradnl"/>
              </w:rPr>
            </w:pPr>
            <w:r w:rsidRPr="00641C40">
              <w:rPr>
                <w:rFonts w:ascii="Calibri" w:hAnsi="Calibri"/>
                <w:szCs w:val="20"/>
                <w:lang w:val="es-ES_tradnl"/>
              </w:rPr>
              <w:t>1.6</w:t>
            </w:r>
          </w:p>
        </w:tc>
      </w:tr>
      <w:tr w:rsidR="009571FA" w:rsidTr="00777306">
        <w:trPr>
          <w:trHeight w:val="314"/>
          <w:jc w:val="center"/>
        </w:trPr>
        <w:tc>
          <w:tcPr>
            <w:tcW w:w="2134" w:type="dxa"/>
            <w:tcBorders>
              <w:top w:val="single" w:sz="4" w:space="0" w:color="auto"/>
              <w:left w:val="single" w:sz="4" w:space="0" w:color="auto"/>
              <w:bottom w:val="single" w:sz="4" w:space="0" w:color="auto"/>
              <w:right w:val="single" w:sz="4" w:space="0" w:color="auto"/>
            </w:tcBorders>
            <w:shd w:val="clear" w:color="auto" w:fill="DBE5F1"/>
            <w:tcMar>
              <w:top w:w="0" w:type="dxa"/>
              <w:left w:w="28" w:type="dxa"/>
              <w:bottom w:w="0" w:type="dxa"/>
              <w:right w:w="28" w:type="dxa"/>
            </w:tcMar>
            <w:vAlign w:val="center"/>
          </w:tcPr>
          <w:p w:rsidR="009571FA" w:rsidRPr="00641C40" w:rsidRDefault="009571FA" w:rsidP="00777306">
            <w:pPr>
              <w:tabs>
                <w:tab w:val="left" w:pos="253"/>
              </w:tabs>
              <w:spacing w:line="276" w:lineRule="auto"/>
              <w:rPr>
                <w:rFonts w:ascii="Calibri" w:hAnsi="Calibri"/>
                <w:b/>
                <w:szCs w:val="20"/>
                <w:lang w:val="es-ES_tradnl"/>
              </w:rPr>
            </w:pPr>
            <w:r w:rsidRPr="00641C40">
              <w:rPr>
                <w:rFonts w:ascii="Calibri" w:hAnsi="Calibri"/>
                <w:b/>
                <w:szCs w:val="20"/>
                <w:lang w:val="es-ES_tradnl"/>
              </w:rPr>
              <w:t>PAHO planners sample</w:t>
            </w:r>
          </w:p>
        </w:tc>
        <w:tc>
          <w:tcPr>
            <w:tcW w:w="578" w:type="dxa"/>
            <w:tcBorders>
              <w:top w:val="single" w:sz="4" w:space="0" w:color="auto"/>
              <w:left w:val="single" w:sz="4" w:space="0" w:color="auto"/>
              <w:bottom w:val="single" w:sz="4" w:space="0" w:color="auto"/>
              <w:right w:val="single" w:sz="4" w:space="0" w:color="auto"/>
            </w:tcBorders>
            <w:shd w:val="clear" w:color="auto" w:fill="DBE5F1"/>
            <w:tcMar>
              <w:top w:w="0" w:type="dxa"/>
              <w:left w:w="28" w:type="dxa"/>
              <w:bottom w:w="0" w:type="dxa"/>
              <w:right w:w="28" w:type="dxa"/>
            </w:tcMar>
            <w:vAlign w:val="center"/>
          </w:tcPr>
          <w:p w:rsidR="009571FA" w:rsidRPr="00641C40" w:rsidRDefault="009571FA" w:rsidP="00777306">
            <w:pPr>
              <w:tabs>
                <w:tab w:val="left" w:pos="253"/>
              </w:tabs>
              <w:spacing w:line="276" w:lineRule="auto"/>
              <w:jc w:val="center"/>
              <w:rPr>
                <w:rFonts w:ascii="Calibri" w:hAnsi="Calibri"/>
                <w:szCs w:val="20"/>
                <w:lang w:val="es-ES_tradnl"/>
              </w:rPr>
            </w:pPr>
            <w:r w:rsidRPr="00641C40">
              <w:rPr>
                <w:rFonts w:ascii="Calibri" w:hAnsi="Calibri"/>
                <w:szCs w:val="20"/>
                <w:lang w:val="es-ES_tradnl"/>
              </w:rPr>
              <w:t>16*</w:t>
            </w:r>
          </w:p>
        </w:tc>
        <w:tc>
          <w:tcPr>
            <w:tcW w:w="785" w:type="dxa"/>
            <w:tcBorders>
              <w:top w:val="single" w:sz="4" w:space="0" w:color="auto"/>
              <w:left w:val="single" w:sz="4" w:space="0" w:color="auto"/>
              <w:bottom w:val="single" w:sz="4" w:space="0" w:color="auto"/>
              <w:right w:val="nil"/>
            </w:tcBorders>
            <w:shd w:val="clear" w:color="auto" w:fill="DBE5F1"/>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s-ES_tradnl"/>
              </w:rPr>
            </w:pPr>
            <w:r w:rsidRPr="00641C40">
              <w:rPr>
                <w:rFonts w:ascii="Calibri" w:hAnsi="Calibri"/>
                <w:szCs w:val="20"/>
                <w:lang w:val="es-ES_tradnl"/>
              </w:rPr>
              <w:t>13</w:t>
            </w:r>
          </w:p>
        </w:tc>
        <w:tc>
          <w:tcPr>
            <w:tcW w:w="885" w:type="dxa"/>
            <w:tcBorders>
              <w:top w:val="single" w:sz="4" w:space="0" w:color="auto"/>
              <w:left w:val="nil"/>
              <w:bottom w:val="single" w:sz="4" w:space="0" w:color="auto"/>
              <w:right w:val="nil"/>
            </w:tcBorders>
            <w:shd w:val="clear" w:color="auto" w:fill="DBE5F1"/>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s-ES_tradnl"/>
              </w:rPr>
            </w:pPr>
            <w:r w:rsidRPr="00641C40">
              <w:rPr>
                <w:rFonts w:ascii="Calibri" w:hAnsi="Calibri"/>
                <w:szCs w:val="20"/>
                <w:lang w:val="es-ES_tradnl"/>
              </w:rPr>
              <w:t>81.3</w:t>
            </w:r>
          </w:p>
        </w:tc>
        <w:tc>
          <w:tcPr>
            <w:tcW w:w="916" w:type="dxa"/>
            <w:tcBorders>
              <w:top w:val="single" w:sz="4" w:space="0" w:color="auto"/>
              <w:left w:val="single" w:sz="4" w:space="0" w:color="auto"/>
              <w:bottom w:val="single" w:sz="4" w:space="0" w:color="auto"/>
              <w:right w:val="nil"/>
            </w:tcBorders>
            <w:shd w:val="clear" w:color="auto" w:fill="DBE5F1"/>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s-ES_tradnl"/>
              </w:rPr>
            </w:pPr>
            <w:r w:rsidRPr="00641C40">
              <w:rPr>
                <w:rFonts w:ascii="Calibri" w:hAnsi="Calibri"/>
                <w:szCs w:val="20"/>
                <w:lang w:val="es-ES_tradnl"/>
              </w:rPr>
              <w:t>3</w:t>
            </w:r>
          </w:p>
        </w:tc>
        <w:tc>
          <w:tcPr>
            <w:tcW w:w="809" w:type="dxa"/>
            <w:tcBorders>
              <w:top w:val="single" w:sz="4" w:space="0" w:color="auto"/>
              <w:left w:val="nil"/>
              <w:bottom w:val="single" w:sz="4" w:space="0" w:color="auto"/>
              <w:right w:val="nil"/>
            </w:tcBorders>
            <w:shd w:val="clear" w:color="auto" w:fill="DBE5F1"/>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s-ES_tradnl"/>
              </w:rPr>
            </w:pPr>
            <w:r w:rsidRPr="00641C40">
              <w:rPr>
                <w:rFonts w:ascii="Calibri" w:hAnsi="Calibri"/>
                <w:szCs w:val="20"/>
                <w:lang w:val="es-ES_tradnl"/>
              </w:rPr>
              <w:t>18.7</w:t>
            </w:r>
          </w:p>
        </w:tc>
        <w:tc>
          <w:tcPr>
            <w:tcW w:w="810" w:type="dxa"/>
            <w:tcBorders>
              <w:top w:val="single" w:sz="4" w:space="0" w:color="auto"/>
              <w:left w:val="single" w:sz="4" w:space="0" w:color="auto"/>
              <w:bottom w:val="single" w:sz="4" w:space="0" w:color="auto"/>
              <w:right w:val="nil"/>
            </w:tcBorders>
            <w:shd w:val="clear" w:color="auto" w:fill="DBE5F1"/>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s-ES_tradnl"/>
              </w:rPr>
            </w:pPr>
            <w:r w:rsidRPr="00641C40">
              <w:rPr>
                <w:rFonts w:ascii="Calibri" w:hAnsi="Calibri"/>
                <w:szCs w:val="20"/>
                <w:lang w:val="es-ES_tradnl"/>
              </w:rPr>
              <w:t>0</w:t>
            </w:r>
          </w:p>
        </w:tc>
        <w:tc>
          <w:tcPr>
            <w:tcW w:w="977" w:type="dxa"/>
            <w:tcBorders>
              <w:top w:val="single" w:sz="4" w:space="0" w:color="auto"/>
              <w:left w:val="nil"/>
              <w:bottom w:val="single" w:sz="4" w:space="0" w:color="auto"/>
              <w:right w:val="single" w:sz="4" w:space="0" w:color="auto"/>
            </w:tcBorders>
            <w:shd w:val="clear" w:color="auto" w:fill="DBE5F1"/>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s-ES_tradnl"/>
              </w:rPr>
            </w:pPr>
            <w:r w:rsidRPr="00641C40">
              <w:rPr>
                <w:rFonts w:ascii="Calibri" w:hAnsi="Calibri"/>
                <w:szCs w:val="20"/>
                <w:lang w:val="es-ES_tradnl"/>
              </w:rPr>
              <w:t>0.0</w:t>
            </w:r>
          </w:p>
        </w:tc>
      </w:tr>
      <w:tr w:rsidR="009571FA" w:rsidTr="00777306">
        <w:trPr>
          <w:trHeight w:val="314"/>
          <w:jc w:val="center"/>
        </w:trPr>
        <w:tc>
          <w:tcPr>
            <w:tcW w:w="2134" w:type="dxa"/>
            <w:tcBorders>
              <w:top w:val="single" w:sz="4" w:space="0" w:color="auto"/>
              <w:left w:val="single" w:sz="4" w:space="0" w:color="auto"/>
              <w:bottom w:val="single" w:sz="4" w:space="0" w:color="auto"/>
              <w:right w:val="single" w:sz="4" w:space="0" w:color="auto"/>
            </w:tcBorders>
            <w:shd w:val="clear" w:color="auto" w:fill="DBE5F1"/>
            <w:tcMar>
              <w:top w:w="0" w:type="dxa"/>
              <w:left w:w="28" w:type="dxa"/>
              <w:bottom w:w="0" w:type="dxa"/>
              <w:right w:w="28" w:type="dxa"/>
            </w:tcMar>
            <w:vAlign w:val="center"/>
          </w:tcPr>
          <w:p w:rsidR="009571FA" w:rsidRPr="00641C40" w:rsidRDefault="009571FA" w:rsidP="00777306">
            <w:pPr>
              <w:tabs>
                <w:tab w:val="left" w:pos="253"/>
              </w:tabs>
              <w:spacing w:line="276" w:lineRule="auto"/>
              <w:rPr>
                <w:rFonts w:ascii="Calibri" w:hAnsi="Calibri"/>
                <w:b/>
                <w:szCs w:val="20"/>
                <w:lang w:val="es-ES_tradnl"/>
              </w:rPr>
            </w:pPr>
            <w:r w:rsidRPr="00641C40">
              <w:rPr>
                <w:rFonts w:ascii="Calibri" w:hAnsi="Calibri"/>
                <w:b/>
                <w:szCs w:val="20"/>
                <w:lang w:val="es-ES_tradnl"/>
              </w:rPr>
              <w:t>By Sex</w:t>
            </w:r>
          </w:p>
        </w:tc>
        <w:tc>
          <w:tcPr>
            <w:tcW w:w="578" w:type="dxa"/>
            <w:tcBorders>
              <w:top w:val="single" w:sz="4" w:space="0" w:color="auto"/>
              <w:left w:val="single" w:sz="4" w:space="0" w:color="auto"/>
              <w:bottom w:val="single" w:sz="4" w:space="0" w:color="auto"/>
              <w:right w:val="single" w:sz="4" w:space="0" w:color="auto"/>
            </w:tcBorders>
            <w:shd w:val="clear" w:color="auto" w:fill="DBE5F1"/>
            <w:tcMar>
              <w:top w:w="0" w:type="dxa"/>
              <w:left w:w="28" w:type="dxa"/>
              <w:bottom w:w="0" w:type="dxa"/>
              <w:right w:w="28" w:type="dxa"/>
            </w:tcMar>
            <w:vAlign w:val="center"/>
          </w:tcPr>
          <w:p w:rsidR="009571FA" w:rsidRPr="00641C40" w:rsidRDefault="009571FA" w:rsidP="00777306">
            <w:pPr>
              <w:tabs>
                <w:tab w:val="left" w:pos="253"/>
              </w:tabs>
              <w:spacing w:line="276" w:lineRule="auto"/>
              <w:jc w:val="center"/>
              <w:rPr>
                <w:rFonts w:ascii="Calibri" w:hAnsi="Calibri"/>
                <w:szCs w:val="20"/>
                <w:lang w:val="es-ES_tradnl"/>
              </w:rPr>
            </w:pPr>
          </w:p>
        </w:tc>
        <w:tc>
          <w:tcPr>
            <w:tcW w:w="785" w:type="dxa"/>
            <w:tcBorders>
              <w:top w:val="single" w:sz="4" w:space="0" w:color="auto"/>
              <w:left w:val="single" w:sz="4" w:space="0" w:color="auto"/>
              <w:bottom w:val="single" w:sz="4" w:space="0" w:color="auto"/>
              <w:right w:val="nil"/>
            </w:tcBorders>
            <w:shd w:val="clear" w:color="auto" w:fill="DBE5F1"/>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s-ES_tradnl"/>
              </w:rPr>
            </w:pPr>
          </w:p>
        </w:tc>
        <w:tc>
          <w:tcPr>
            <w:tcW w:w="885" w:type="dxa"/>
            <w:tcBorders>
              <w:top w:val="single" w:sz="4" w:space="0" w:color="auto"/>
              <w:left w:val="nil"/>
              <w:bottom w:val="single" w:sz="4" w:space="0" w:color="auto"/>
              <w:right w:val="nil"/>
            </w:tcBorders>
            <w:shd w:val="clear" w:color="auto" w:fill="DBE5F1"/>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s-ES_tradnl"/>
              </w:rPr>
            </w:pPr>
          </w:p>
        </w:tc>
        <w:tc>
          <w:tcPr>
            <w:tcW w:w="916" w:type="dxa"/>
            <w:tcBorders>
              <w:top w:val="single" w:sz="4" w:space="0" w:color="auto"/>
              <w:left w:val="single" w:sz="4" w:space="0" w:color="auto"/>
              <w:bottom w:val="single" w:sz="4" w:space="0" w:color="auto"/>
              <w:right w:val="nil"/>
            </w:tcBorders>
            <w:shd w:val="clear" w:color="auto" w:fill="DBE5F1"/>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s-ES_tradnl"/>
              </w:rPr>
            </w:pPr>
          </w:p>
        </w:tc>
        <w:tc>
          <w:tcPr>
            <w:tcW w:w="809" w:type="dxa"/>
            <w:tcBorders>
              <w:top w:val="single" w:sz="4" w:space="0" w:color="auto"/>
              <w:left w:val="nil"/>
              <w:bottom w:val="single" w:sz="4" w:space="0" w:color="auto"/>
              <w:right w:val="nil"/>
            </w:tcBorders>
            <w:shd w:val="clear" w:color="auto" w:fill="DBE5F1"/>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s-ES_tradnl"/>
              </w:rPr>
            </w:pPr>
          </w:p>
        </w:tc>
        <w:tc>
          <w:tcPr>
            <w:tcW w:w="810" w:type="dxa"/>
            <w:tcBorders>
              <w:top w:val="single" w:sz="4" w:space="0" w:color="auto"/>
              <w:left w:val="single" w:sz="4" w:space="0" w:color="auto"/>
              <w:bottom w:val="single" w:sz="4" w:space="0" w:color="auto"/>
              <w:right w:val="nil"/>
            </w:tcBorders>
            <w:shd w:val="clear" w:color="auto" w:fill="DBE5F1"/>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s-ES_tradnl"/>
              </w:rPr>
            </w:pPr>
          </w:p>
        </w:tc>
        <w:tc>
          <w:tcPr>
            <w:tcW w:w="977" w:type="dxa"/>
            <w:tcBorders>
              <w:top w:val="single" w:sz="4" w:space="0" w:color="auto"/>
              <w:left w:val="nil"/>
              <w:bottom w:val="single" w:sz="4" w:space="0" w:color="auto"/>
              <w:right w:val="single" w:sz="4" w:space="0" w:color="auto"/>
            </w:tcBorders>
            <w:shd w:val="clear" w:color="auto" w:fill="DBE5F1"/>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s-ES_tradnl"/>
              </w:rPr>
            </w:pPr>
          </w:p>
        </w:tc>
      </w:tr>
      <w:tr w:rsidR="009571FA" w:rsidTr="00777306">
        <w:trPr>
          <w:trHeight w:val="314"/>
          <w:jc w:val="center"/>
        </w:trPr>
        <w:tc>
          <w:tcPr>
            <w:tcW w:w="2134" w:type="dxa"/>
            <w:tcBorders>
              <w:top w:val="single" w:sz="4" w:space="0" w:color="auto"/>
              <w:left w:val="single" w:sz="4" w:space="0" w:color="auto"/>
              <w:bottom w:val="single" w:sz="4" w:space="0" w:color="BFBFBF"/>
              <w:right w:val="single" w:sz="4" w:space="0" w:color="auto"/>
            </w:tcBorders>
            <w:tcMar>
              <w:top w:w="0" w:type="dxa"/>
              <w:left w:w="28" w:type="dxa"/>
              <w:bottom w:w="0" w:type="dxa"/>
              <w:right w:w="28" w:type="dxa"/>
            </w:tcMar>
            <w:vAlign w:val="center"/>
          </w:tcPr>
          <w:p w:rsidR="009571FA" w:rsidRPr="00641C40" w:rsidRDefault="009571FA" w:rsidP="00777306">
            <w:pPr>
              <w:tabs>
                <w:tab w:val="left" w:pos="253"/>
              </w:tabs>
              <w:spacing w:line="276" w:lineRule="auto"/>
              <w:rPr>
                <w:rFonts w:ascii="Calibri" w:hAnsi="Calibri"/>
                <w:szCs w:val="20"/>
                <w:lang w:val="es-ES_tradnl"/>
              </w:rPr>
            </w:pPr>
            <w:r w:rsidRPr="00641C40">
              <w:rPr>
                <w:rFonts w:ascii="Calibri" w:hAnsi="Calibri"/>
                <w:szCs w:val="20"/>
                <w:lang w:val="es-ES_tradnl"/>
              </w:rPr>
              <w:tab/>
              <w:t>Female Staff</w:t>
            </w:r>
          </w:p>
        </w:tc>
        <w:tc>
          <w:tcPr>
            <w:tcW w:w="578" w:type="dxa"/>
            <w:tcBorders>
              <w:top w:val="single" w:sz="4" w:space="0" w:color="auto"/>
              <w:left w:val="single" w:sz="4" w:space="0" w:color="auto"/>
              <w:bottom w:val="single" w:sz="4" w:space="0" w:color="BFBFBF"/>
              <w:right w:val="single" w:sz="4" w:space="0" w:color="auto"/>
            </w:tcBorders>
            <w:tcMar>
              <w:top w:w="0" w:type="dxa"/>
              <w:left w:w="28" w:type="dxa"/>
              <w:bottom w:w="0" w:type="dxa"/>
              <w:right w:w="28" w:type="dxa"/>
            </w:tcMar>
            <w:vAlign w:val="center"/>
          </w:tcPr>
          <w:p w:rsidR="009571FA" w:rsidRPr="00641C40" w:rsidRDefault="009571FA" w:rsidP="00777306">
            <w:pPr>
              <w:tabs>
                <w:tab w:val="left" w:pos="253"/>
              </w:tabs>
              <w:spacing w:line="276" w:lineRule="auto"/>
              <w:jc w:val="center"/>
              <w:rPr>
                <w:rFonts w:ascii="Calibri" w:hAnsi="Calibri"/>
                <w:szCs w:val="20"/>
                <w:lang w:val="es-ES_tradnl"/>
              </w:rPr>
            </w:pPr>
            <w:r w:rsidRPr="00641C40">
              <w:rPr>
                <w:rFonts w:ascii="Calibri" w:hAnsi="Calibri"/>
                <w:szCs w:val="20"/>
                <w:lang w:val="es-ES_tradnl"/>
              </w:rPr>
              <w:t>5</w:t>
            </w:r>
          </w:p>
        </w:tc>
        <w:tc>
          <w:tcPr>
            <w:tcW w:w="785" w:type="dxa"/>
            <w:tcBorders>
              <w:top w:val="single" w:sz="4" w:space="0" w:color="auto"/>
              <w:left w:val="single" w:sz="4" w:space="0" w:color="auto"/>
              <w:bottom w:val="single" w:sz="4" w:space="0" w:color="BFBFBF"/>
              <w:right w:val="nil"/>
            </w:tcBorders>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s-ES_tradnl"/>
              </w:rPr>
            </w:pPr>
            <w:r w:rsidRPr="00641C40">
              <w:rPr>
                <w:rFonts w:ascii="Calibri" w:hAnsi="Calibri"/>
                <w:szCs w:val="20"/>
                <w:lang w:val="es-ES_tradnl"/>
              </w:rPr>
              <w:t>2</w:t>
            </w:r>
          </w:p>
        </w:tc>
        <w:tc>
          <w:tcPr>
            <w:tcW w:w="885" w:type="dxa"/>
            <w:tcBorders>
              <w:top w:val="single" w:sz="4" w:space="0" w:color="auto"/>
              <w:left w:val="nil"/>
              <w:bottom w:val="single" w:sz="4" w:space="0" w:color="BFBFBF"/>
              <w:right w:val="nil"/>
            </w:tcBorders>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s-ES_tradnl"/>
              </w:rPr>
            </w:pPr>
            <w:r w:rsidRPr="00641C40">
              <w:rPr>
                <w:rFonts w:ascii="Calibri" w:hAnsi="Calibri"/>
                <w:szCs w:val="20"/>
                <w:lang w:val="es-ES_tradnl"/>
              </w:rPr>
              <w:t>40.0</w:t>
            </w:r>
          </w:p>
        </w:tc>
        <w:tc>
          <w:tcPr>
            <w:tcW w:w="916" w:type="dxa"/>
            <w:tcBorders>
              <w:top w:val="single" w:sz="4" w:space="0" w:color="auto"/>
              <w:left w:val="single" w:sz="4" w:space="0" w:color="auto"/>
              <w:bottom w:val="single" w:sz="4" w:space="0" w:color="BFBFBF"/>
              <w:right w:val="nil"/>
            </w:tcBorders>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s-ES_tradnl"/>
              </w:rPr>
            </w:pPr>
            <w:r w:rsidRPr="00641C40">
              <w:rPr>
                <w:rFonts w:ascii="Calibri" w:hAnsi="Calibri"/>
                <w:szCs w:val="20"/>
                <w:lang w:val="es-ES_tradnl"/>
              </w:rPr>
              <w:t>3</w:t>
            </w:r>
          </w:p>
        </w:tc>
        <w:tc>
          <w:tcPr>
            <w:tcW w:w="809" w:type="dxa"/>
            <w:tcBorders>
              <w:top w:val="single" w:sz="4" w:space="0" w:color="auto"/>
              <w:left w:val="nil"/>
              <w:bottom w:val="single" w:sz="4" w:space="0" w:color="BFBFBF"/>
              <w:right w:val="nil"/>
            </w:tcBorders>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s-ES_tradnl"/>
              </w:rPr>
            </w:pPr>
            <w:r w:rsidRPr="00641C40">
              <w:rPr>
                <w:rFonts w:ascii="Calibri" w:hAnsi="Calibri"/>
                <w:szCs w:val="20"/>
                <w:lang w:val="es-ES_tradnl"/>
              </w:rPr>
              <w:t>60.0</w:t>
            </w:r>
          </w:p>
        </w:tc>
        <w:tc>
          <w:tcPr>
            <w:tcW w:w="810" w:type="dxa"/>
            <w:tcBorders>
              <w:top w:val="single" w:sz="4" w:space="0" w:color="auto"/>
              <w:left w:val="single" w:sz="4" w:space="0" w:color="auto"/>
              <w:bottom w:val="single" w:sz="4" w:space="0" w:color="BFBFBF"/>
              <w:right w:val="nil"/>
            </w:tcBorders>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s-ES_tradnl"/>
              </w:rPr>
            </w:pPr>
            <w:r w:rsidRPr="00641C40">
              <w:rPr>
                <w:rFonts w:ascii="Calibri" w:hAnsi="Calibri"/>
                <w:szCs w:val="20"/>
                <w:lang w:val="es-ES_tradnl"/>
              </w:rPr>
              <w:t>0</w:t>
            </w:r>
          </w:p>
        </w:tc>
        <w:tc>
          <w:tcPr>
            <w:tcW w:w="977" w:type="dxa"/>
            <w:tcBorders>
              <w:top w:val="single" w:sz="4" w:space="0" w:color="auto"/>
              <w:left w:val="nil"/>
              <w:bottom w:val="single" w:sz="4" w:space="0" w:color="BFBFBF"/>
              <w:right w:val="single" w:sz="4" w:space="0" w:color="auto"/>
            </w:tcBorders>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s-ES_tradnl"/>
              </w:rPr>
            </w:pPr>
            <w:r w:rsidRPr="00641C40">
              <w:rPr>
                <w:rFonts w:ascii="Calibri" w:hAnsi="Calibri"/>
                <w:szCs w:val="20"/>
                <w:lang w:val="es-ES_tradnl"/>
              </w:rPr>
              <w:t>0.0</w:t>
            </w:r>
          </w:p>
        </w:tc>
      </w:tr>
      <w:tr w:rsidR="009571FA" w:rsidTr="00777306">
        <w:trPr>
          <w:trHeight w:val="314"/>
          <w:jc w:val="center"/>
        </w:trPr>
        <w:tc>
          <w:tcPr>
            <w:tcW w:w="2134" w:type="dxa"/>
            <w:tcBorders>
              <w:top w:val="single" w:sz="4" w:space="0" w:color="BFBFBF"/>
              <w:left w:val="single" w:sz="4" w:space="0" w:color="auto"/>
              <w:bottom w:val="single" w:sz="4" w:space="0" w:color="auto"/>
              <w:right w:val="single" w:sz="4" w:space="0" w:color="auto"/>
            </w:tcBorders>
            <w:tcMar>
              <w:top w:w="0" w:type="dxa"/>
              <w:left w:w="28" w:type="dxa"/>
              <w:bottom w:w="0" w:type="dxa"/>
              <w:right w:w="28" w:type="dxa"/>
            </w:tcMar>
            <w:vAlign w:val="center"/>
          </w:tcPr>
          <w:p w:rsidR="009571FA" w:rsidRPr="00641C40" w:rsidRDefault="009571FA" w:rsidP="00777306">
            <w:pPr>
              <w:tabs>
                <w:tab w:val="left" w:pos="253"/>
              </w:tabs>
              <w:spacing w:line="276" w:lineRule="auto"/>
              <w:rPr>
                <w:rFonts w:ascii="Calibri" w:hAnsi="Calibri"/>
                <w:szCs w:val="20"/>
                <w:lang w:val="es-ES_tradnl"/>
              </w:rPr>
            </w:pPr>
            <w:r w:rsidRPr="00641C40">
              <w:rPr>
                <w:rFonts w:ascii="Calibri" w:hAnsi="Calibri"/>
                <w:szCs w:val="20"/>
                <w:lang w:val="es-ES_tradnl"/>
              </w:rPr>
              <w:tab/>
              <w:t>Male Staff</w:t>
            </w:r>
          </w:p>
        </w:tc>
        <w:tc>
          <w:tcPr>
            <w:tcW w:w="578" w:type="dxa"/>
            <w:tcBorders>
              <w:top w:val="single" w:sz="4" w:space="0" w:color="BFBFBF"/>
              <w:left w:val="single" w:sz="4" w:space="0" w:color="auto"/>
              <w:bottom w:val="single" w:sz="4" w:space="0" w:color="auto"/>
              <w:right w:val="single" w:sz="4" w:space="0" w:color="auto"/>
            </w:tcBorders>
            <w:tcMar>
              <w:top w:w="0" w:type="dxa"/>
              <w:left w:w="28" w:type="dxa"/>
              <w:bottom w:w="0" w:type="dxa"/>
              <w:right w:w="28" w:type="dxa"/>
            </w:tcMar>
            <w:vAlign w:val="center"/>
          </w:tcPr>
          <w:p w:rsidR="009571FA" w:rsidRPr="00641C40" w:rsidRDefault="009571FA" w:rsidP="00777306">
            <w:pPr>
              <w:tabs>
                <w:tab w:val="left" w:pos="253"/>
              </w:tabs>
              <w:spacing w:line="276" w:lineRule="auto"/>
              <w:jc w:val="center"/>
              <w:rPr>
                <w:rFonts w:ascii="Calibri" w:hAnsi="Calibri"/>
                <w:szCs w:val="20"/>
                <w:lang w:val="es-ES_tradnl"/>
              </w:rPr>
            </w:pPr>
            <w:r w:rsidRPr="00641C40">
              <w:rPr>
                <w:rFonts w:ascii="Calibri" w:hAnsi="Calibri"/>
                <w:szCs w:val="20"/>
                <w:lang w:val="es-ES_tradnl"/>
              </w:rPr>
              <w:t>11</w:t>
            </w:r>
          </w:p>
        </w:tc>
        <w:tc>
          <w:tcPr>
            <w:tcW w:w="785" w:type="dxa"/>
            <w:tcBorders>
              <w:top w:val="single" w:sz="4" w:space="0" w:color="BFBFBF"/>
              <w:left w:val="single" w:sz="4" w:space="0" w:color="auto"/>
              <w:bottom w:val="single" w:sz="4" w:space="0" w:color="auto"/>
              <w:right w:val="nil"/>
            </w:tcBorders>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s-ES_tradnl"/>
              </w:rPr>
            </w:pPr>
            <w:r w:rsidRPr="00641C40">
              <w:rPr>
                <w:rFonts w:ascii="Calibri" w:hAnsi="Calibri"/>
                <w:szCs w:val="20"/>
                <w:lang w:val="es-ES_tradnl"/>
              </w:rPr>
              <w:t>11</w:t>
            </w:r>
          </w:p>
        </w:tc>
        <w:tc>
          <w:tcPr>
            <w:tcW w:w="885" w:type="dxa"/>
            <w:tcBorders>
              <w:top w:val="single" w:sz="4" w:space="0" w:color="BFBFBF"/>
              <w:left w:val="nil"/>
              <w:bottom w:val="single" w:sz="4" w:space="0" w:color="auto"/>
              <w:right w:val="nil"/>
            </w:tcBorders>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s-ES_tradnl"/>
              </w:rPr>
            </w:pPr>
            <w:r w:rsidRPr="00641C40">
              <w:rPr>
                <w:rFonts w:ascii="Calibri" w:hAnsi="Calibri"/>
                <w:szCs w:val="20"/>
                <w:lang w:val="es-ES_tradnl"/>
              </w:rPr>
              <w:t>100.0</w:t>
            </w:r>
          </w:p>
        </w:tc>
        <w:tc>
          <w:tcPr>
            <w:tcW w:w="916" w:type="dxa"/>
            <w:tcBorders>
              <w:top w:val="single" w:sz="4" w:space="0" w:color="BFBFBF"/>
              <w:left w:val="single" w:sz="4" w:space="0" w:color="auto"/>
              <w:bottom w:val="single" w:sz="4" w:space="0" w:color="auto"/>
              <w:right w:val="nil"/>
            </w:tcBorders>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s-ES_tradnl"/>
              </w:rPr>
            </w:pPr>
            <w:r w:rsidRPr="00641C40">
              <w:rPr>
                <w:rFonts w:ascii="Calibri" w:hAnsi="Calibri"/>
                <w:szCs w:val="20"/>
                <w:lang w:val="es-ES_tradnl"/>
              </w:rPr>
              <w:t>0</w:t>
            </w:r>
          </w:p>
        </w:tc>
        <w:tc>
          <w:tcPr>
            <w:tcW w:w="809" w:type="dxa"/>
            <w:tcBorders>
              <w:top w:val="single" w:sz="4" w:space="0" w:color="BFBFBF"/>
              <w:left w:val="nil"/>
              <w:bottom w:val="single" w:sz="4" w:space="0" w:color="auto"/>
              <w:right w:val="nil"/>
            </w:tcBorders>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s-ES_tradnl"/>
              </w:rPr>
            </w:pPr>
            <w:r w:rsidRPr="00641C40">
              <w:rPr>
                <w:rFonts w:ascii="Calibri" w:hAnsi="Calibri"/>
                <w:szCs w:val="20"/>
                <w:lang w:val="es-ES_tradnl"/>
              </w:rPr>
              <w:t>0.0</w:t>
            </w:r>
          </w:p>
        </w:tc>
        <w:tc>
          <w:tcPr>
            <w:tcW w:w="810" w:type="dxa"/>
            <w:tcBorders>
              <w:top w:val="single" w:sz="4" w:space="0" w:color="BFBFBF"/>
              <w:left w:val="single" w:sz="4" w:space="0" w:color="auto"/>
              <w:bottom w:val="single" w:sz="4" w:space="0" w:color="auto"/>
              <w:right w:val="nil"/>
            </w:tcBorders>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s-ES_tradnl"/>
              </w:rPr>
            </w:pPr>
            <w:r w:rsidRPr="00641C40">
              <w:rPr>
                <w:rFonts w:ascii="Calibri" w:hAnsi="Calibri"/>
                <w:szCs w:val="20"/>
                <w:lang w:val="es-ES_tradnl"/>
              </w:rPr>
              <w:t>0</w:t>
            </w:r>
          </w:p>
        </w:tc>
        <w:tc>
          <w:tcPr>
            <w:tcW w:w="977" w:type="dxa"/>
            <w:tcBorders>
              <w:top w:val="single" w:sz="4" w:space="0" w:color="BFBFBF"/>
              <w:left w:val="nil"/>
              <w:bottom w:val="single" w:sz="4" w:space="0" w:color="auto"/>
              <w:right w:val="single" w:sz="4" w:space="0" w:color="auto"/>
            </w:tcBorders>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s-ES_tradnl"/>
              </w:rPr>
            </w:pPr>
            <w:r w:rsidRPr="00641C40">
              <w:rPr>
                <w:rFonts w:ascii="Calibri" w:hAnsi="Calibri"/>
                <w:szCs w:val="20"/>
                <w:lang w:val="es-ES_tradnl"/>
              </w:rPr>
              <w:t>0.0</w:t>
            </w:r>
          </w:p>
        </w:tc>
      </w:tr>
      <w:tr w:rsidR="009571FA" w:rsidTr="00777306">
        <w:trPr>
          <w:trHeight w:val="314"/>
          <w:jc w:val="center"/>
        </w:trPr>
        <w:tc>
          <w:tcPr>
            <w:tcW w:w="2134" w:type="dxa"/>
            <w:tcBorders>
              <w:top w:val="single" w:sz="4" w:space="0" w:color="auto"/>
              <w:left w:val="single" w:sz="4" w:space="0" w:color="auto"/>
              <w:bottom w:val="single" w:sz="4" w:space="0" w:color="auto"/>
              <w:right w:val="single" w:sz="4" w:space="0" w:color="auto"/>
            </w:tcBorders>
            <w:shd w:val="clear" w:color="auto" w:fill="DBE5F1"/>
            <w:tcMar>
              <w:top w:w="0" w:type="dxa"/>
              <w:left w:w="28" w:type="dxa"/>
              <w:bottom w:w="0" w:type="dxa"/>
              <w:right w:w="28" w:type="dxa"/>
            </w:tcMar>
            <w:vAlign w:val="center"/>
          </w:tcPr>
          <w:p w:rsidR="009571FA" w:rsidRPr="00641C40" w:rsidRDefault="009571FA" w:rsidP="00777306">
            <w:pPr>
              <w:tabs>
                <w:tab w:val="left" w:pos="253"/>
              </w:tabs>
              <w:spacing w:line="276" w:lineRule="auto"/>
              <w:rPr>
                <w:rFonts w:ascii="Calibri" w:hAnsi="Calibri"/>
                <w:b/>
                <w:szCs w:val="20"/>
                <w:lang w:val="es-ES_tradnl"/>
              </w:rPr>
            </w:pPr>
            <w:r w:rsidRPr="00641C40">
              <w:rPr>
                <w:rFonts w:ascii="Calibri" w:hAnsi="Calibri"/>
                <w:b/>
                <w:szCs w:val="20"/>
                <w:lang w:val="es-ES_tradnl"/>
              </w:rPr>
              <w:t>By Grade</w:t>
            </w:r>
          </w:p>
        </w:tc>
        <w:tc>
          <w:tcPr>
            <w:tcW w:w="578" w:type="dxa"/>
            <w:tcBorders>
              <w:top w:val="single" w:sz="4" w:space="0" w:color="auto"/>
              <w:left w:val="single" w:sz="4" w:space="0" w:color="auto"/>
              <w:bottom w:val="single" w:sz="4" w:space="0" w:color="auto"/>
              <w:right w:val="single" w:sz="4" w:space="0" w:color="auto"/>
            </w:tcBorders>
            <w:shd w:val="clear" w:color="auto" w:fill="DBE5F1"/>
            <w:tcMar>
              <w:top w:w="0" w:type="dxa"/>
              <w:left w:w="28" w:type="dxa"/>
              <w:bottom w:w="0" w:type="dxa"/>
              <w:right w:w="28" w:type="dxa"/>
            </w:tcMar>
            <w:vAlign w:val="center"/>
          </w:tcPr>
          <w:p w:rsidR="009571FA" w:rsidRPr="00641C40" w:rsidRDefault="009571FA" w:rsidP="00777306">
            <w:pPr>
              <w:tabs>
                <w:tab w:val="left" w:pos="253"/>
              </w:tabs>
              <w:spacing w:line="276" w:lineRule="auto"/>
              <w:jc w:val="center"/>
              <w:rPr>
                <w:rFonts w:ascii="Calibri" w:hAnsi="Calibri"/>
                <w:szCs w:val="20"/>
                <w:lang w:val="es-ES_tradnl"/>
              </w:rPr>
            </w:pPr>
          </w:p>
        </w:tc>
        <w:tc>
          <w:tcPr>
            <w:tcW w:w="785" w:type="dxa"/>
            <w:tcBorders>
              <w:top w:val="single" w:sz="4" w:space="0" w:color="auto"/>
              <w:left w:val="single" w:sz="4" w:space="0" w:color="auto"/>
              <w:bottom w:val="single" w:sz="4" w:space="0" w:color="auto"/>
              <w:right w:val="nil"/>
            </w:tcBorders>
            <w:shd w:val="clear" w:color="auto" w:fill="DBE5F1"/>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s-ES_tradnl"/>
              </w:rPr>
            </w:pPr>
          </w:p>
        </w:tc>
        <w:tc>
          <w:tcPr>
            <w:tcW w:w="885" w:type="dxa"/>
            <w:tcBorders>
              <w:top w:val="single" w:sz="4" w:space="0" w:color="auto"/>
              <w:left w:val="nil"/>
              <w:bottom w:val="single" w:sz="4" w:space="0" w:color="auto"/>
              <w:right w:val="nil"/>
            </w:tcBorders>
            <w:shd w:val="clear" w:color="auto" w:fill="DBE5F1"/>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s-ES_tradnl"/>
              </w:rPr>
            </w:pPr>
          </w:p>
        </w:tc>
        <w:tc>
          <w:tcPr>
            <w:tcW w:w="916" w:type="dxa"/>
            <w:tcBorders>
              <w:top w:val="single" w:sz="4" w:space="0" w:color="auto"/>
              <w:left w:val="single" w:sz="4" w:space="0" w:color="auto"/>
              <w:bottom w:val="single" w:sz="4" w:space="0" w:color="auto"/>
              <w:right w:val="nil"/>
            </w:tcBorders>
            <w:shd w:val="clear" w:color="auto" w:fill="DBE5F1"/>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s-ES_tradnl"/>
              </w:rPr>
            </w:pPr>
          </w:p>
        </w:tc>
        <w:tc>
          <w:tcPr>
            <w:tcW w:w="809" w:type="dxa"/>
            <w:tcBorders>
              <w:top w:val="single" w:sz="4" w:space="0" w:color="auto"/>
              <w:left w:val="nil"/>
              <w:bottom w:val="single" w:sz="4" w:space="0" w:color="auto"/>
              <w:right w:val="nil"/>
            </w:tcBorders>
            <w:shd w:val="clear" w:color="auto" w:fill="DBE5F1"/>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s-ES_tradnl"/>
              </w:rPr>
            </w:pPr>
          </w:p>
        </w:tc>
        <w:tc>
          <w:tcPr>
            <w:tcW w:w="810" w:type="dxa"/>
            <w:tcBorders>
              <w:top w:val="single" w:sz="4" w:space="0" w:color="auto"/>
              <w:left w:val="single" w:sz="4" w:space="0" w:color="auto"/>
              <w:bottom w:val="single" w:sz="4" w:space="0" w:color="auto"/>
              <w:right w:val="nil"/>
            </w:tcBorders>
            <w:shd w:val="clear" w:color="auto" w:fill="DBE5F1"/>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s-ES_tradnl"/>
              </w:rPr>
            </w:pPr>
          </w:p>
        </w:tc>
        <w:tc>
          <w:tcPr>
            <w:tcW w:w="977" w:type="dxa"/>
            <w:tcBorders>
              <w:top w:val="single" w:sz="4" w:space="0" w:color="auto"/>
              <w:left w:val="nil"/>
              <w:bottom w:val="single" w:sz="4" w:space="0" w:color="auto"/>
              <w:right w:val="single" w:sz="4" w:space="0" w:color="auto"/>
            </w:tcBorders>
            <w:shd w:val="clear" w:color="auto" w:fill="DBE5F1"/>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s-ES_tradnl"/>
              </w:rPr>
            </w:pPr>
          </w:p>
        </w:tc>
      </w:tr>
      <w:tr w:rsidR="009571FA" w:rsidTr="00777306">
        <w:trPr>
          <w:trHeight w:val="314"/>
          <w:jc w:val="center"/>
        </w:trPr>
        <w:tc>
          <w:tcPr>
            <w:tcW w:w="2134" w:type="dxa"/>
            <w:tcBorders>
              <w:top w:val="single" w:sz="4" w:space="0" w:color="auto"/>
              <w:left w:val="single" w:sz="4" w:space="0" w:color="auto"/>
              <w:bottom w:val="single" w:sz="4" w:space="0" w:color="BFBFBF"/>
              <w:right w:val="single" w:sz="4" w:space="0" w:color="auto"/>
            </w:tcBorders>
            <w:tcMar>
              <w:top w:w="0" w:type="dxa"/>
              <w:left w:w="28" w:type="dxa"/>
              <w:bottom w:w="0" w:type="dxa"/>
              <w:right w:w="28" w:type="dxa"/>
            </w:tcMar>
            <w:vAlign w:val="center"/>
          </w:tcPr>
          <w:p w:rsidR="009571FA" w:rsidRPr="00641C40" w:rsidRDefault="009571FA" w:rsidP="00777306">
            <w:pPr>
              <w:tabs>
                <w:tab w:val="left" w:pos="253"/>
              </w:tabs>
              <w:spacing w:line="276" w:lineRule="auto"/>
              <w:rPr>
                <w:rFonts w:ascii="Calibri" w:hAnsi="Calibri"/>
                <w:szCs w:val="20"/>
                <w:lang w:val="es-ES_tradnl"/>
              </w:rPr>
            </w:pPr>
            <w:r w:rsidRPr="00641C40">
              <w:rPr>
                <w:rFonts w:ascii="Calibri" w:hAnsi="Calibri"/>
                <w:szCs w:val="20"/>
                <w:lang w:val="es-ES_tradnl"/>
              </w:rPr>
              <w:tab/>
              <w:t>D</w:t>
            </w:r>
          </w:p>
        </w:tc>
        <w:tc>
          <w:tcPr>
            <w:tcW w:w="578" w:type="dxa"/>
            <w:tcBorders>
              <w:top w:val="single" w:sz="4" w:space="0" w:color="auto"/>
              <w:left w:val="single" w:sz="4" w:space="0" w:color="auto"/>
              <w:bottom w:val="single" w:sz="4" w:space="0" w:color="BFBFBF"/>
              <w:right w:val="single" w:sz="4" w:space="0" w:color="auto"/>
            </w:tcBorders>
            <w:tcMar>
              <w:top w:w="0" w:type="dxa"/>
              <w:left w:w="28" w:type="dxa"/>
              <w:bottom w:w="0" w:type="dxa"/>
              <w:right w:w="28" w:type="dxa"/>
            </w:tcMar>
            <w:vAlign w:val="center"/>
          </w:tcPr>
          <w:p w:rsidR="009571FA" w:rsidRPr="00641C40" w:rsidRDefault="009571FA" w:rsidP="00777306">
            <w:pPr>
              <w:tabs>
                <w:tab w:val="left" w:pos="253"/>
              </w:tabs>
              <w:spacing w:line="276" w:lineRule="auto"/>
              <w:jc w:val="center"/>
              <w:rPr>
                <w:rFonts w:ascii="Calibri" w:hAnsi="Calibri"/>
                <w:szCs w:val="20"/>
                <w:lang w:val="es-ES_tradnl"/>
              </w:rPr>
            </w:pPr>
            <w:r w:rsidRPr="00641C40">
              <w:rPr>
                <w:rFonts w:ascii="Calibri" w:hAnsi="Calibri"/>
                <w:szCs w:val="20"/>
                <w:lang w:val="es-ES_tradnl"/>
              </w:rPr>
              <w:t>4</w:t>
            </w:r>
          </w:p>
        </w:tc>
        <w:tc>
          <w:tcPr>
            <w:tcW w:w="785" w:type="dxa"/>
            <w:tcBorders>
              <w:top w:val="single" w:sz="4" w:space="0" w:color="auto"/>
              <w:left w:val="single" w:sz="4" w:space="0" w:color="auto"/>
              <w:bottom w:val="single" w:sz="4" w:space="0" w:color="BFBFBF"/>
              <w:right w:val="nil"/>
            </w:tcBorders>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s-ES_tradnl"/>
              </w:rPr>
            </w:pPr>
            <w:r w:rsidRPr="00641C40">
              <w:rPr>
                <w:rFonts w:ascii="Calibri" w:hAnsi="Calibri"/>
                <w:szCs w:val="20"/>
                <w:lang w:val="es-ES_tradnl"/>
              </w:rPr>
              <w:t>2</w:t>
            </w:r>
          </w:p>
        </w:tc>
        <w:tc>
          <w:tcPr>
            <w:tcW w:w="885" w:type="dxa"/>
            <w:tcBorders>
              <w:top w:val="single" w:sz="4" w:space="0" w:color="auto"/>
              <w:left w:val="nil"/>
              <w:bottom w:val="single" w:sz="4" w:space="0" w:color="BFBFBF"/>
              <w:right w:val="nil"/>
            </w:tcBorders>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s-ES_tradnl"/>
              </w:rPr>
            </w:pPr>
            <w:r w:rsidRPr="00641C40">
              <w:rPr>
                <w:rFonts w:ascii="Calibri" w:hAnsi="Calibri"/>
                <w:szCs w:val="20"/>
                <w:lang w:val="es-ES_tradnl"/>
              </w:rPr>
              <w:t>50.0</w:t>
            </w:r>
          </w:p>
        </w:tc>
        <w:tc>
          <w:tcPr>
            <w:tcW w:w="916" w:type="dxa"/>
            <w:tcBorders>
              <w:top w:val="single" w:sz="4" w:space="0" w:color="auto"/>
              <w:left w:val="single" w:sz="4" w:space="0" w:color="auto"/>
              <w:bottom w:val="single" w:sz="4" w:space="0" w:color="BFBFBF"/>
              <w:right w:val="nil"/>
            </w:tcBorders>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s-ES_tradnl"/>
              </w:rPr>
            </w:pPr>
            <w:r w:rsidRPr="00641C40">
              <w:rPr>
                <w:rFonts w:ascii="Calibri" w:hAnsi="Calibri"/>
                <w:szCs w:val="20"/>
                <w:lang w:val="es-ES_tradnl"/>
              </w:rPr>
              <w:t>2</w:t>
            </w:r>
          </w:p>
        </w:tc>
        <w:tc>
          <w:tcPr>
            <w:tcW w:w="809" w:type="dxa"/>
            <w:tcBorders>
              <w:top w:val="single" w:sz="4" w:space="0" w:color="auto"/>
              <w:left w:val="nil"/>
              <w:bottom w:val="single" w:sz="4" w:space="0" w:color="BFBFBF"/>
              <w:right w:val="nil"/>
            </w:tcBorders>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s-ES_tradnl"/>
              </w:rPr>
            </w:pPr>
            <w:r w:rsidRPr="00641C40">
              <w:rPr>
                <w:rFonts w:ascii="Calibri" w:hAnsi="Calibri"/>
                <w:szCs w:val="20"/>
                <w:lang w:val="es-ES_tradnl"/>
              </w:rPr>
              <w:t>50.0</w:t>
            </w:r>
          </w:p>
        </w:tc>
        <w:tc>
          <w:tcPr>
            <w:tcW w:w="810" w:type="dxa"/>
            <w:tcBorders>
              <w:top w:val="single" w:sz="4" w:space="0" w:color="auto"/>
              <w:left w:val="single" w:sz="4" w:space="0" w:color="auto"/>
              <w:bottom w:val="single" w:sz="4" w:space="0" w:color="BFBFBF"/>
              <w:right w:val="nil"/>
            </w:tcBorders>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s-ES_tradnl"/>
              </w:rPr>
            </w:pPr>
            <w:r w:rsidRPr="00641C40">
              <w:rPr>
                <w:rFonts w:ascii="Calibri" w:hAnsi="Calibri"/>
                <w:szCs w:val="20"/>
                <w:lang w:val="es-ES_tradnl"/>
              </w:rPr>
              <w:t>0</w:t>
            </w:r>
          </w:p>
        </w:tc>
        <w:tc>
          <w:tcPr>
            <w:tcW w:w="977" w:type="dxa"/>
            <w:tcBorders>
              <w:top w:val="single" w:sz="4" w:space="0" w:color="auto"/>
              <w:left w:val="nil"/>
              <w:bottom w:val="single" w:sz="4" w:space="0" w:color="BFBFBF"/>
              <w:right w:val="single" w:sz="4" w:space="0" w:color="auto"/>
            </w:tcBorders>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s-ES_tradnl"/>
              </w:rPr>
            </w:pPr>
            <w:r w:rsidRPr="00641C40">
              <w:rPr>
                <w:rFonts w:ascii="Calibri" w:hAnsi="Calibri"/>
                <w:szCs w:val="20"/>
                <w:lang w:val="es-ES_tradnl"/>
              </w:rPr>
              <w:t>0.0</w:t>
            </w:r>
          </w:p>
        </w:tc>
      </w:tr>
      <w:tr w:rsidR="009571FA" w:rsidTr="00777306">
        <w:trPr>
          <w:trHeight w:val="314"/>
          <w:jc w:val="center"/>
        </w:trPr>
        <w:tc>
          <w:tcPr>
            <w:tcW w:w="2134" w:type="dxa"/>
            <w:tcBorders>
              <w:top w:val="single" w:sz="4" w:space="0" w:color="BFBFBF"/>
              <w:left w:val="single" w:sz="4" w:space="0" w:color="auto"/>
              <w:bottom w:val="single" w:sz="4" w:space="0" w:color="BFBFBF"/>
              <w:right w:val="single" w:sz="4" w:space="0" w:color="auto"/>
            </w:tcBorders>
            <w:tcMar>
              <w:top w:w="0" w:type="dxa"/>
              <w:left w:w="28" w:type="dxa"/>
              <w:bottom w:w="0" w:type="dxa"/>
              <w:right w:w="28" w:type="dxa"/>
            </w:tcMar>
            <w:vAlign w:val="center"/>
          </w:tcPr>
          <w:p w:rsidR="009571FA" w:rsidRPr="00641C40" w:rsidRDefault="009571FA" w:rsidP="00777306">
            <w:pPr>
              <w:tabs>
                <w:tab w:val="left" w:pos="253"/>
              </w:tabs>
              <w:spacing w:line="276" w:lineRule="auto"/>
              <w:rPr>
                <w:rFonts w:ascii="Calibri" w:hAnsi="Calibri"/>
                <w:szCs w:val="20"/>
                <w:lang w:val="es-ES_tradnl"/>
              </w:rPr>
            </w:pPr>
            <w:r w:rsidRPr="00641C40">
              <w:rPr>
                <w:rFonts w:ascii="Calibri" w:hAnsi="Calibri"/>
                <w:szCs w:val="20"/>
                <w:lang w:val="es-ES_tradnl"/>
              </w:rPr>
              <w:tab/>
              <w:t>P</w:t>
            </w:r>
          </w:p>
        </w:tc>
        <w:tc>
          <w:tcPr>
            <w:tcW w:w="578" w:type="dxa"/>
            <w:tcBorders>
              <w:top w:val="single" w:sz="4" w:space="0" w:color="BFBFBF"/>
              <w:left w:val="single" w:sz="4" w:space="0" w:color="auto"/>
              <w:bottom w:val="single" w:sz="4" w:space="0" w:color="BFBFBF"/>
              <w:right w:val="single" w:sz="4" w:space="0" w:color="auto"/>
            </w:tcBorders>
            <w:tcMar>
              <w:top w:w="0" w:type="dxa"/>
              <w:left w:w="28" w:type="dxa"/>
              <w:bottom w:w="0" w:type="dxa"/>
              <w:right w:w="28" w:type="dxa"/>
            </w:tcMar>
            <w:vAlign w:val="center"/>
          </w:tcPr>
          <w:p w:rsidR="009571FA" w:rsidRPr="00641C40" w:rsidRDefault="009571FA" w:rsidP="00777306">
            <w:pPr>
              <w:tabs>
                <w:tab w:val="left" w:pos="253"/>
              </w:tabs>
              <w:spacing w:line="276" w:lineRule="auto"/>
              <w:jc w:val="center"/>
              <w:rPr>
                <w:rFonts w:ascii="Calibri" w:hAnsi="Calibri"/>
                <w:szCs w:val="20"/>
                <w:lang w:val="es-ES_tradnl"/>
              </w:rPr>
            </w:pPr>
            <w:r w:rsidRPr="00641C40">
              <w:rPr>
                <w:rFonts w:ascii="Calibri" w:hAnsi="Calibri"/>
                <w:szCs w:val="20"/>
                <w:lang w:val="es-ES_tradnl"/>
              </w:rPr>
              <w:t>12</w:t>
            </w:r>
          </w:p>
        </w:tc>
        <w:tc>
          <w:tcPr>
            <w:tcW w:w="785" w:type="dxa"/>
            <w:tcBorders>
              <w:top w:val="single" w:sz="4" w:space="0" w:color="BFBFBF"/>
              <w:left w:val="single" w:sz="4" w:space="0" w:color="auto"/>
              <w:bottom w:val="single" w:sz="4" w:space="0" w:color="BFBFBF"/>
              <w:right w:val="nil"/>
            </w:tcBorders>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s-ES_tradnl"/>
              </w:rPr>
            </w:pPr>
            <w:r w:rsidRPr="00641C40">
              <w:rPr>
                <w:rFonts w:ascii="Calibri" w:hAnsi="Calibri"/>
                <w:szCs w:val="20"/>
                <w:lang w:val="es-ES_tradnl"/>
              </w:rPr>
              <w:t>11</w:t>
            </w:r>
          </w:p>
        </w:tc>
        <w:tc>
          <w:tcPr>
            <w:tcW w:w="885" w:type="dxa"/>
            <w:tcBorders>
              <w:top w:val="single" w:sz="4" w:space="0" w:color="BFBFBF"/>
              <w:left w:val="nil"/>
              <w:bottom w:val="single" w:sz="4" w:space="0" w:color="BFBFBF"/>
              <w:right w:val="nil"/>
            </w:tcBorders>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s-ES_tradnl"/>
              </w:rPr>
            </w:pPr>
            <w:r w:rsidRPr="00641C40">
              <w:rPr>
                <w:rFonts w:ascii="Calibri" w:hAnsi="Calibri"/>
                <w:szCs w:val="20"/>
                <w:lang w:val="es-ES_tradnl"/>
              </w:rPr>
              <w:t>91.7</w:t>
            </w:r>
          </w:p>
        </w:tc>
        <w:tc>
          <w:tcPr>
            <w:tcW w:w="916" w:type="dxa"/>
            <w:tcBorders>
              <w:top w:val="single" w:sz="4" w:space="0" w:color="BFBFBF"/>
              <w:left w:val="single" w:sz="4" w:space="0" w:color="auto"/>
              <w:bottom w:val="single" w:sz="4" w:space="0" w:color="BFBFBF"/>
              <w:right w:val="nil"/>
            </w:tcBorders>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s-ES_tradnl"/>
              </w:rPr>
            </w:pPr>
            <w:r w:rsidRPr="00641C40">
              <w:rPr>
                <w:rFonts w:ascii="Calibri" w:hAnsi="Calibri"/>
                <w:szCs w:val="20"/>
                <w:lang w:val="es-ES_tradnl"/>
              </w:rPr>
              <w:t>1</w:t>
            </w:r>
          </w:p>
        </w:tc>
        <w:tc>
          <w:tcPr>
            <w:tcW w:w="809" w:type="dxa"/>
            <w:tcBorders>
              <w:top w:val="single" w:sz="4" w:space="0" w:color="BFBFBF"/>
              <w:left w:val="nil"/>
              <w:bottom w:val="single" w:sz="4" w:space="0" w:color="BFBFBF"/>
              <w:right w:val="nil"/>
            </w:tcBorders>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s-ES_tradnl"/>
              </w:rPr>
            </w:pPr>
            <w:r w:rsidRPr="00641C40">
              <w:rPr>
                <w:rFonts w:ascii="Calibri" w:hAnsi="Calibri"/>
                <w:szCs w:val="20"/>
                <w:lang w:val="es-ES_tradnl"/>
              </w:rPr>
              <w:t>8.3</w:t>
            </w:r>
          </w:p>
        </w:tc>
        <w:tc>
          <w:tcPr>
            <w:tcW w:w="810" w:type="dxa"/>
            <w:tcBorders>
              <w:top w:val="single" w:sz="4" w:space="0" w:color="BFBFBF"/>
              <w:left w:val="single" w:sz="4" w:space="0" w:color="auto"/>
              <w:bottom w:val="single" w:sz="4" w:space="0" w:color="BFBFBF"/>
              <w:right w:val="nil"/>
            </w:tcBorders>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s-ES_tradnl"/>
              </w:rPr>
            </w:pPr>
            <w:r w:rsidRPr="00641C40">
              <w:rPr>
                <w:rFonts w:ascii="Calibri" w:hAnsi="Calibri"/>
                <w:szCs w:val="20"/>
                <w:lang w:val="es-ES_tradnl"/>
              </w:rPr>
              <w:t>0</w:t>
            </w:r>
          </w:p>
        </w:tc>
        <w:tc>
          <w:tcPr>
            <w:tcW w:w="977" w:type="dxa"/>
            <w:tcBorders>
              <w:top w:val="single" w:sz="4" w:space="0" w:color="BFBFBF"/>
              <w:left w:val="nil"/>
              <w:bottom w:val="single" w:sz="4" w:space="0" w:color="BFBFBF"/>
              <w:right w:val="single" w:sz="4" w:space="0" w:color="auto"/>
            </w:tcBorders>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s-ES_tradnl"/>
              </w:rPr>
            </w:pPr>
            <w:r w:rsidRPr="00641C40">
              <w:rPr>
                <w:rFonts w:ascii="Calibri" w:hAnsi="Calibri"/>
                <w:szCs w:val="20"/>
                <w:lang w:val="es-ES_tradnl"/>
              </w:rPr>
              <w:t>0.0</w:t>
            </w:r>
          </w:p>
        </w:tc>
      </w:tr>
      <w:tr w:rsidR="009571FA" w:rsidTr="00777306">
        <w:trPr>
          <w:trHeight w:val="314"/>
          <w:jc w:val="center"/>
        </w:trPr>
        <w:tc>
          <w:tcPr>
            <w:tcW w:w="2134" w:type="dxa"/>
            <w:tcBorders>
              <w:top w:val="single" w:sz="4" w:space="0" w:color="auto"/>
              <w:left w:val="single" w:sz="4" w:space="0" w:color="auto"/>
              <w:bottom w:val="single" w:sz="4" w:space="0" w:color="auto"/>
              <w:right w:val="single" w:sz="4" w:space="0" w:color="auto"/>
            </w:tcBorders>
            <w:shd w:val="clear" w:color="auto" w:fill="DBE5F1"/>
            <w:tcMar>
              <w:top w:w="0" w:type="dxa"/>
              <w:left w:w="28" w:type="dxa"/>
              <w:bottom w:w="0" w:type="dxa"/>
              <w:right w:w="28" w:type="dxa"/>
            </w:tcMar>
            <w:vAlign w:val="center"/>
          </w:tcPr>
          <w:p w:rsidR="009571FA" w:rsidRPr="00641C40" w:rsidRDefault="009571FA" w:rsidP="00777306">
            <w:pPr>
              <w:tabs>
                <w:tab w:val="left" w:pos="253"/>
              </w:tabs>
              <w:spacing w:line="276" w:lineRule="auto"/>
              <w:rPr>
                <w:rFonts w:ascii="Calibri" w:hAnsi="Calibri"/>
                <w:b/>
                <w:szCs w:val="20"/>
                <w:lang w:val="es-ES_tradnl"/>
              </w:rPr>
            </w:pPr>
            <w:r w:rsidRPr="00641C40">
              <w:rPr>
                <w:rFonts w:ascii="Calibri" w:hAnsi="Calibri"/>
                <w:b/>
                <w:szCs w:val="20"/>
                <w:lang w:val="es-ES_tradnl"/>
              </w:rPr>
              <w:t>By Collaboration with GE</w:t>
            </w:r>
          </w:p>
        </w:tc>
        <w:tc>
          <w:tcPr>
            <w:tcW w:w="578" w:type="dxa"/>
            <w:tcBorders>
              <w:top w:val="single" w:sz="4" w:space="0" w:color="auto"/>
              <w:left w:val="single" w:sz="4" w:space="0" w:color="auto"/>
              <w:bottom w:val="single" w:sz="4" w:space="0" w:color="auto"/>
              <w:right w:val="single" w:sz="4" w:space="0" w:color="auto"/>
            </w:tcBorders>
            <w:shd w:val="clear" w:color="auto" w:fill="DBE5F1"/>
            <w:tcMar>
              <w:top w:w="0" w:type="dxa"/>
              <w:left w:w="28" w:type="dxa"/>
              <w:bottom w:w="0" w:type="dxa"/>
              <w:right w:w="28" w:type="dxa"/>
            </w:tcMar>
            <w:vAlign w:val="center"/>
          </w:tcPr>
          <w:p w:rsidR="009571FA" w:rsidRPr="00641C40" w:rsidRDefault="009571FA" w:rsidP="00777306">
            <w:pPr>
              <w:tabs>
                <w:tab w:val="left" w:pos="253"/>
              </w:tabs>
              <w:spacing w:line="276" w:lineRule="auto"/>
              <w:jc w:val="center"/>
              <w:rPr>
                <w:rFonts w:ascii="Calibri" w:hAnsi="Calibri"/>
                <w:b/>
                <w:szCs w:val="20"/>
                <w:lang w:val="es-ES_tradnl"/>
              </w:rPr>
            </w:pPr>
          </w:p>
        </w:tc>
        <w:tc>
          <w:tcPr>
            <w:tcW w:w="785" w:type="dxa"/>
            <w:tcBorders>
              <w:top w:val="single" w:sz="4" w:space="0" w:color="auto"/>
              <w:left w:val="single" w:sz="4" w:space="0" w:color="auto"/>
              <w:bottom w:val="single" w:sz="4" w:space="0" w:color="auto"/>
              <w:right w:val="nil"/>
            </w:tcBorders>
            <w:shd w:val="clear" w:color="auto" w:fill="DBE5F1"/>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b/>
                <w:szCs w:val="20"/>
                <w:lang w:val="es-ES_tradnl"/>
              </w:rPr>
            </w:pPr>
          </w:p>
        </w:tc>
        <w:tc>
          <w:tcPr>
            <w:tcW w:w="885" w:type="dxa"/>
            <w:tcBorders>
              <w:top w:val="single" w:sz="4" w:space="0" w:color="auto"/>
              <w:left w:val="nil"/>
              <w:bottom w:val="single" w:sz="4" w:space="0" w:color="auto"/>
              <w:right w:val="nil"/>
            </w:tcBorders>
            <w:shd w:val="clear" w:color="auto" w:fill="DBE5F1"/>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b/>
                <w:szCs w:val="20"/>
                <w:lang w:val="es-ES_tradnl"/>
              </w:rPr>
            </w:pPr>
          </w:p>
        </w:tc>
        <w:tc>
          <w:tcPr>
            <w:tcW w:w="916" w:type="dxa"/>
            <w:tcBorders>
              <w:top w:val="single" w:sz="4" w:space="0" w:color="auto"/>
              <w:left w:val="single" w:sz="4" w:space="0" w:color="auto"/>
              <w:bottom w:val="single" w:sz="4" w:space="0" w:color="auto"/>
              <w:right w:val="nil"/>
            </w:tcBorders>
            <w:shd w:val="clear" w:color="auto" w:fill="DBE5F1"/>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b/>
                <w:szCs w:val="20"/>
                <w:lang w:val="es-ES_tradnl"/>
              </w:rPr>
            </w:pPr>
          </w:p>
        </w:tc>
        <w:tc>
          <w:tcPr>
            <w:tcW w:w="809" w:type="dxa"/>
            <w:tcBorders>
              <w:top w:val="single" w:sz="4" w:space="0" w:color="auto"/>
              <w:left w:val="nil"/>
              <w:bottom w:val="single" w:sz="4" w:space="0" w:color="auto"/>
              <w:right w:val="nil"/>
            </w:tcBorders>
            <w:shd w:val="clear" w:color="auto" w:fill="DBE5F1"/>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b/>
                <w:szCs w:val="20"/>
                <w:lang w:val="es-ES_tradnl"/>
              </w:rPr>
            </w:pPr>
          </w:p>
        </w:tc>
        <w:tc>
          <w:tcPr>
            <w:tcW w:w="810" w:type="dxa"/>
            <w:tcBorders>
              <w:top w:val="single" w:sz="4" w:space="0" w:color="auto"/>
              <w:left w:val="single" w:sz="4" w:space="0" w:color="auto"/>
              <w:bottom w:val="single" w:sz="4" w:space="0" w:color="auto"/>
              <w:right w:val="nil"/>
            </w:tcBorders>
            <w:shd w:val="clear" w:color="auto" w:fill="DBE5F1"/>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b/>
                <w:szCs w:val="20"/>
                <w:lang w:val="es-ES_tradnl"/>
              </w:rPr>
            </w:pPr>
          </w:p>
        </w:tc>
        <w:tc>
          <w:tcPr>
            <w:tcW w:w="977" w:type="dxa"/>
            <w:tcBorders>
              <w:top w:val="single" w:sz="4" w:space="0" w:color="auto"/>
              <w:left w:val="nil"/>
              <w:bottom w:val="single" w:sz="4" w:space="0" w:color="auto"/>
              <w:right w:val="single" w:sz="4" w:space="0" w:color="auto"/>
            </w:tcBorders>
            <w:shd w:val="clear" w:color="auto" w:fill="DBE5F1"/>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b/>
                <w:szCs w:val="20"/>
                <w:lang w:val="es-ES_tradnl"/>
              </w:rPr>
            </w:pPr>
          </w:p>
        </w:tc>
      </w:tr>
      <w:tr w:rsidR="009571FA" w:rsidTr="00777306">
        <w:trPr>
          <w:trHeight w:val="314"/>
          <w:jc w:val="center"/>
        </w:trPr>
        <w:tc>
          <w:tcPr>
            <w:tcW w:w="2134" w:type="dxa"/>
            <w:tcBorders>
              <w:top w:val="single" w:sz="4" w:space="0" w:color="auto"/>
              <w:left w:val="single" w:sz="4" w:space="0" w:color="auto"/>
              <w:bottom w:val="single" w:sz="4" w:space="0" w:color="BFBFBF"/>
              <w:right w:val="single" w:sz="4" w:space="0" w:color="auto"/>
            </w:tcBorders>
            <w:tcMar>
              <w:top w:w="0" w:type="dxa"/>
              <w:left w:w="28" w:type="dxa"/>
              <w:bottom w:w="0" w:type="dxa"/>
              <w:right w:w="28" w:type="dxa"/>
            </w:tcMar>
            <w:vAlign w:val="center"/>
          </w:tcPr>
          <w:p w:rsidR="009571FA" w:rsidRPr="00641C40" w:rsidRDefault="009571FA" w:rsidP="00777306">
            <w:pPr>
              <w:tabs>
                <w:tab w:val="left" w:pos="253"/>
              </w:tabs>
              <w:spacing w:line="276" w:lineRule="auto"/>
              <w:rPr>
                <w:rFonts w:ascii="Calibri" w:hAnsi="Calibri"/>
                <w:szCs w:val="20"/>
                <w:lang w:val="es-ES_tradnl"/>
              </w:rPr>
            </w:pPr>
            <w:r w:rsidRPr="00641C40">
              <w:rPr>
                <w:rFonts w:ascii="Calibri" w:hAnsi="Calibri"/>
                <w:szCs w:val="20"/>
                <w:lang w:val="es-ES_tradnl"/>
              </w:rPr>
              <w:tab/>
              <w:t>Yes</w:t>
            </w:r>
          </w:p>
        </w:tc>
        <w:tc>
          <w:tcPr>
            <w:tcW w:w="578" w:type="dxa"/>
            <w:tcBorders>
              <w:top w:val="single" w:sz="4" w:space="0" w:color="auto"/>
              <w:left w:val="single" w:sz="4" w:space="0" w:color="auto"/>
              <w:bottom w:val="single" w:sz="4" w:space="0" w:color="BFBFBF"/>
              <w:right w:val="single" w:sz="4" w:space="0" w:color="auto"/>
            </w:tcBorders>
            <w:tcMar>
              <w:top w:w="0" w:type="dxa"/>
              <w:left w:w="28" w:type="dxa"/>
              <w:bottom w:w="0" w:type="dxa"/>
              <w:right w:w="28" w:type="dxa"/>
            </w:tcMar>
            <w:vAlign w:val="center"/>
          </w:tcPr>
          <w:p w:rsidR="009571FA" w:rsidRPr="00641C40" w:rsidRDefault="009571FA" w:rsidP="00777306">
            <w:pPr>
              <w:tabs>
                <w:tab w:val="left" w:pos="253"/>
              </w:tabs>
              <w:spacing w:line="276" w:lineRule="auto"/>
              <w:jc w:val="center"/>
              <w:rPr>
                <w:rFonts w:ascii="Calibri" w:hAnsi="Calibri"/>
                <w:szCs w:val="20"/>
                <w:lang w:val="es-ES_tradnl"/>
              </w:rPr>
            </w:pPr>
            <w:r w:rsidRPr="00641C40">
              <w:rPr>
                <w:rFonts w:ascii="Calibri" w:hAnsi="Calibri"/>
                <w:szCs w:val="20"/>
                <w:lang w:val="es-ES_tradnl"/>
              </w:rPr>
              <w:t>10</w:t>
            </w:r>
          </w:p>
        </w:tc>
        <w:tc>
          <w:tcPr>
            <w:tcW w:w="785" w:type="dxa"/>
            <w:tcBorders>
              <w:top w:val="single" w:sz="4" w:space="0" w:color="auto"/>
              <w:left w:val="single" w:sz="4" w:space="0" w:color="auto"/>
              <w:bottom w:val="single" w:sz="4" w:space="0" w:color="BFBFBF"/>
              <w:right w:val="nil"/>
            </w:tcBorders>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s-ES_tradnl"/>
              </w:rPr>
            </w:pPr>
            <w:r w:rsidRPr="00641C40">
              <w:rPr>
                <w:rFonts w:ascii="Calibri" w:hAnsi="Calibri"/>
                <w:szCs w:val="20"/>
                <w:lang w:val="es-ES_tradnl"/>
              </w:rPr>
              <w:t>8</w:t>
            </w:r>
          </w:p>
        </w:tc>
        <w:tc>
          <w:tcPr>
            <w:tcW w:w="885" w:type="dxa"/>
            <w:tcBorders>
              <w:top w:val="single" w:sz="4" w:space="0" w:color="auto"/>
              <w:left w:val="nil"/>
              <w:bottom w:val="single" w:sz="4" w:space="0" w:color="BFBFBF"/>
              <w:right w:val="nil"/>
            </w:tcBorders>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s-ES_tradnl"/>
              </w:rPr>
            </w:pPr>
            <w:r w:rsidRPr="00641C40">
              <w:rPr>
                <w:rFonts w:ascii="Calibri" w:hAnsi="Calibri"/>
                <w:szCs w:val="20"/>
                <w:lang w:val="es-ES_tradnl"/>
              </w:rPr>
              <w:t>80.0</w:t>
            </w:r>
          </w:p>
        </w:tc>
        <w:tc>
          <w:tcPr>
            <w:tcW w:w="916" w:type="dxa"/>
            <w:tcBorders>
              <w:top w:val="single" w:sz="4" w:space="0" w:color="auto"/>
              <w:left w:val="single" w:sz="4" w:space="0" w:color="auto"/>
              <w:bottom w:val="single" w:sz="4" w:space="0" w:color="BFBFBF"/>
              <w:right w:val="nil"/>
            </w:tcBorders>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s-ES_tradnl"/>
              </w:rPr>
            </w:pPr>
            <w:r w:rsidRPr="00641C40">
              <w:rPr>
                <w:rFonts w:ascii="Calibri" w:hAnsi="Calibri"/>
                <w:szCs w:val="20"/>
                <w:lang w:val="es-ES_tradnl"/>
              </w:rPr>
              <w:t>2</w:t>
            </w:r>
          </w:p>
        </w:tc>
        <w:tc>
          <w:tcPr>
            <w:tcW w:w="809" w:type="dxa"/>
            <w:tcBorders>
              <w:top w:val="single" w:sz="4" w:space="0" w:color="auto"/>
              <w:left w:val="nil"/>
              <w:bottom w:val="single" w:sz="4" w:space="0" w:color="BFBFBF"/>
              <w:right w:val="nil"/>
            </w:tcBorders>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s-ES_tradnl"/>
              </w:rPr>
            </w:pPr>
            <w:r w:rsidRPr="00641C40">
              <w:rPr>
                <w:rFonts w:ascii="Calibri" w:hAnsi="Calibri"/>
                <w:szCs w:val="20"/>
                <w:lang w:val="es-ES_tradnl"/>
              </w:rPr>
              <w:t>20.0</w:t>
            </w:r>
          </w:p>
        </w:tc>
        <w:tc>
          <w:tcPr>
            <w:tcW w:w="810" w:type="dxa"/>
            <w:tcBorders>
              <w:top w:val="single" w:sz="4" w:space="0" w:color="auto"/>
              <w:left w:val="single" w:sz="4" w:space="0" w:color="auto"/>
              <w:bottom w:val="single" w:sz="4" w:space="0" w:color="BFBFBF"/>
              <w:right w:val="nil"/>
            </w:tcBorders>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s-ES_tradnl"/>
              </w:rPr>
            </w:pPr>
            <w:r w:rsidRPr="00641C40">
              <w:rPr>
                <w:rFonts w:ascii="Calibri" w:hAnsi="Calibri"/>
                <w:szCs w:val="20"/>
                <w:lang w:val="es-ES_tradnl"/>
              </w:rPr>
              <w:t>0</w:t>
            </w:r>
          </w:p>
        </w:tc>
        <w:tc>
          <w:tcPr>
            <w:tcW w:w="977" w:type="dxa"/>
            <w:tcBorders>
              <w:top w:val="single" w:sz="4" w:space="0" w:color="auto"/>
              <w:left w:val="nil"/>
              <w:bottom w:val="single" w:sz="4" w:space="0" w:color="BFBFBF"/>
              <w:right w:val="single" w:sz="4" w:space="0" w:color="auto"/>
            </w:tcBorders>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s-ES_tradnl"/>
              </w:rPr>
            </w:pPr>
            <w:r w:rsidRPr="00641C40">
              <w:rPr>
                <w:rFonts w:ascii="Calibri" w:hAnsi="Calibri"/>
                <w:szCs w:val="20"/>
                <w:lang w:val="es-ES_tradnl"/>
              </w:rPr>
              <w:t>0.0</w:t>
            </w:r>
          </w:p>
        </w:tc>
      </w:tr>
      <w:tr w:rsidR="009571FA" w:rsidTr="00777306">
        <w:trPr>
          <w:trHeight w:val="314"/>
          <w:jc w:val="center"/>
        </w:trPr>
        <w:tc>
          <w:tcPr>
            <w:tcW w:w="2134" w:type="dxa"/>
            <w:tcBorders>
              <w:top w:val="single" w:sz="4" w:space="0" w:color="BFBFBF"/>
              <w:left w:val="single" w:sz="4" w:space="0" w:color="auto"/>
              <w:bottom w:val="single" w:sz="4" w:space="0" w:color="auto"/>
              <w:right w:val="single" w:sz="4" w:space="0" w:color="auto"/>
            </w:tcBorders>
            <w:tcMar>
              <w:top w:w="0" w:type="dxa"/>
              <w:left w:w="28" w:type="dxa"/>
              <w:bottom w:w="0" w:type="dxa"/>
              <w:right w:w="28" w:type="dxa"/>
            </w:tcMar>
            <w:vAlign w:val="center"/>
          </w:tcPr>
          <w:p w:rsidR="009571FA" w:rsidRPr="00641C40" w:rsidRDefault="009571FA" w:rsidP="00777306">
            <w:pPr>
              <w:tabs>
                <w:tab w:val="left" w:pos="253"/>
              </w:tabs>
              <w:spacing w:line="276" w:lineRule="auto"/>
              <w:rPr>
                <w:rFonts w:ascii="Calibri" w:hAnsi="Calibri"/>
                <w:szCs w:val="20"/>
                <w:lang w:val="es-ES_tradnl"/>
              </w:rPr>
            </w:pPr>
            <w:r w:rsidRPr="00641C40">
              <w:rPr>
                <w:rFonts w:ascii="Calibri" w:hAnsi="Calibri"/>
                <w:szCs w:val="20"/>
                <w:lang w:val="es-ES_tradnl"/>
              </w:rPr>
              <w:tab/>
              <w:t>No / Don't Know</w:t>
            </w:r>
          </w:p>
        </w:tc>
        <w:tc>
          <w:tcPr>
            <w:tcW w:w="578" w:type="dxa"/>
            <w:tcBorders>
              <w:top w:val="single" w:sz="4" w:space="0" w:color="BFBFBF"/>
              <w:left w:val="single" w:sz="4" w:space="0" w:color="auto"/>
              <w:bottom w:val="single" w:sz="4" w:space="0" w:color="auto"/>
              <w:right w:val="single" w:sz="4" w:space="0" w:color="auto"/>
            </w:tcBorders>
            <w:tcMar>
              <w:top w:w="0" w:type="dxa"/>
              <w:left w:w="28" w:type="dxa"/>
              <w:bottom w:w="0" w:type="dxa"/>
              <w:right w:w="28" w:type="dxa"/>
            </w:tcMar>
            <w:vAlign w:val="center"/>
          </w:tcPr>
          <w:p w:rsidR="009571FA" w:rsidRPr="00641C40" w:rsidRDefault="009571FA" w:rsidP="00777306">
            <w:pPr>
              <w:tabs>
                <w:tab w:val="left" w:pos="253"/>
              </w:tabs>
              <w:spacing w:line="276" w:lineRule="auto"/>
              <w:jc w:val="center"/>
              <w:rPr>
                <w:rFonts w:ascii="Calibri" w:hAnsi="Calibri"/>
                <w:szCs w:val="20"/>
                <w:lang w:val="es-ES_tradnl"/>
              </w:rPr>
            </w:pPr>
            <w:r w:rsidRPr="00641C40">
              <w:rPr>
                <w:rFonts w:ascii="Calibri" w:hAnsi="Calibri"/>
                <w:szCs w:val="20"/>
                <w:lang w:val="es-ES_tradnl"/>
              </w:rPr>
              <w:t>6</w:t>
            </w:r>
          </w:p>
        </w:tc>
        <w:tc>
          <w:tcPr>
            <w:tcW w:w="785" w:type="dxa"/>
            <w:tcBorders>
              <w:top w:val="single" w:sz="4" w:space="0" w:color="BFBFBF"/>
              <w:left w:val="single" w:sz="4" w:space="0" w:color="auto"/>
              <w:bottom w:val="single" w:sz="4" w:space="0" w:color="auto"/>
              <w:right w:val="nil"/>
            </w:tcBorders>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s-ES_tradnl"/>
              </w:rPr>
            </w:pPr>
            <w:r w:rsidRPr="00641C40">
              <w:rPr>
                <w:rFonts w:ascii="Calibri" w:hAnsi="Calibri"/>
                <w:szCs w:val="20"/>
                <w:lang w:val="es-ES_tradnl"/>
              </w:rPr>
              <w:t>5</w:t>
            </w:r>
          </w:p>
        </w:tc>
        <w:tc>
          <w:tcPr>
            <w:tcW w:w="885" w:type="dxa"/>
            <w:tcBorders>
              <w:top w:val="single" w:sz="4" w:space="0" w:color="BFBFBF"/>
              <w:left w:val="nil"/>
              <w:bottom w:val="single" w:sz="4" w:space="0" w:color="auto"/>
              <w:right w:val="nil"/>
            </w:tcBorders>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s-ES_tradnl"/>
              </w:rPr>
            </w:pPr>
            <w:r w:rsidRPr="00641C40">
              <w:rPr>
                <w:rFonts w:ascii="Calibri" w:hAnsi="Calibri"/>
                <w:szCs w:val="20"/>
                <w:lang w:val="es-ES_tradnl"/>
              </w:rPr>
              <w:t>83.3</w:t>
            </w:r>
          </w:p>
        </w:tc>
        <w:tc>
          <w:tcPr>
            <w:tcW w:w="916" w:type="dxa"/>
            <w:tcBorders>
              <w:top w:val="single" w:sz="4" w:space="0" w:color="BFBFBF"/>
              <w:left w:val="single" w:sz="4" w:space="0" w:color="auto"/>
              <w:bottom w:val="single" w:sz="4" w:space="0" w:color="auto"/>
              <w:right w:val="nil"/>
            </w:tcBorders>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s-ES_tradnl"/>
              </w:rPr>
            </w:pPr>
            <w:r w:rsidRPr="00641C40">
              <w:rPr>
                <w:rFonts w:ascii="Calibri" w:hAnsi="Calibri"/>
                <w:szCs w:val="20"/>
                <w:lang w:val="es-ES_tradnl"/>
              </w:rPr>
              <w:t>1</w:t>
            </w:r>
          </w:p>
        </w:tc>
        <w:tc>
          <w:tcPr>
            <w:tcW w:w="809" w:type="dxa"/>
            <w:tcBorders>
              <w:top w:val="single" w:sz="4" w:space="0" w:color="BFBFBF"/>
              <w:left w:val="nil"/>
              <w:bottom w:val="single" w:sz="4" w:space="0" w:color="auto"/>
              <w:right w:val="nil"/>
            </w:tcBorders>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s-ES_tradnl"/>
              </w:rPr>
            </w:pPr>
            <w:r w:rsidRPr="00641C40">
              <w:rPr>
                <w:rFonts w:ascii="Calibri" w:hAnsi="Calibri"/>
                <w:szCs w:val="20"/>
                <w:lang w:val="es-ES_tradnl"/>
              </w:rPr>
              <w:t>16.7</w:t>
            </w:r>
          </w:p>
        </w:tc>
        <w:tc>
          <w:tcPr>
            <w:tcW w:w="810" w:type="dxa"/>
            <w:tcBorders>
              <w:top w:val="single" w:sz="4" w:space="0" w:color="BFBFBF"/>
              <w:left w:val="single" w:sz="4" w:space="0" w:color="auto"/>
              <w:bottom w:val="single" w:sz="4" w:space="0" w:color="auto"/>
              <w:right w:val="nil"/>
            </w:tcBorders>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s-ES_tradnl"/>
              </w:rPr>
            </w:pPr>
            <w:r w:rsidRPr="00641C40">
              <w:rPr>
                <w:rFonts w:ascii="Calibri" w:hAnsi="Calibri"/>
                <w:szCs w:val="20"/>
                <w:lang w:val="es-ES_tradnl"/>
              </w:rPr>
              <w:t>0</w:t>
            </w:r>
          </w:p>
        </w:tc>
        <w:tc>
          <w:tcPr>
            <w:tcW w:w="977" w:type="dxa"/>
            <w:tcBorders>
              <w:top w:val="single" w:sz="4" w:space="0" w:color="BFBFBF"/>
              <w:left w:val="nil"/>
              <w:bottom w:val="single" w:sz="4" w:space="0" w:color="auto"/>
              <w:right w:val="single" w:sz="4" w:space="0" w:color="auto"/>
            </w:tcBorders>
            <w:tcMar>
              <w:top w:w="0" w:type="dxa"/>
              <w:left w:w="28" w:type="dxa"/>
              <w:bottom w:w="0" w:type="dxa"/>
              <w:right w:w="28" w:type="dxa"/>
            </w:tcMar>
            <w:vAlign w:val="center"/>
          </w:tcPr>
          <w:p w:rsidR="009571FA" w:rsidRPr="00641C40" w:rsidRDefault="009571FA" w:rsidP="00777306">
            <w:pPr>
              <w:spacing w:line="276" w:lineRule="auto"/>
              <w:jc w:val="center"/>
              <w:rPr>
                <w:rFonts w:ascii="Calibri" w:hAnsi="Calibri"/>
                <w:szCs w:val="20"/>
                <w:lang w:val="es-ES_tradnl"/>
              </w:rPr>
            </w:pPr>
            <w:r w:rsidRPr="00641C40">
              <w:rPr>
                <w:rFonts w:ascii="Calibri" w:hAnsi="Calibri"/>
                <w:szCs w:val="20"/>
                <w:lang w:val="es-ES_tradnl"/>
              </w:rPr>
              <w:t>0.0</w:t>
            </w:r>
          </w:p>
        </w:tc>
      </w:tr>
    </w:tbl>
    <w:p w:rsidR="009571FA" w:rsidRDefault="009571FA" w:rsidP="00777306">
      <w:pPr>
        <w:tabs>
          <w:tab w:val="left" w:pos="1134"/>
        </w:tabs>
        <w:ind w:left="720"/>
        <w:rPr>
          <w:rFonts w:ascii="Cambria" w:hAnsi="Cambria"/>
          <w:sz w:val="18"/>
          <w:lang w:val="es-ES_tradnl"/>
        </w:rPr>
      </w:pPr>
    </w:p>
    <w:p w:rsidR="002F41A6" w:rsidRDefault="009571FA" w:rsidP="002F41A6">
      <w:pPr>
        <w:tabs>
          <w:tab w:val="left" w:pos="1134"/>
        </w:tabs>
        <w:ind w:left="720"/>
        <w:rPr>
          <w:sz w:val="18"/>
        </w:rPr>
      </w:pPr>
      <w:r>
        <w:rPr>
          <w:sz w:val="18"/>
        </w:rPr>
        <w:t xml:space="preserve"> * 5 </w:t>
      </w:r>
      <w:r w:rsidR="002F41A6">
        <w:rPr>
          <w:sz w:val="18"/>
        </w:rPr>
        <w:t>respondents on this subject were excluded due to don't know answers</w:t>
      </w:r>
    </w:p>
    <w:p w:rsidR="002F41A6" w:rsidRDefault="002F41A6" w:rsidP="002F41A6">
      <w:pPr>
        <w:pStyle w:val="ListParagraph"/>
        <w:ind w:left="0"/>
        <w:rPr>
          <w:sz w:val="22"/>
        </w:rPr>
      </w:pPr>
    </w:p>
    <w:p w:rsidR="009571FA" w:rsidRDefault="009571FA" w:rsidP="00141EAB">
      <w:pPr>
        <w:tabs>
          <w:tab w:val="left" w:pos="1134"/>
        </w:tabs>
        <w:ind w:left="720"/>
        <w:rPr>
          <w:sz w:val="18"/>
        </w:rPr>
      </w:pPr>
    </w:p>
    <w:p w:rsidR="009571FA" w:rsidRDefault="003F23D0" w:rsidP="00581596">
      <w:pPr>
        <w:pStyle w:val="ListParagraph"/>
        <w:numPr>
          <w:ilvl w:val="0"/>
          <w:numId w:val="44"/>
        </w:numPr>
        <w:rPr>
          <w:b/>
          <w:sz w:val="24"/>
        </w:rPr>
      </w:pPr>
      <w:r>
        <w:rPr>
          <w:b/>
          <w:sz w:val="24"/>
        </w:rPr>
        <w:t xml:space="preserve"> </w:t>
      </w:r>
      <w:r w:rsidR="009571FA" w:rsidRPr="00D32512">
        <w:rPr>
          <w:b/>
          <w:sz w:val="24"/>
        </w:rPr>
        <w:t>Perceived facilitating and inhibiting factors for gender  integration in the programming cycle</w:t>
      </w:r>
    </w:p>
    <w:p w:rsidR="003704F9" w:rsidRDefault="003704F9" w:rsidP="003704F9">
      <w:pPr>
        <w:rPr>
          <w:b/>
          <w:sz w:val="24"/>
        </w:rPr>
      </w:pPr>
    </w:p>
    <w:p w:rsidR="003704F9" w:rsidRDefault="003704F9" w:rsidP="003704F9">
      <w:pPr>
        <w:rPr>
          <w:b/>
          <w:sz w:val="24"/>
        </w:rPr>
      </w:pPr>
    </w:p>
    <w:p w:rsidR="003704F9" w:rsidRDefault="003704F9" w:rsidP="003704F9">
      <w:pPr>
        <w:pStyle w:val="ListParagraph"/>
        <w:ind w:left="360"/>
        <w:rPr>
          <w:rFonts w:cs="Arial"/>
          <w:sz w:val="22"/>
        </w:rPr>
      </w:pPr>
      <w:r>
        <w:rPr>
          <w:rFonts w:cs="Arial"/>
          <w:b/>
          <w:sz w:val="22"/>
        </w:rPr>
        <w:t xml:space="preserve">Summary results of the </w:t>
      </w:r>
      <w:r>
        <w:rPr>
          <w:rFonts w:cs="Arial"/>
          <w:sz w:val="22"/>
        </w:rPr>
        <w:t>responses to the interview’s six open-ended questions on perceived f</w:t>
      </w:r>
      <w:r>
        <w:rPr>
          <w:rFonts w:cs="Arial"/>
          <w:b/>
          <w:sz w:val="22"/>
        </w:rPr>
        <w:t>acilitating and inhibiting factors* to gender integration in the operational programming cycle</w:t>
      </w:r>
      <w:r>
        <w:rPr>
          <w:rFonts w:cs="Arial"/>
          <w:sz w:val="22"/>
        </w:rPr>
        <w:t xml:space="preserve"> </w:t>
      </w:r>
    </w:p>
    <w:p w:rsidR="003704F9" w:rsidRDefault="003704F9" w:rsidP="003704F9">
      <w:pPr>
        <w:pStyle w:val="ListParagraph"/>
        <w:tabs>
          <w:tab w:val="left" w:pos="9000"/>
        </w:tabs>
        <w:ind w:left="1080" w:right="360"/>
        <w:jc w:val="center"/>
        <w:rPr>
          <w:b/>
          <w:sz w:val="24"/>
        </w:rPr>
      </w:pPr>
    </w:p>
    <w:tbl>
      <w:tblPr>
        <w:tblW w:w="9180" w:type="dxa"/>
        <w:tblInd w:w="288" w:type="dxa"/>
        <w:tblBorders>
          <w:top w:val="single" w:sz="4" w:space="0" w:color="auto"/>
          <w:left w:val="single" w:sz="4" w:space="0" w:color="auto"/>
          <w:bottom w:val="single" w:sz="4" w:space="0" w:color="auto"/>
          <w:right w:val="single" w:sz="4" w:space="0" w:color="auto"/>
        </w:tblBorders>
        <w:tblLook w:val="00A0"/>
      </w:tblPr>
      <w:tblGrid>
        <w:gridCol w:w="9180"/>
      </w:tblGrid>
      <w:tr w:rsidR="003704F9" w:rsidTr="003704F9">
        <w:trPr>
          <w:trHeight w:val="1890"/>
        </w:trPr>
        <w:tc>
          <w:tcPr>
            <w:tcW w:w="9180" w:type="dxa"/>
            <w:tcBorders>
              <w:top w:val="single" w:sz="4" w:space="0" w:color="auto"/>
              <w:left w:val="single" w:sz="4" w:space="0" w:color="auto"/>
              <w:bottom w:val="single" w:sz="4" w:space="0" w:color="auto"/>
              <w:right w:val="single" w:sz="4" w:space="0" w:color="auto"/>
            </w:tcBorders>
            <w:shd w:val="clear" w:color="auto" w:fill="DBE5F1"/>
          </w:tcPr>
          <w:p w:rsidR="003704F9" w:rsidRDefault="003704F9">
            <w:pPr>
              <w:pStyle w:val="ListParagraph"/>
              <w:shd w:val="clear" w:color="auto" w:fill="DBE5F1"/>
              <w:ind w:left="0"/>
              <w:jc w:val="both"/>
              <w:rPr>
                <w:sz w:val="18"/>
              </w:rPr>
            </w:pPr>
          </w:p>
          <w:p w:rsidR="003704F9" w:rsidRDefault="003704F9">
            <w:pPr>
              <w:pStyle w:val="ListParagraph"/>
              <w:shd w:val="clear" w:color="auto" w:fill="EEECE1"/>
              <w:ind w:left="0"/>
              <w:jc w:val="both"/>
              <w:rPr>
                <w:b/>
                <w:sz w:val="22"/>
              </w:rPr>
            </w:pPr>
            <w:r>
              <w:rPr>
                <w:b/>
                <w:sz w:val="22"/>
              </w:rPr>
              <w:t xml:space="preserve">    Overall tendencies of Gender integration in the </w:t>
            </w:r>
            <w:r>
              <w:rPr>
                <w:b/>
                <w:i/>
                <w:sz w:val="22"/>
              </w:rPr>
              <w:t>different phases</w:t>
            </w:r>
            <w:r>
              <w:rPr>
                <w:b/>
                <w:sz w:val="22"/>
              </w:rPr>
              <w:t xml:space="preserve"> of the    </w:t>
            </w:r>
          </w:p>
          <w:p w:rsidR="003704F9" w:rsidRDefault="003704F9">
            <w:pPr>
              <w:pStyle w:val="ListParagraph"/>
              <w:shd w:val="clear" w:color="auto" w:fill="EEECE1"/>
              <w:ind w:left="0"/>
              <w:jc w:val="both"/>
              <w:rPr>
                <w:b/>
                <w:sz w:val="22"/>
              </w:rPr>
            </w:pPr>
            <w:r>
              <w:rPr>
                <w:b/>
                <w:sz w:val="22"/>
              </w:rPr>
              <w:t xml:space="preserve">    programming cycle</w:t>
            </w:r>
          </w:p>
          <w:p w:rsidR="003704F9" w:rsidRDefault="003704F9">
            <w:pPr>
              <w:pStyle w:val="ListParagraph"/>
              <w:shd w:val="clear" w:color="auto" w:fill="DBE5F1"/>
              <w:ind w:left="0"/>
              <w:jc w:val="both"/>
              <w:rPr>
                <w:b/>
                <w:sz w:val="22"/>
              </w:rPr>
            </w:pPr>
          </w:p>
          <w:p w:rsidR="003704F9" w:rsidRDefault="003704F9" w:rsidP="00581596">
            <w:pPr>
              <w:pStyle w:val="ListParagraph"/>
              <w:numPr>
                <w:ilvl w:val="0"/>
                <w:numId w:val="56"/>
              </w:numPr>
              <w:shd w:val="clear" w:color="auto" w:fill="DBE5F1"/>
              <w:ind w:left="648" w:right="540"/>
              <w:rPr>
                <w:sz w:val="22"/>
              </w:rPr>
            </w:pPr>
            <w:r>
              <w:rPr>
                <w:sz w:val="22"/>
              </w:rPr>
              <w:t xml:space="preserve">Weaknesses of gender integration in the </w:t>
            </w:r>
            <w:r>
              <w:rPr>
                <w:b/>
                <w:sz w:val="22"/>
              </w:rPr>
              <w:t>planning stage</w:t>
            </w:r>
            <w:r>
              <w:rPr>
                <w:sz w:val="22"/>
              </w:rPr>
              <w:t xml:space="preserve"> were seen as hampering integration prospects in the subsequent stages of implementation and monitoring.</w:t>
            </w:r>
          </w:p>
          <w:p w:rsidR="003704F9" w:rsidRDefault="003704F9">
            <w:pPr>
              <w:pStyle w:val="ListParagraph"/>
              <w:shd w:val="clear" w:color="auto" w:fill="DBE5F1"/>
              <w:ind w:left="288" w:right="540"/>
              <w:rPr>
                <w:sz w:val="10"/>
              </w:rPr>
            </w:pPr>
          </w:p>
          <w:p w:rsidR="003704F9" w:rsidRDefault="003704F9" w:rsidP="00581596">
            <w:pPr>
              <w:pStyle w:val="ListParagraph"/>
              <w:numPr>
                <w:ilvl w:val="0"/>
                <w:numId w:val="56"/>
              </w:numPr>
              <w:shd w:val="clear" w:color="auto" w:fill="DBE5F1"/>
              <w:ind w:left="648" w:right="540"/>
              <w:rPr>
                <w:sz w:val="22"/>
              </w:rPr>
            </w:pPr>
            <w:r>
              <w:rPr>
                <w:sz w:val="22"/>
              </w:rPr>
              <w:t xml:space="preserve">Significant advances in gender integration were identified in some cases in relation to the </w:t>
            </w:r>
            <w:r>
              <w:rPr>
                <w:b/>
                <w:sz w:val="22"/>
              </w:rPr>
              <w:t>implementation</w:t>
            </w:r>
            <w:r>
              <w:rPr>
                <w:sz w:val="22"/>
              </w:rPr>
              <w:t xml:space="preserve"> stage. However, these advances were attributed to particular gender-focused initiatives rather than to enhanced gender sensitivity/ competencies. </w:t>
            </w:r>
          </w:p>
          <w:p w:rsidR="003704F9" w:rsidRDefault="003704F9">
            <w:pPr>
              <w:shd w:val="clear" w:color="auto" w:fill="DBE5F1"/>
              <w:ind w:right="540"/>
              <w:rPr>
                <w:sz w:val="10"/>
              </w:rPr>
            </w:pPr>
          </w:p>
          <w:p w:rsidR="003704F9" w:rsidRDefault="003704F9" w:rsidP="00581596">
            <w:pPr>
              <w:pStyle w:val="ListParagraph"/>
              <w:numPr>
                <w:ilvl w:val="0"/>
                <w:numId w:val="56"/>
              </w:numPr>
              <w:shd w:val="clear" w:color="auto" w:fill="DBE5F1"/>
              <w:ind w:left="648" w:right="540"/>
              <w:rPr>
                <w:sz w:val="22"/>
              </w:rPr>
            </w:pPr>
            <w:r>
              <w:rPr>
                <w:sz w:val="22"/>
              </w:rPr>
              <w:t>Gender-sensitive monitoring &amp; evaluation were considered almost non-existent.</w:t>
            </w:r>
          </w:p>
          <w:p w:rsidR="003704F9" w:rsidRDefault="003704F9">
            <w:pPr>
              <w:pStyle w:val="ListParagraph"/>
              <w:shd w:val="clear" w:color="auto" w:fill="DBE5F1"/>
              <w:ind w:left="648" w:right="540"/>
              <w:rPr>
                <w:sz w:val="10"/>
              </w:rPr>
            </w:pPr>
          </w:p>
          <w:p w:rsidR="003704F9" w:rsidRDefault="003704F9" w:rsidP="00581596">
            <w:pPr>
              <w:pStyle w:val="ListParagraph"/>
              <w:numPr>
                <w:ilvl w:val="0"/>
                <w:numId w:val="56"/>
              </w:numPr>
              <w:shd w:val="clear" w:color="auto" w:fill="DBE5F1"/>
              <w:ind w:left="648" w:right="540"/>
              <w:rPr>
                <w:sz w:val="22"/>
              </w:rPr>
            </w:pPr>
            <w:r>
              <w:rPr>
                <w:sz w:val="22"/>
              </w:rPr>
              <w:t xml:space="preserve">Gender awareness was seen as widespread, nor so the needed competencies to integrate gender into operational programming. </w:t>
            </w:r>
          </w:p>
          <w:p w:rsidR="003704F9" w:rsidRDefault="003704F9">
            <w:pPr>
              <w:pStyle w:val="ListParagraph"/>
              <w:shd w:val="clear" w:color="auto" w:fill="DBE5F1"/>
              <w:ind w:left="288" w:right="540"/>
              <w:rPr>
                <w:sz w:val="22"/>
              </w:rPr>
            </w:pPr>
          </w:p>
          <w:p w:rsidR="003704F9" w:rsidRDefault="003704F9">
            <w:pPr>
              <w:pStyle w:val="ListParagraph"/>
              <w:shd w:val="clear" w:color="auto" w:fill="EEECE1" w:themeFill="background2"/>
              <w:ind w:left="0" w:right="540"/>
              <w:rPr>
                <w:b/>
                <w:sz w:val="22"/>
              </w:rPr>
            </w:pPr>
            <w:r>
              <w:rPr>
                <w:b/>
                <w:i/>
                <w:sz w:val="22"/>
                <w:shd w:val="clear" w:color="auto" w:fill="EEECE1"/>
              </w:rPr>
              <w:t xml:space="preserve">     Challenges</w:t>
            </w:r>
            <w:r>
              <w:rPr>
                <w:b/>
                <w:sz w:val="22"/>
                <w:shd w:val="clear" w:color="auto" w:fill="EEECE1"/>
              </w:rPr>
              <w:t xml:space="preserve"> for gender mainstreaming perceived as most significant                 </w:t>
            </w:r>
            <w:r>
              <w:rPr>
                <w:b/>
                <w:sz w:val="22"/>
                <w:shd w:val="clear" w:color="auto" w:fill="EEECE1" w:themeFill="background2"/>
              </w:rPr>
              <w:t xml:space="preserve">          </w:t>
            </w:r>
            <w:r>
              <w:rPr>
                <w:b/>
                <w:sz w:val="22"/>
                <w:shd w:val="clear" w:color="auto" w:fill="EEECE1"/>
              </w:rPr>
              <w:t xml:space="preserve">                </w:t>
            </w:r>
            <w:r>
              <w:rPr>
                <w:b/>
                <w:sz w:val="22"/>
              </w:rPr>
              <w:t xml:space="preserve"> </w:t>
            </w:r>
          </w:p>
          <w:p w:rsidR="003704F9" w:rsidRDefault="003704F9">
            <w:pPr>
              <w:pStyle w:val="ListParagraph"/>
              <w:shd w:val="clear" w:color="auto" w:fill="DBE5F1"/>
              <w:ind w:left="0" w:right="540"/>
              <w:rPr>
                <w:sz w:val="8"/>
              </w:rPr>
            </w:pPr>
          </w:p>
          <w:p w:rsidR="003704F9" w:rsidRDefault="003704F9" w:rsidP="00581596">
            <w:pPr>
              <w:pStyle w:val="ListParagraph"/>
              <w:numPr>
                <w:ilvl w:val="0"/>
                <w:numId w:val="57"/>
              </w:numPr>
              <w:shd w:val="clear" w:color="auto" w:fill="DBE5F1"/>
              <w:ind w:right="540"/>
              <w:rPr>
                <w:sz w:val="22"/>
              </w:rPr>
            </w:pPr>
            <w:r>
              <w:rPr>
                <w:sz w:val="22"/>
              </w:rPr>
              <w:t xml:space="preserve">Deficiencies in/ lack of understanding of gender issues in </w:t>
            </w:r>
            <w:r>
              <w:rPr>
                <w:b/>
                <w:sz w:val="22"/>
              </w:rPr>
              <w:t>specific</w:t>
            </w:r>
            <w:r>
              <w:rPr>
                <w:sz w:val="22"/>
              </w:rPr>
              <w:t xml:space="preserve"> areas of work </w:t>
            </w:r>
          </w:p>
          <w:p w:rsidR="003704F9" w:rsidRDefault="003704F9" w:rsidP="00581596">
            <w:pPr>
              <w:pStyle w:val="ListParagraph"/>
              <w:numPr>
                <w:ilvl w:val="0"/>
                <w:numId w:val="57"/>
              </w:numPr>
              <w:shd w:val="clear" w:color="auto" w:fill="DBE5F1"/>
              <w:ind w:right="540"/>
              <w:rPr>
                <w:sz w:val="22"/>
              </w:rPr>
            </w:pPr>
            <w:r>
              <w:rPr>
                <w:sz w:val="22"/>
              </w:rPr>
              <w:t xml:space="preserve">Gaps in the institutional environment referring to formal guidelines, accountability mechanisms, and incentives </w:t>
            </w:r>
          </w:p>
          <w:p w:rsidR="003704F9" w:rsidRDefault="003704F9" w:rsidP="00581596">
            <w:pPr>
              <w:pStyle w:val="ListParagraph"/>
              <w:numPr>
                <w:ilvl w:val="0"/>
                <w:numId w:val="57"/>
              </w:numPr>
              <w:shd w:val="clear" w:color="auto" w:fill="DBE5F1"/>
              <w:ind w:right="540"/>
              <w:rPr>
                <w:sz w:val="22"/>
              </w:rPr>
            </w:pPr>
            <w:r>
              <w:rPr>
                <w:sz w:val="22"/>
              </w:rPr>
              <w:t xml:space="preserve">Severe limitations of enabling resources, particularly gender-skilled human resources </w:t>
            </w:r>
          </w:p>
          <w:p w:rsidR="003704F9" w:rsidRDefault="003704F9">
            <w:pPr>
              <w:pStyle w:val="ListParagraph"/>
              <w:shd w:val="clear" w:color="auto" w:fill="DBE5F1"/>
              <w:ind w:left="-360" w:right="540"/>
              <w:rPr>
                <w:sz w:val="22"/>
              </w:rPr>
            </w:pPr>
          </w:p>
          <w:p w:rsidR="003704F9" w:rsidRDefault="003704F9">
            <w:pPr>
              <w:pStyle w:val="ListParagraph"/>
              <w:shd w:val="clear" w:color="auto" w:fill="DBE5F1"/>
              <w:ind w:left="0" w:right="540"/>
              <w:rPr>
                <w:sz w:val="14"/>
              </w:rPr>
            </w:pPr>
            <w:r>
              <w:rPr>
                <w:b/>
                <w:sz w:val="22"/>
                <w:shd w:val="clear" w:color="auto" w:fill="EEECE1"/>
              </w:rPr>
              <w:t xml:space="preserve">     </w:t>
            </w:r>
            <w:r>
              <w:rPr>
                <w:b/>
                <w:i/>
                <w:sz w:val="22"/>
                <w:shd w:val="clear" w:color="auto" w:fill="EEECE1"/>
              </w:rPr>
              <w:t>Internal facilitating factors</w:t>
            </w:r>
            <w:r>
              <w:rPr>
                <w:b/>
                <w:sz w:val="22"/>
                <w:shd w:val="clear" w:color="auto" w:fill="EEECE1"/>
              </w:rPr>
              <w:t xml:space="preserve"> reported as most decisive </w:t>
            </w:r>
            <w:r>
              <w:rPr>
                <w:b/>
                <w:sz w:val="22"/>
                <w:shd w:val="clear" w:color="auto" w:fill="EEECE1" w:themeFill="background2"/>
              </w:rPr>
              <w:t xml:space="preserve">                                                                              </w:t>
            </w:r>
            <w:r>
              <w:rPr>
                <w:sz w:val="22"/>
                <w:shd w:val="clear" w:color="auto" w:fill="EEECE1" w:themeFill="background2"/>
              </w:rPr>
              <w:t xml:space="preserve">  </w:t>
            </w:r>
            <w:r>
              <w:rPr>
                <w:sz w:val="22"/>
                <w:shd w:val="clear" w:color="auto" w:fill="EEECE1"/>
              </w:rPr>
              <w:t xml:space="preserve">                                 </w:t>
            </w:r>
          </w:p>
          <w:p w:rsidR="003704F9" w:rsidRDefault="003704F9">
            <w:pPr>
              <w:pStyle w:val="ListParagraph"/>
              <w:shd w:val="clear" w:color="auto" w:fill="DBE5F1"/>
              <w:rPr>
                <w:sz w:val="10"/>
              </w:rPr>
            </w:pPr>
          </w:p>
          <w:p w:rsidR="003704F9" w:rsidRDefault="003704F9" w:rsidP="00581596">
            <w:pPr>
              <w:pStyle w:val="ListParagraph"/>
              <w:numPr>
                <w:ilvl w:val="0"/>
                <w:numId w:val="58"/>
              </w:numPr>
              <w:shd w:val="clear" w:color="auto" w:fill="DBE5F1"/>
              <w:ind w:right="540"/>
              <w:rPr>
                <w:sz w:val="22"/>
              </w:rPr>
            </w:pPr>
            <w:r>
              <w:rPr>
                <w:sz w:val="22"/>
              </w:rPr>
              <w:t>Proactive support from the Director and some senior managers (in HQ and CO), as well as institutional pro-gender equality policies</w:t>
            </w:r>
          </w:p>
          <w:p w:rsidR="003704F9" w:rsidRDefault="003704F9" w:rsidP="00581596">
            <w:pPr>
              <w:pStyle w:val="ListParagraph"/>
              <w:numPr>
                <w:ilvl w:val="0"/>
                <w:numId w:val="58"/>
              </w:numPr>
              <w:shd w:val="clear" w:color="auto" w:fill="DBE5F1"/>
              <w:ind w:right="540"/>
              <w:rPr>
                <w:sz w:val="22"/>
              </w:rPr>
            </w:pPr>
            <w:r>
              <w:rPr>
                <w:sz w:val="22"/>
              </w:rPr>
              <w:t xml:space="preserve">Advances in awareness, understanding, competencies, access and use of information on the part of technical teams </w:t>
            </w:r>
          </w:p>
          <w:p w:rsidR="003704F9" w:rsidRDefault="003704F9" w:rsidP="00581596">
            <w:pPr>
              <w:pStyle w:val="ListParagraph"/>
              <w:numPr>
                <w:ilvl w:val="0"/>
                <w:numId w:val="58"/>
              </w:numPr>
              <w:shd w:val="clear" w:color="auto" w:fill="DBE5F1"/>
              <w:ind w:right="540"/>
              <w:rPr>
                <w:sz w:val="22"/>
              </w:rPr>
            </w:pPr>
            <w:r>
              <w:rPr>
                <w:sz w:val="22"/>
              </w:rPr>
              <w:t>Presence and collaboration of the Gender team in HQ (GE Unit) and in some countries, through GE focal points</w:t>
            </w:r>
          </w:p>
          <w:p w:rsidR="003704F9" w:rsidRDefault="003704F9">
            <w:pPr>
              <w:pStyle w:val="ListParagraph"/>
              <w:shd w:val="clear" w:color="auto" w:fill="DBE5F1"/>
              <w:rPr>
                <w:i/>
                <w:sz w:val="22"/>
              </w:rPr>
            </w:pPr>
          </w:p>
          <w:p w:rsidR="003704F9" w:rsidRDefault="003704F9">
            <w:pPr>
              <w:pStyle w:val="ListParagraph"/>
              <w:shd w:val="clear" w:color="auto" w:fill="EEECE1"/>
              <w:ind w:left="0" w:right="540"/>
              <w:rPr>
                <w:sz w:val="22"/>
              </w:rPr>
            </w:pPr>
            <w:r>
              <w:rPr>
                <w:b/>
                <w:i/>
                <w:sz w:val="22"/>
              </w:rPr>
              <w:t xml:space="preserve">    External facilitating factors</w:t>
            </w:r>
            <w:r>
              <w:rPr>
                <w:b/>
                <w:sz w:val="22"/>
              </w:rPr>
              <w:t xml:space="preserve"> characterized as most influential</w:t>
            </w:r>
            <w:r>
              <w:rPr>
                <w:sz w:val="22"/>
              </w:rPr>
              <w:t xml:space="preserve"> </w:t>
            </w:r>
          </w:p>
          <w:p w:rsidR="003704F9" w:rsidRDefault="003704F9">
            <w:pPr>
              <w:pStyle w:val="ListParagraph"/>
              <w:shd w:val="clear" w:color="auto" w:fill="DBE5F1"/>
              <w:ind w:right="540"/>
              <w:rPr>
                <w:sz w:val="8"/>
              </w:rPr>
            </w:pPr>
            <w:r>
              <w:rPr>
                <w:sz w:val="16"/>
              </w:rPr>
              <w:t xml:space="preserve">            </w:t>
            </w:r>
          </w:p>
          <w:p w:rsidR="003704F9" w:rsidRDefault="003704F9" w:rsidP="00581596">
            <w:pPr>
              <w:pStyle w:val="ListParagraph"/>
              <w:numPr>
                <w:ilvl w:val="0"/>
                <w:numId w:val="59"/>
              </w:numPr>
              <w:shd w:val="clear" w:color="auto" w:fill="DBE5F1"/>
              <w:ind w:right="540"/>
              <w:rPr>
                <w:sz w:val="22"/>
              </w:rPr>
            </w:pPr>
            <w:r>
              <w:rPr>
                <w:sz w:val="22"/>
              </w:rPr>
              <w:t xml:space="preserve">Financial and political support received from progressive donors; </w:t>
            </w:r>
          </w:p>
          <w:p w:rsidR="003704F9" w:rsidRDefault="003704F9" w:rsidP="00581596">
            <w:pPr>
              <w:pStyle w:val="ListParagraph"/>
              <w:numPr>
                <w:ilvl w:val="0"/>
                <w:numId w:val="59"/>
              </w:numPr>
              <w:shd w:val="clear" w:color="auto" w:fill="DBE5F1"/>
              <w:ind w:right="540"/>
              <w:rPr>
                <w:sz w:val="22"/>
              </w:rPr>
            </w:pPr>
            <w:r>
              <w:rPr>
                <w:sz w:val="22"/>
              </w:rPr>
              <w:t>Alliances &amp; partnerships with other UN and Inter American Systems’ agencies</w:t>
            </w:r>
          </w:p>
          <w:p w:rsidR="003704F9" w:rsidRDefault="003704F9" w:rsidP="00581596">
            <w:pPr>
              <w:pStyle w:val="ListParagraph"/>
              <w:numPr>
                <w:ilvl w:val="0"/>
                <w:numId w:val="59"/>
              </w:numPr>
              <w:shd w:val="clear" w:color="auto" w:fill="DBE5F1"/>
              <w:ind w:right="540"/>
              <w:jc w:val="both"/>
              <w:rPr>
                <w:sz w:val="28"/>
              </w:rPr>
            </w:pPr>
            <w:r>
              <w:rPr>
                <w:sz w:val="22"/>
              </w:rPr>
              <w:t>Multi-sector work involving National Ministries of Women’s Affairs.</w:t>
            </w:r>
          </w:p>
          <w:p w:rsidR="003704F9" w:rsidRDefault="003704F9">
            <w:pPr>
              <w:pStyle w:val="ListParagraph"/>
              <w:shd w:val="clear" w:color="auto" w:fill="DBE5F1"/>
              <w:ind w:right="540"/>
              <w:jc w:val="both"/>
              <w:rPr>
                <w:sz w:val="2"/>
              </w:rPr>
            </w:pPr>
          </w:p>
          <w:p w:rsidR="003704F9" w:rsidRDefault="003704F9">
            <w:pPr>
              <w:pStyle w:val="ListParagraph"/>
              <w:shd w:val="clear" w:color="auto" w:fill="DBE5F1"/>
              <w:ind w:right="540"/>
              <w:jc w:val="both"/>
              <w:rPr>
                <w:sz w:val="12"/>
              </w:rPr>
            </w:pPr>
          </w:p>
        </w:tc>
      </w:tr>
    </w:tbl>
    <w:p w:rsidR="003704F9" w:rsidRPr="003704F9" w:rsidRDefault="003704F9" w:rsidP="003704F9">
      <w:pPr>
        <w:rPr>
          <w:b/>
          <w:sz w:val="24"/>
          <w:lang w:val="en-US"/>
        </w:rPr>
      </w:pPr>
    </w:p>
    <w:p w:rsidR="009571FA" w:rsidRPr="004437D0" w:rsidRDefault="009571FA" w:rsidP="00777306">
      <w:pPr>
        <w:pStyle w:val="ListParagraph"/>
        <w:ind w:left="0"/>
        <w:rPr>
          <w:b/>
          <w:sz w:val="14"/>
        </w:rPr>
      </w:pPr>
    </w:p>
    <w:p w:rsidR="009571FA" w:rsidRPr="00777306" w:rsidRDefault="009571FA" w:rsidP="00777306">
      <w:pPr>
        <w:pStyle w:val="ListParagraph"/>
        <w:ind w:left="0"/>
        <w:rPr>
          <w:sz w:val="22"/>
        </w:rPr>
      </w:pPr>
      <w:r w:rsidRPr="00777306">
        <w:rPr>
          <w:sz w:val="22"/>
        </w:rPr>
        <w:t>The responses to the open-ended questions on challenges and facilitating factors affecting the programming cycle were classified under the following analytical categories: (1) staff understanding of and technical capacities for gender mainstreaming; (2) enabling institutional environment: resources and mechanisms; (3) external partnerships and alliances</w:t>
      </w:r>
      <w:r>
        <w:rPr>
          <w:sz w:val="22"/>
        </w:rPr>
        <w:t>; and (4) c</w:t>
      </w:r>
      <w:r w:rsidRPr="00777306">
        <w:rPr>
          <w:sz w:val="22"/>
        </w:rPr>
        <w:t xml:space="preserve">ollaboration with the PAHO Gender Network </w:t>
      </w:r>
      <w:r>
        <w:rPr>
          <w:sz w:val="22"/>
        </w:rPr>
        <w:t>. Although the latter is a subcategory of i</w:t>
      </w:r>
      <w:r w:rsidRPr="00777306">
        <w:rPr>
          <w:sz w:val="22"/>
        </w:rPr>
        <w:t>nstitutional environment</w:t>
      </w:r>
      <w:r>
        <w:rPr>
          <w:sz w:val="22"/>
        </w:rPr>
        <w:t>, it will be analyzed separately given the fact that it was a sampling criterion</w:t>
      </w:r>
      <w:r w:rsidRPr="00777306">
        <w:rPr>
          <w:sz w:val="22"/>
        </w:rPr>
        <w:t xml:space="preserve">. The analysis of these responses aimed to provide a context for the broader discussion about the extent to which gender is integrated into the mainstream of WHO/PAHO programming cycle, and the degree to which the Organization is facilitating that integration. </w:t>
      </w:r>
    </w:p>
    <w:p w:rsidR="009571FA" w:rsidRPr="00777306" w:rsidRDefault="009571FA" w:rsidP="00777306">
      <w:pPr>
        <w:pStyle w:val="ListParagraph"/>
        <w:ind w:left="0"/>
        <w:rPr>
          <w:sz w:val="22"/>
        </w:rPr>
      </w:pPr>
    </w:p>
    <w:p w:rsidR="009571FA" w:rsidRPr="00777306" w:rsidRDefault="009571FA" w:rsidP="00777306">
      <w:pPr>
        <w:pStyle w:val="ListParagraph"/>
        <w:ind w:left="0"/>
        <w:rPr>
          <w:sz w:val="22"/>
        </w:rPr>
      </w:pPr>
      <w:r w:rsidRPr="00777306">
        <w:rPr>
          <w:sz w:val="22"/>
        </w:rPr>
        <w:t xml:space="preserve">While </w:t>
      </w:r>
      <w:r w:rsidR="00CF2BF8">
        <w:rPr>
          <w:sz w:val="22"/>
        </w:rPr>
        <w:t xml:space="preserve">examining </w:t>
      </w:r>
      <w:r w:rsidRPr="00777306">
        <w:rPr>
          <w:sz w:val="22"/>
        </w:rPr>
        <w:t xml:space="preserve">the </w:t>
      </w:r>
      <w:r>
        <w:rPr>
          <w:sz w:val="22"/>
        </w:rPr>
        <w:t xml:space="preserve">findings, </w:t>
      </w:r>
      <w:r w:rsidRPr="00777306">
        <w:rPr>
          <w:sz w:val="22"/>
        </w:rPr>
        <w:t xml:space="preserve">the reader must keep in mind that the information on </w:t>
      </w:r>
      <w:r>
        <w:rPr>
          <w:sz w:val="22"/>
        </w:rPr>
        <w:t xml:space="preserve">the </w:t>
      </w:r>
      <w:r w:rsidRPr="00777306">
        <w:rPr>
          <w:sz w:val="22"/>
        </w:rPr>
        <w:t xml:space="preserve">planning, implementation and evaluation </w:t>
      </w:r>
      <w:r>
        <w:rPr>
          <w:sz w:val="22"/>
        </w:rPr>
        <w:t xml:space="preserve">processes </w:t>
      </w:r>
      <w:r w:rsidRPr="00777306">
        <w:rPr>
          <w:sz w:val="22"/>
        </w:rPr>
        <w:t xml:space="preserve">does not refer to the same chronological programming cycle: the questions on implementation and monitoring </w:t>
      </w:r>
      <w:r w:rsidR="00CF2BF8">
        <w:rPr>
          <w:sz w:val="22"/>
        </w:rPr>
        <w:t xml:space="preserve">corresponded </w:t>
      </w:r>
      <w:r>
        <w:rPr>
          <w:sz w:val="22"/>
        </w:rPr>
        <w:t>to</w:t>
      </w:r>
      <w:r w:rsidRPr="00777306">
        <w:rPr>
          <w:sz w:val="22"/>
        </w:rPr>
        <w:t xml:space="preserve"> the 2006-2007 period, while the </w:t>
      </w:r>
      <w:r>
        <w:rPr>
          <w:sz w:val="22"/>
        </w:rPr>
        <w:t>questions</w:t>
      </w:r>
      <w:r w:rsidRPr="00777306">
        <w:rPr>
          <w:sz w:val="22"/>
        </w:rPr>
        <w:t xml:space="preserve"> on planning </w:t>
      </w:r>
      <w:r>
        <w:rPr>
          <w:sz w:val="22"/>
        </w:rPr>
        <w:t xml:space="preserve">dealt with </w:t>
      </w:r>
      <w:r w:rsidRPr="00777306">
        <w:rPr>
          <w:sz w:val="22"/>
        </w:rPr>
        <w:t>the cycle beginning in 2008. Therefore, the inhibiting or facilitating factors that played a factor in the implementation and monitoring stages of the 2006-2007 B</w:t>
      </w:r>
      <w:r w:rsidR="003704F9">
        <w:rPr>
          <w:sz w:val="22"/>
        </w:rPr>
        <w:t>iennial Work Plan c</w:t>
      </w:r>
      <w:r w:rsidRPr="00777306">
        <w:rPr>
          <w:sz w:val="22"/>
        </w:rPr>
        <w:t>ould not be causally linked to the factors mentioned in relation to the planning phase that took place</w:t>
      </w:r>
      <w:r>
        <w:rPr>
          <w:sz w:val="22"/>
        </w:rPr>
        <w:t xml:space="preserve"> at</w:t>
      </w:r>
      <w:r w:rsidRPr="00777306">
        <w:rPr>
          <w:sz w:val="22"/>
        </w:rPr>
        <w:t xml:space="preserve"> a later time.     </w:t>
      </w:r>
    </w:p>
    <w:p w:rsidR="009571FA" w:rsidRPr="00777306" w:rsidRDefault="009571FA" w:rsidP="00777306">
      <w:pPr>
        <w:rPr>
          <w:sz w:val="22"/>
        </w:rPr>
      </w:pPr>
    </w:p>
    <w:p w:rsidR="009571FA" w:rsidRDefault="009571FA" w:rsidP="00581596">
      <w:pPr>
        <w:pStyle w:val="ListParagraph"/>
        <w:numPr>
          <w:ilvl w:val="1"/>
          <w:numId w:val="44"/>
        </w:numPr>
        <w:rPr>
          <w:b/>
          <w:sz w:val="24"/>
        </w:rPr>
      </w:pPr>
      <w:r w:rsidRPr="00136321">
        <w:rPr>
          <w:b/>
          <w:sz w:val="24"/>
        </w:rPr>
        <w:t xml:space="preserve">Challenges and obstacles </w:t>
      </w:r>
    </w:p>
    <w:p w:rsidR="00433C17" w:rsidRPr="00D444FC" w:rsidRDefault="00433C17" w:rsidP="00433C17">
      <w:pPr>
        <w:pStyle w:val="ListParagraph"/>
        <w:rPr>
          <w:b/>
          <w:sz w:val="22"/>
        </w:rPr>
      </w:pPr>
    </w:p>
    <w:p w:rsidR="009571FA" w:rsidRPr="00777306" w:rsidRDefault="00433C17" w:rsidP="00777306">
      <w:pPr>
        <w:rPr>
          <w:sz w:val="22"/>
        </w:rPr>
      </w:pPr>
      <w:r>
        <w:rPr>
          <w:sz w:val="22"/>
        </w:rPr>
        <w:t>T</w:t>
      </w:r>
      <w:r w:rsidR="009571FA">
        <w:rPr>
          <w:sz w:val="22"/>
        </w:rPr>
        <w:t>he challenges most often and emphatically mentioned fell under the above first two analytical categories: limited understanding and capacities for gender analysis and planning</w:t>
      </w:r>
      <w:r w:rsidR="009571FA" w:rsidRPr="00B66F41">
        <w:rPr>
          <w:sz w:val="22"/>
        </w:rPr>
        <w:t xml:space="preserve"> </w:t>
      </w:r>
      <w:r w:rsidR="009571FA">
        <w:rPr>
          <w:sz w:val="22"/>
        </w:rPr>
        <w:t>on the part of respondents (and their teams); and constraints in the institutional environment. These challenges were also considered most critical during the planning phase. G</w:t>
      </w:r>
      <w:r w:rsidR="009571FA" w:rsidRPr="00777306">
        <w:rPr>
          <w:sz w:val="22"/>
        </w:rPr>
        <w:t xml:space="preserve">iven the </w:t>
      </w:r>
      <w:r w:rsidR="009571FA">
        <w:rPr>
          <w:sz w:val="22"/>
        </w:rPr>
        <w:t xml:space="preserve">almost total </w:t>
      </w:r>
      <w:r w:rsidR="009571FA" w:rsidRPr="00777306">
        <w:rPr>
          <w:sz w:val="22"/>
        </w:rPr>
        <w:t>absence of gender criteria or indicators at the planning stage</w:t>
      </w:r>
      <w:r w:rsidR="009571FA">
        <w:rPr>
          <w:sz w:val="22"/>
        </w:rPr>
        <w:t>, gender</w:t>
      </w:r>
      <w:r w:rsidR="009571FA" w:rsidRPr="00777306">
        <w:rPr>
          <w:sz w:val="22"/>
        </w:rPr>
        <w:t xml:space="preserve"> </w:t>
      </w:r>
      <w:r w:rsidR="009571FA">
        <w:rPr>
          <w:sz w:val="22"/>
        </w:rPr>
        <w:t xml:space="preserve">integration was reported weak during the implementation phase and gender </w:t>
      </w:r>
      <w:r w:rsidR="009571FA" w:rsidRPr="00777306">
        <w:rPr>
          <w:sz w:val="22"/>
        </w:rPr>
        <w:t>monitoring</w:t>
      </w:r>
      <w:r w:rsidR="009571FA">
        <w:rPr>
          <w:sz w:val="22"/>
        </w:rPr>
        <w:t xml:space="preserve"> was perceived as </w:t>
      </w:r>
      <w:r w:rsidR="009571FA" w:rsidRPr="00777306">
        <w:rPr>
          <w:sz w:val="22"/>
        </w:rPr>
        <w:t>practically non-existent</w:t>
      </w:r>
      <w:r w:rsidR="009571FA">
        <w:rPr>
          <w:sz w:val="22"/>
        </w:rPr>
        <w:t>.</w:t>
      </w:r>
      <w:r w:rsidR="009571FA" w:rsidRPr="00777306">
        <w:rPr>
          <w:sz w:val="22"/>
        </w:rPr>
        <w:t xml:space="preserve"> </w:t>
      </w:r>
    </w:p>
    <w:p w:rsidR="009571FA" w:rsidRPr="00D444FC" w:rsidRDefault="009571FA" w:rsidP="00777306">
      <w:pPr>
        <w:rPr>
          <w:sz w:val="16"/>
        </w:rPr>
      </w:pPr>
    </w:p>
    <w:p w:rsidR="009571FA" w:rsidRPr="00777306" w:rsidRDefault="009571FA" w:rsidP="00777306">
      <w:pPr>
        <w:rPr>
          <w:i/>
          <w:sz w:val="22"/>
        </w:rPr>
      </w:pPr>
      <w:r>
        <w:rPr>
          <w:sz w:val="22"/>
        </w:rPr>
        <w:t>A cross</w:t>
      </w:r>
      <w:r w:rsidR="00D444FC">
        <w:rPr>
          <w:sz w:val="22"/>
        </w:rPr>
        <w:t>-</w:t>
      </w:r>
      <w:r>
        <w:rPr>
          <w:sz w:val="22"/>
        </w:rPr>
        <w:t xml:space="preserve">classification of the responses by types of challenges and programming stages indicated the following general tendencies: </w:t>
      </w:r>
      <w:r w:rsidRPr="00777306">
        <w:rPr>
          <w:sz w:val="22"/>
        </w:rPr>
        <w:t xml:space="preserve"> </w:t>
      </w:r>
    </w:p>
    <w:p w:rsidR="009571FA" w:rsidRPr="00D444FC" w:rsidRDefault="009571FA" w:rsidP="00777306">
      <w:pPr>
        <w:rPr>
          <w:sz w:val="16"/>
        </w:rPr>
      </w:pPr>
    </w:p>
    <w:p w:rsidR="009571FA" w:rsidRDefault="009571FA" w:rsidP="006842AE">
      <w:pPr>
        <w:pStyle w:val="ListParagraph"/>
        <w:ind w:left="0"/>
        <w:rPr>
          <w:sz w:val="22"/>
          <w:szCs w:val="20"/>
        </w:rPr>
      </w:pPr>
      <w:r w:rsidRPr="00A05A92">
        <w:rPr>
          <w:b/>
          <w:sz w:val="22"/>
        </w:rPr>
        <w:t>The li</w:t>
      </w:r>
      <w:r w:rsidRPr="00D87574">
        <w:rPr>
          <w:b/>
          <w:sz w:val="22"/>
        </w:rPr>
        <w:t xml:space="preserve">mited understanding and technical capacity </w:t>
      </w:r>
      <w:r w:rsidRPr="00A05A92">
        <w:rPr>
          <w:sz w:val="22"/>
        </w:rPr>
        <w:t xml:space="preserve">challenges </w:t>
      </w:r>
      <w:r>
        <w:rPr>
          <w:sz w:val="22"/>
        </w:rPr>
        <w:t>were seen as the most important for each and all p</w:t>
      </w:r>
      <w:r w:rsidRPr="00777306">
        <w:rPr>
          <w:sz w:val="22"/>
        </w:rPr>
        <w:t>rogramming stage</w:t>
      </w:r>
      <w:r>
        <w:rPr>
          <w:sz w:val="22"/>
        </w:rPr>
        <w:t xml:space="preserve">s. All </w:t>
      </w:r>
      <w:r w:rsidRPr="00777306">
        <w:rPr>
          <w:sz w:val="22"/>
        </w:rPr>
        <w:t xml:space="preserve">twenty-one interviewees acknowledged both, the existence of a PAHO Gender Equality Policy, and the Senior Management </w:t>
      </w:r>
      <w:r>
        <w:rPr>
          <w:sz w:val="22"/>
        </w:rPr>
        <w:t xml:space="preserve">declaration of </w:t>
      </w:r>
      <w:r w:rsidRPr="00777306">
        <w:rPr>
          <w:sz w:val="22"/>
        </w:rPr>
        <w:t xml:space="preserve">Gender Equality </w:t>
      </w:r>
      <w:r>
        <w:rPr>
          <w:sz w:val="22"/>
        </w:rPr>
        <w:t xml:space="preserve">as </w:t>
      </w:r>
      <w:r w:rsidRPr="00777306">
        <w:rPr>
          <w:sz w:val="22"/>
        </w:rPr>
        <w:t xml:space="preserve">one of six cross-cutting themes in the Organization’s work. This </w:t>
      </w:r>
      <w:r>
        <w:rPr>
          <w:sz w:val="22"/>
        </w:rPr>
        <w:t xml:space="preserve">policy </w:t>
      </w:r>
      <w:r w:rsidRPr="00777306">
        <w:rPr>
          <w:sz w:val="22"/>
        </w:rPr>
        <w:t xml:space="preserve">awareness, bolstered in some cases by a personal commitment to the elimination </w:t>
      </w:r>
      <w:r w:rsidRPr="00D87574">
        <w:rPr>
          <w:i/>
          <w:sz w:val="22"/>
        </w:rPr>
        <w:t>of all forms of inequity</w:t>
      </w:r>
      <w:r w:rsidRPr="00777306">
        <w:rPr>
          <w:sz w:val="22"/>
        </w:rPr>
        <w:t xml:space="preserve">, was not paired by knowledge </w:t>
      </w:r>
      <w:r>
        <w:rPr>
          <w:sz w:val="22"/>
        </w:rPr>
        <w:t xml:space="preserve">of the </w:t>
      </w:r>
      <w:r w:rsidRPr="00FB080E">
        <w:rPr>
          <w:b/>
          <w:i/>
          <w:sz w:val="22"/>
        </w:rPr>
        <w:t>what</w:t>
      </w:r>
      <w:r>
        <w:rPr>
          <w:b/>
          <w:sz w:val="22"/>
        </w:rPr>
        <w:t xml:space="preserve"> </w:t>
      </w:r>
      <w:r w:rsidRPr="00A43A02">
        <w:rPr>
          <w:b/>
          <w:sz w:val="22"/>
        </w:rPr>
        <w:t>is there to rectify</w:t>
      </w:r>
      <w:r w:rsidRPr="00A43A02">
        <w:rPr>
          <w:sz w:val="22"/>
        </w:rPr>
        <w:t xml:space="preserve"> </w:t>
      </w:r>
      <w:r>
        <w:rPr>
          <w:sz w:val="22"/>
        </w:rPr>
        <w:t>in matters of gender, let alone of the</w:t>
      </w:r>
      <w:r w:rsidRPr="00FB080E">
        <w:rPr>
          <w:i/>
          <w:sz w:val="22"/>
        </w:rPr>
        <w:t xml:space="preserve"> </w:t>
      </w:r>
      <w:r w:rsidRPr="00FB080E">
        <w:rPr>
          <w:b/>
          <w:i/>
          <w:sz w:val="22"/>
        </w:rPr>
        <w:t>how</w:t>
      </w:r>
      <w:r>
        <w:rPr>
          <w:b/>
          <w:sz w:val="22"/>
        </w:rPr>
        <w:t xml:space="preserve"> </w:t>
      </w:r>
      <w:r w:rsidRPr="00A43A02">
        <w:rPr>
          <w:b/>
          <w:sz w:val="22"/>
        </w:rPr>
        <w:t>to do it</w:t>
      </w:r>
      <w:r w:rsidRPr="00A43A02">
        <w:rPr>
          <w:sz w:val="22"/>
        </w:rPr>
        <w:t>.</w:t>
      </w:r>
      <w:r>
        <w:rPr>
          <w:b/>
          <w:sz w:val="22"/>
        </w:rPr>
        <w:t xml:space="preserve"> </w:t>
      </w:r>
      <w:r w:rsidRPr="00777306">
        <w:rPr>
          <w:sz w:val="22"/>
        </w:rPr>
        <w:t xml:space="preserve">The most cited </w:t>
      </w:r>
      <w:r>
        <w:rPr>
          <w:sz w:val="22"/>
        </w:rPr>
        <w:t>obstacle</w:t>
      </w:r>
      <w:r w:rsidRPr="00777306">
        <w:rPr>
          <w:sz w:val="22"/>
        </w:rPr>
        <w:t xml:space="preserve"> was the poor understanding of gender issues </w:t>
      </w:r>
      <w:r w:rsidRPr="004F0825">
        <w:rPr>
          <w:b/>
          <w:sz w:val="22"/>
        </w:rPr>
        <w:t xml:space="preserve">in relation to </w:t>
      </w:r>
      <w:r w:rsidRPr="004F0825">
        <w:rPr>
          <w:b/>
          <w:i/>
          <w:sz w:val="22"/>
          <w:u w:val="single"/>
        </w:rPr>
        <w:t>specific</w:t>
      </w:r>
      <w:r w:rsidRPr="004F0825">
        <w:rPr>
          <w:b/>
          <w:i/>
          <w:sz w:val="22"/>
        </w:rPr>
        <w:t xml:space="preserve"> </w:t>
      </w:r>
      <w:r w:rsidRPr="004F0825">
        <w:rPr>
          <w:b/>
          <w:sz w:val="22"/>
        </w:rPr>
        <w:t>areas of current work</w:t>
      </w:r>
      <w:r w:rsidRPr="00A43A02">
        <w:rPr>
          <w:b/>
          <w:i/>
          <w:sz w:val="22"/>
        </w:rPr>
        <w:t xml:space="preserve">. </w:t>
      </w:r>
      <w:r>
        <w:rPr>
          <w:sz w:val="22"/>
        </w:rPr>
        <w:t xml:space="preserve">Critical importance was assigned to the following weak or missing elements : (a) </w:t>
      </w:r>
      <w:r w:rsidRPr="00EE27A1">
        <w:rPr>
          <w:i/>
          <w:sz w:val="22"/>
        </w:rPr>
        <w:t>shared</w:t>
      </w:r>
      <w:r w:rsidRPr="00EE27A1">
        <w:rPr>
          <w:sz w:val="22"/>
        </w:rPr>
        <w:t xml:space="preserve"> </w:t>
      </w:r>
      <w:r w:rsidRPr="00777306">
        <w:rPr>
          <w:sz w:val="22"/>
        </w:rPr>
        <w:t>conceptual framework on gender and health</w:t>
      </w:r>
      <w:r>
        <w:rPr>
          <w:sz w:val="22"/>
        </w:rPr>
        <w:t xml:space="preserve">; (b) </w:t>
      </w:r>
      <w:r w:rsidRPr="00777306">
        <w:rPr>
          <w:sz w:val="22"/>
        </w:rPr>
        <w:t>evidence, indicators and research on the relation of gender with the problem at hand</w:t>
      </w:r>
      <w:r>
        <w:rPr>
          <w:sz w:val="22"/>
        </w:rPr>
        <w:t xml:space="preserve">; (c) </w:t>
      </w:r>
      <w:r w:rsidRPr="00777306">
        <w:rPr>
          <w:sz w:val="22"/>
        </w:rPr>
        <w:t>practical t</w:t>
      </w:r>
      <w:r>
        <w:rPr>
          <w:sz w:val="22"/>
        </w:rPr>
        <w:t xml:space="preserve">ools, guidelines and indicators; and (d) </w:t>
      </w:r>
      <w:r w:rsidRPr="00777306">
        <w:rPr>
          <w:sz w:val="22"/>
        </w:rPr>
        <w:t>opportunities to exchange ide</w:t>
      </w:r>
      <w:r>
        <w:rPr>
          <w:sz w:val="22"/>
        </w:rPr>
        <w:t xml:space="preserve">as on specific areas of concern. </w:t>
      </w:r>
      <w:r w:rsidRPr="00777306">
        <w:rPr>
          <w:sz w:val="22"/>
        </w:rPr>
        <w:t>The</w:t>
      </w:r>
      <w:r>
        <w:rPr>
          <w:sz w:val="22"/>
        </w:rPr>
        <w:t>se elements</w:t>
      </w:r>
      <w:r w:rsidRPr="00777306">
        <w:rPr>
          <w:sz w:val="22"/>
        </w:rPr>
        <w:t xml:space="preserve"> were </w:t>
      </w:r>
      <w:r>
        <w:rPr>
          <w:sz w:val="22"/>
        </w:rPr>
        <w:t xml:space="preserve">reported as </w:t>
      </w:r>
      <w:r w:rsidRPr="00777306">
        <w:rPr>
          <w:sz w:val="22"/>
        </w:rPr>
        <w:t>relevant for all the programming cycle</w:t>
      </w:r>
      <w:r>
        <w:rPr>
          <w:sz w:val="22"/>
        </w:rPr>
        <w:t>,</w:t>
      </w:r>
      <w:r w:rsidRPr="00777306">
        <w:rPr>
          <w:sz w:val="22"/>
        </w:rPr>
        <w:t xml:space="preserve"> although their individual weight and expression varied according to the </w:t>
      </w:r>
      <w:r>
        <w:rPr>
          <w:sz w:val="22"/>
        </w:rPr>
        <w:t xml:space="preserve">different </w:t>
      </w:r>
      <w:r w:rsidRPr="00777306">
        <w:rPr>
          <w:sz w:val="22"/>
        </w:rPr>
        <w:t>stage</w:t>
      </w:r>
      <w:r>
        <w:rPr>
          <w:sz w:val="22"/>
        </w:rPr>
        <w:t xml:space="preserve">s of this cycle. </w:t>
      </w:r>
      <w:r>
        <w:rPr>
          <w:b/>
          <w:sz w:val="22"/>
          <w:szCs w:val="20"/>
        </w:rPr>
        <w:t xml:space="preserve">The </w:t>
      </w:r>
      <w:r w:rsidRPr="00D87574">
        <w:rPr>
          <w:b/>
          <w:sz w:val="22"/>
          <w:szCs w:val="20"/>
        </w:rPr>
        <w:t xml:space="preserve">Institutional environment </w:t>
      </w:r>
      <w:r w:rsidRPr="00777306">
        <w:rPr>
          <w:sz w:val="22"/>
          <w:szCs w:val="20"/>
        </w:rPr>
        <w:t xml:space="preserve">challenges were the second most frequently identified. </w:t>
      </w:r>
      <w:r>
        <w:rPr>
          <w:sz w:val="22"/>
          <w:szCs w:val="20"/>
        </w:rPr>
        <w:t xml:space="preserve">They </w:t>
      </w:r>
      <w:r w:rsidRPr="00777306">
        <w:rPr>
          <w:sz w:val="22"/>
          <w:szCs w:val="20"/>
        </w:rPr>
        <w:t xml:space="preserve">alluded to limitations in, or absence of, </w:t>
      </w:r>
      <w:r>
        <w:rPr>
          <w:sz w:val="22"/>
          <w:szCs w:val="20"/>
        </w:rPr>
        <w:t xml:space="preserve">(a) </w:t>
      </w:r>
      <w:r w:rsidRPr="00777306">
        <w:rPr>
          <w:sz w:val="22"/>
          <w:szCs w:val="20"/>
        </w:rPr>
        <w:t>managerial support</w:t>
      </w:r>
      <w:r>
        <w:rPr>
          <w:sz w:val="22"/>
          <w:szCs w:val="20"/>
        </w:rPr>
        <w:t>;</w:t>
      </w:r>
      <w:r w:rsidRPr="00777306">
        <w:rPr>
          <w:sz w:val="22"/>
          <w:szCs w:val="20"/>
        </w:rPr>
        <w:t xml:space="preserve"> </w:t>
      </w:r>
      <w:r>
        <w:rPr>
          <w:sz w:val="22"/>
          <w:szCs w:val="20"/>
        </w:rPr>
        <w:t xml:space="preserve">(b) </w:t>
      </w:r>
      <w:r w:rsidRPr="00777306">
        <w:rPr>
          <w:sz w:val="22"/>
          <w:szCs w:val="20"/>
        </w:rPr>
        <w:t xml:space="preserve">enabling resources </w:t>
      </w:r>
      <w:r w:rsidR="003704F9">
        <w:rPr>
          <w:sz w:val="22"/>
          <w:szCs w:val="20"/>
        </w:rPr>
        <w:t>and</w:t>
      </w:r>
      <w:r>
        <w:rPr>
          <w:sz w:val="22"/>
          <w:szCs w:val="20"/>
        </w:rPr>
        <w:t xml:space="preserve"> mechanisms; </w:t>
      </w:r>
      <w:r w:rsidRPr="00777306">
        <w:rPr>
          <w:sz w:val="22"/>
          <w:szCs w:val="20"/>
        </w:rPr>
        <w:t xml:space="preserve">and </w:t>
      </w:r>
      <w:r>
        <w:rPr>
          <w:sz w:val="22"/>
          <w:szCs w:val="20"/>
        </w:rPr>
        <w:t xml:space="preserve">(c) </w:t>
      </w:r>
      <w:r w:rsidRPr="00777306">
        <w:rPr>
          <w:sz w:val="22"/>
          <w:szCs w:val="20"/>
        </w:rPr>
        <w:t>accountability.</w:t>
      </w:r>
    </w:p>
    <w:p w:rsidR="009571FA" w:rsidRDefault="009571FA" w:rsidP="00D87574">
      <w:pPr>
        <w:rPr>
          <w:sz w:val="22"/>
          <w:szCs w:val="20"/>
        </w:rPr>
      </w:pPr>
    </w:p>
    <w:p w:rsidR="009571FA" w:rsidRDefault="009571FA" w:rsidP="00D87574">
      <w:pPr>
        <w:rPr>
          <w:sz w:val="22"/>
        </w:rPr>
      </w:pPr>
      <w:r>
        <w:rPr>
          <w:sz w:val="22"/>
          <w:szCs w:val="20"/>
        </w:rPr>
        <w:t xml:space="preserve">More specific challenges, classified by analytical categories and programming stages, were the following:  </w:t>
      </w:r>
    </w:p>
    <w:p w:rsidR="009571FA" w:rsidRPr="00A05A92" w:rsidRDefault="009571FA" w:rsidP="00777306">
      <w:pPr>
        <w:rPr>
          <w:sz w:val="22"/>
        </w:rPr>
      </w:pPr>
    </w:p>
    <w:p w:rsidR="009571FA" w:rsidRPr="00A05A92" w:rsidRDefault="009571FA" w:rsidP="00581596">
      <w:pPr>
        <w:numPr>
          <w:ilvl w:val="0"/>
          <w:numId w:val="14"/>
        </w:numPr>
        <w:rPr>
          <w:b/>
          <w:sz w:val="22"/>
          <w:szCs w:val="20"/>
        </w:rPr>
      </w:pPr>
      <w:r>
        <w:rPr>
          <w:b/>
          <w:sz w:val="22"/>
          <w:szCs w:val="20"/>
        </w:rPr>
        <w:t>In p</w:t>
      </w:r>
      <w:r w:rsidRPr="00A05A92">
        <w:rPr>
          <w:b/>
          <w:sz w:val="22"/>
          <w:szCs w:val="20"/>
        </w:rPr>
        <w:t xml:space="preserve">lanning </w:t>
      </w:r>
    </w:p>
    <w:p w:rsidR="009571FA" w:rsidRPr="00D222B1" w:rsidRDefault="009571FA" w:rsidP="00DF24AC">
      <w:pPr>
        <w:rPr>
          <w:szCs w:val="20"/>
        </w:rPr>
      </w:pPr>
    </w:p>
    <w:p w:rsidR="009571FA" w:rsidRPr="005A046D" w:rsidRDefault="009571FA" w:rsidP="00581596">
      <w:pPr>
        <w:numPr>
          <w:ilvl w:val="0"/>
          <w:numId w:val="8"/>
        </w:numPr>
        <w:ind w:left="630"/>
        <w:rPr>
          <w:i/>
          <w:sz w:val="22"/>
          <w:szCs w:val="20"/>
        </w:rPr>
      </w:pPr>
      <w:r w:rsidRPr="005A046D">
        <w:rPr>
          <w:i/>
          <w:sz w:val="22"/>
          <w:szCs w:val="20"/>
        </w:rPr>
        <w:t>Understanding and technical capacities</w:t>
      </w:r>
    </w:p>
    <w:p w:rsidR="009571FA" w:rsidRPr="009F2CA7" w:rsidRDefault="009571FA" w:rsidP="00DF24AC">
      <w:pPr>
        <w:rPr>
          <w:b/>
          <w:i/>
          <w:sz w:val="6"/>
          <w:szCs w:val="20"/>
        </w:rPr>
      </w:pPr>
    </w:p>
    <w:p w:rsidR="009571FA" w:rsidRDefault="009571FA" w:rsidP="009F2C87">
      <w:pPr>
        <w:rPr>
          <w:sz w:val="22"/>
          <w:szCs w:val="22"/>
        </w:rPr>
      </w:pPr>
      <w:r w:rsidRPr="00101B59">
        <w:rPr>
          <w:b/>
          <w:sz w:val="22"/>
          <w:szCs w:val="22"/>
        </w:rPr>
        <w:t>Shared conceptual framework:</w:t>
      </w:r>
      <w:r>
        <w:rPr>
          <w:sz w:val="22"/>
          <w:szCs w:val="22"/>
        </w:rPr>
        <w:t xml:space="preserve"> </w:t>
      </w:r>
      <w:r w:rsidRPr="003E072F">
        <w:rPr>
          <w:sz w:val="22"/>
          <w:szCs w:val="22"/>
        </w:rPr>
        <w:t xml:space="preserve"> </w:t>
      </w:r>
      <w:r w:rsidRPr="00777306">
        <w:rPr>
          <w:sz w:val="22"/>
          <w:szCs w:val="22"/>
        </w:rPr>
        <w:t>The emphasis placed on</w:t>
      </w:r>
      <w:r w:rsidRPr="00777306">
        <w:rPr>
          <w:b/>
          <w:sz w:val="22"/>
          <w:szCs w:val="22"/>
        </w:rPr>
        <w:t xml:space="preserve"> “shared” </w:t>
      </w:r>
      <w:r w:rsidRPr="00777306">
        <w:rPr>
          <w:sz w:val="22"/>
          <w:szCs w:val="22"/>
        </w:rPr>
        <w:t xml:space="preserve">referred </w:t>
      </w:r>
      <w:r>
        <w:rPr>
          <w:sz w:val="22"/>
          <w:szCs w:val="22"/>
        </w:rPr>
        <w:t xml:space="preserve">not only to a collective but to </w:t>
      </w:r>
      <w:r w:rsidRPr="00777306">
        <w:rPr>
          <w:sz w:val="22"/>
          <w:szCs w:val="22"/>
        </w:rPr>
        <w:t xml:space="preserve">a </w:t>
      </w:r>
      <w:r w:rsidRPr="00F04CA1">
        <w:rPr>
          <w:b/>
          <w:sz w:val="22"/>
          <w:szCs w:val="22"/>
        </w:rPr>
        <w:t xml:space="preserve">“bottom-up” </w:t>
      </w:r>
      <w:r w:rsidRPr="00777306">
        <w:rPr>
          <w:sz w:val="22"/>
          <w:szCs w:val="22"/>
        </w:rPr>
        <w:t xml:space="preserve">rather than a </w:t>
      </w:r>
      <w:r w:rsidRPr="00F04CA1">
        <w:rPr>
          <w:b/>
          <w:sz w:val="22"/>
          <w:szCs w:val="22"/>
        </w:rPr>
        <w:t>“top- down”</w:t>
      </w:r>
      <w:r w:rsidRPr="00777306">
        <w:rPr>
          <w:sz w:val="22"/>
          <w:szCs w:val="22"/>
        </w:rPr>
        <w:t xml:space="preserve"> approach. A dif</w:t>
      </w:r>
      <w:r>
        <w:rPr>
          <w:sz w:val="22"/>
          <w:szCs w:val="22"/>
        </w:rPr>
        <w:t>ficulty was signa</w:t>
      </w:r>
      <w:r w:rsidRPr="00777306">
        <w:rPr>
          <w:sz w:val="22"/>
          <w:szCs w:val="22"/>
        </w:rPr>
        <w:t>l</w:t>
      </w:r>
      <w:r>
        <w:rPr>
          <w:sz w:val="22"/>
          <w:szCs w:val="22"/>
        </w:rPr>
        <w:t>l</w:t>
      </w:r>
      <w:r w:rsidRPr="00777306">
        <w:rPr>
          <w:sz w:val="22"/>
          <w:szCs w:val="22"/>
        </w:rPr>
        <w:t xml:space="preserve">ed for advancing a gender equity approach in the face of </w:t>
      </w:r>
      <w:r>
        <w:rPr>
          <w:sz w:val="22"/>
          <w:szCs w:val="22"/>
        </w:rPr>
        <w:t xml:space="preserve">an appearing </w:t>
      </w:r>
      <w:r w:rsidRPr="00DF24AC">
        <w:rPr>
          <w:sz w:val="22"/>
          <w:szCs w:val="22"/>
        </w:rPr>
        <w:t xml:space="preserve">weakening of </w:t>
      </w:r>
      <w:r w:rsidRPr="00F04CA1">
        <w:rPr>
          <w:b/>
          <w:sz w:val="22"/>
          <w:szCs w:val="22"/>
        </w:rPr>
        <w:t>“Equity”</w:t>
      </w:r>
      <w:r w:rsidRPr="00777306">
        <w:rPr>
          <w:sz w:val="22"/>
          <w:szCs w:val="22"/>
        </w:rPr>
        <w:t xml:space="preserve"> as</w:t>
      </w:r>
      <w:r w:rsidRPr="00F04CA1">
        <w:rPr>
          <w:sz w:val="22"/>
          <w:szCs w:val="22"/>
        </w:rPr>
        <w:t xml:space="preserve"> the</w:t>
      </w:r>
      <w:r w:rsidRPr="00777306">
        <w:rPr>
          <w:sz w:val="22"/>
          <w:szCs w:val="22"/>
        </w:rPr>
        <w:t xml:space="preserve"> structuring principle of the Organization’s work. </w:t>
      </w:r>
      <w:r>
        <w:rPr>
          <w:sz w:val="22"/>
          <w:szCs w:val="22"/>
        </w:rPr>
        <w:t xml:space="preserve">The need was expressed for this framework to </w:t>
      </w:r>
      <w:r w:rsidRPr="00777306">
        <w:rPr>
          <w:sz w:val="22"/>
          <w:szCs w:val="22"/>
        </w:rPr>
        <w:t xml:space="preserve">elucidate the role of gender factors </w:t>
      </w:r>
      <w:r>
        <w:rPr>
          <w:sz w:val="22"/>
          <w:szCs w:val="22"/>
        </w:rPr>
        <w:t xml:space="preserve">in relation </w:t>
      </w:r>
      <w:r w:rsidRPr="00777306">
        <w:rPr>
          <w:sz w:val="22"/>
          <w:szCs w:val="22"/>
        </w:rPr>
        <w:t xml:space="preserve">not only </w:t>
      </w:r>
      <w:r>
        <w:rPr>
          <w:sz w:val="22"/>
          <w:szCs w:val="22"/>
        </w:rPr>
        <w:t xml:space="preserve">to </w:t>
      </w:r>
      <w:r w:rsidRPr="00777306">
        <w:rPr>
          <w:sz w:val="22"/>
          <w:szCs w:val="22"/>
        </w:rPr>
        <w:t xml:space="preserve">disease, but very importantly, </w:t>
      </w:r>
      <w:r>
        <w:rPr>
          <w:sz w:val="22"/>
          <w:szCs w:val="22"/>
        </w:rPr>
        <w:t xml:space="preserve">to </w:t>
      </w:r>
      <w:r w:rsidRPr="00F04CA1">
        <w:rPr>
          <w:b/>
          <w:sz w:val="22"/>
          <w:szCs w:val="22"/>
        </w:rPr>
        <w:t>health promotion</w:t>
      </w:r>
      <w:r>
        <w:rPr>
          <w:sz w:val="22"/>
          <w:szCs w:val="22"/>
        </w:rPr>
        <w:t xml:space="preserve"> and </w:t>
      </w:r>
      <w:r w:rsidRPr="00F04CA1">
        <w:rPr>
          <w:b/>
          <w:sz w:val="22"/>
          <w:szCs w:val="22"/>
        </w:rPr>
        <w:t>human resources</w:t>
      </w:r>
      <w:r>
        <w:rPr>
          <w:sz w:val="22"/>
          <w:szCs w:val="22"/>
        </w:rPr>
        <w:t xml:space="preserve"> in the health system.</w:t>
      </w:r>
      <w:r w:rsidRPr="00F04CA1">
        <w:rPr>
          <w:sz w:val="22"/>
          <w:szCs w:val="22"/>
        </w:rPr>
        <w:t xml:space="preserve"> </w:t>
      </w:r>
      <w:r w:rsidRPr="00777306">
        <w:rPr>
          <w:sz w:val="22"/>
          <w:szCs w:val="22"/>
        </w:rPr>
        <w:t xml:space="preserve">And in this context, understanding the nature and impacts of </w:t>
      </w:r>
      <w:r w:rsidRPr="00777306">
        <w:rPr>
          <w:b/>
          <w:i/>
          <w:sz w:val="22"/>
          <w:szCs w:val="22"/>
        </w:rPr>
        <w:t>‘women’s empowerment’</w:t>
      </w:r>
      <w:r w:rsidRPr="00777306">
        <w:rPr>
          <w:sz w:val="22"/>
          <w:szCs w:val="22"/>
        </w:rPr>
        <w:t xml:space="preserve"> --as promoted by the third MDG--, was seen critical.</w:t>
      </w:r>
    </w:p>
    <w:p w:rsidR="009571FA" w:rsidRDefault="009571FA" w:rsidP="003C63E8">
      <w:pPr>
        <w:ind w:left="270"/>
        <w:rPr>
          <w:sz w:val="22"/>
          <w:szCs w:val="22"/>
        </w:rPr>
      </w:pPr>
    </w:p>
    <w:p w:rsidR="009571FA" w:rsidRPr="00777306" w:rsidRDefault="009571FA" w:rsidP="009F2C87">
      <w:pPr>
        <w:rPr>
          <w:sz w:val="22"/>
          <w:szCs w:val="22"/>
        </w:rPr>
      </w:pPr>
      <w:r w:rsidRPr="00F04CA1">
        <w:rPr>
          <w:sz w:val="22"/>
          <w:szCs w:val="22"/>
        </w:rPr>
        <w:t>It was noted that the</w:t>
      </w:r>
      <w:r w:rsidRPr="00777306">
        <w:rPr>
          <w:b/>
          <w:sz w:val="22"/>
          <w:szCs w:val="22"/>
        </w:rPr>
        <w:t xml:space="preserve"> focus on gender</w:t>
      </w:r>
      <w:r w:rsidRPr="00777306">
        <w:rPr>
          <w:sz w:val="22"/>
          <w:szCs w:val="22"/>
        </w:rPr>
        <w:t>, particularly at the country level, was restricted</w:t>
      </w:r>
      <w:r>
        <w:rPr>
          <w:sz w:val="22"/>
          <w:szCs w:val="22"/>
        </w:rPr>
        <w:t xml:space="preserve"> to</w:t>
      </w:r>
      <w:r w:rsidRPr="00777306">
        <w:rPr>
          <w:sz w:val="22"/>
          <w:szCs w:val="22"/>
        </w:rPr>
        <w:t xml:space="preserve"> either, ‘Family and Community Health’ (FCH) themes, or to gender-specific issues such as gender-based violence. Respondents emphasized the need to broaden the understanding of </w:t>
      </w:r>
      <w:r w:rsidRPr="00777306">
        <w:rPr>
          <w:b/>
          <w:sz w:val="22"/>
          <w:szCs w:val="22"/>
        </w:rPr>
        <w:t>gender as a</w:t>
      </w:r>
      <w:r w:rsidRPr="00777306">
        <w:rPr>
          <w:sz w:val="22"/>
          <w:szCs w:val="22"/>
        </w:rPr>
        <w:t xml:space="preserve"> </w:t>
      </w:r>
      <w:r w:rsidRPr="00777306">
        <w:rPr>
          <w:b/>
          <w:sz w:val="22"/>
          <w:szCs w:val="22"/>
        </w:rPr>
        <w:t>determinant of health inequality</w:t>
      </w:r>
      <w:r w:rsidRPr="00777306">
        <w:rPr>
          <w:sz w:val="22"/>
          <w:szCs w:val="22"/>
        </w:rPr>
        <w:t xml:space="preserve"> in interaction with other inequality determinants. Particular weight was </w:t>
      </w:r>
      <w:r>
        <w:rPr>
          <w:sz w:val="22"/>
          <w:szCs w:val="22"/>
        </w:rPr>
        <w:t>also given</w:t>
      </w:r>
      <w:r w:rsidRPr="00777306">
        <w:rPr>
          <w:sz w:val="22"/>
          <w:szCs w:val="22"/>
        </w:rPr>
        <w:t xml:space="preserve"> to </w:t>
      </w:r>
      <w:r>
        <w:rPr>
          <w:sz w:val="22"/>
          <w:szCs w:val="22"/>
        </w:rPr>
        <w:t xml:space="preserve">integrating </w:t>
      </w:r>
      <w:r w:rsidRPr="00777306">
        <w:rPr>
          <w:sz w:val="22"/>
          <w:szCs w:val="22"/>
        </w:rPr>
        <w:t xml:space="preserve">men more fully in the gender </w:t>
      </w:r>
      <w:r>
        <w:rPr>
          <w:sz w:val="22"/>
          <w:szCs w:val="22"/>
        </w:rPr>
        <w:t xml:space="preserve">framework. </w:t>
      </w:r>
    </w:p>
    <w:p w:rsidR="009571FA" w:rsidRPr="00777306" w:rsidRDefault="009571FA" w:rsidP="003C63E8">
      <w:pPr>
        <w:ind w:left="270" w:firstLine="48"/>
        <w:rPr>
          <w:sz w:val="22"/>
          <w:szCs w:val="22"/>
        </w:rPr>
      </w:pPr>
    </w:p>
    <w:p w:rsidR="009571FA" w:rsidRPr="00777306" w:rsidRDefault="009571FA" w:rsidP="009F2C87">
      <w:pPr>
        <w:rPr>
          <w:sz w:val="22"/>
          <w:szCs w:val="22"/>
        </w:rPr>
      </w:pPr>
      <w:r w:rsidRPr="00777306">
        <w:rPr>
          <w:sz w:val="22"/>
          <w:szCs w:val="22"/>
        </w:rPr>
        <w:t xml:space="preserve">Due to the </w:t>
      </w:r>
      <w:r>
        <w:rPr>
          <w:sz w:val="22"/>
          <w:szCs w:val="22"/>
        </w:rPr>
        <w:t xml:space="preserve">noted </w:t>
      </w:r>
      <w:r w:rsidRPr="00777306">
        <w:rPr>
          <w:sz w:val="22"/>
          <w:szCs w:val="22"/>
        </w:rPr>
        <w:t xml:space="preserve">weakness or absence of </w:t>
      </w:r>
      <w:r>
        <w:rPr>
          <w:sz w:val="22"/>
          <w:szCs w:val="22"/>
        </w:rPr>
        <w:t xml:space="preserve">a pertinent conceptual framework, </w:t>
      </w:r>
      <w:r w:rsidRPr="00777306">
        <w:rPr>
          <w:sz w:val="22"/>
          <w:szCs w:val="22"/>
        </w:rPr>
        <w:t xml:space="preserve">gender was not integrated in the pre-planning </w:t>
      </w:r>
      <w:r w:rsidRPr="00777306">
        <w:rPr>
          <w:b/>
          <w:sz w:val="22"/>
          <w:szCs w:val="22"/>
        </w:rPr>
        <w:t>situation analysis.</w:t>
      </w:r>
      <w:r w:rsidRPr="00777306">
        <w:rPr>
          <w:sz w:val="22"/>
          <w:szCs w:val="22"/>
        </w:rPr>
        <w:t xml:space="preserve">  It was argued that if gender was not to become an integral part of the situation analysis, it was unlikely that it could play a part of the planning, implementation and evaluation stages. The situation analysis that served as basis for the work plans was recognized as the “</w:t>
      </w:r>
      <w:r w:rsidRPr="00777306">
        <w:rPr>
          <w:i/>
          <w:sz w:val="22"/>
          <w:szCs w:val="22"/>
        </w:rPr>
        <w:t>Achilles heel”</w:t>
      </w:r>
      <w:r w:rsidRPr="00777306">
        <w:rPr>
          <w:sz w:val="22"/>
          <w:szCs w:val="22"/>
        </w:rPr>
        <w:t xml:space="preserve"> of gender mainstreaming in programming.</w:t>
      </w:r>
    </w:p>
    <w:p w:rsidR="009571FA" w:rsidRDefault="009571FA" w:rsidP="009F2C87">
      <w:pPr>
        <w:rPr>
          <w:sz w:val="22"/>
          <w:szCs w:val="22"/>
        </w:rPr>
      </w:pPr>
    </w:p>
    <w:p w:rsidR="009571FA" w:rsidRPr="00777306" w:rsidRDefault="009571FA" w:rsidP="009F2C87">
      <w:pPr>
        <w:rPr>
          <w:sz w:val="22"/>
          <w:szCs w:val="22"/>
        </w:rPr>
      </w:pPr>
      <w:r>
        <w:rPr>
          <w:sz w:val="22"/>
          <w:szCs w:val="22"/>
        </w:rPr>
        <w:t>T</w:t>
      </w:r>
      <w:r w:rsidRPr="00777306">
        <w:rPr>
          <w:sz w:val="22"/>
          <w:szCs w:val="22"/>
        </w:rPr>
        <w:t xml:space="preserve">he need to support theoretical knowledge with </w:t>
      </w:r>
      <w:r w:rsidRPr="00777306">
        <w:rPr>
          <w:b/>
          <w:sz w:val="22"/>
          <w:szCs w:val="22"/>
        </w:rPr>
        <w:t>empirical evidence</w:t>
      </w:r>
      <w:r>
        <w:rPr>
          <w:sz w:val="22"/>
          <w:szCs w:val="22"/>
        </w:rPr>
        <w:t xml:space="preserve"> was underscored. Noted</w:t>
      </w:r>
      <w:r w:rsidRPr="00777306">
        <w:rPr>
          <w:sz w:val="22"/>
          <w:szCs w:val="22"/>
        </w:rPr>
        <w:t xml:space="preserve"> obstacles </w:t>
      </w:r>
      <w:r>
        <w:rPr>
          <w:sz w:val="22"/>
          <w:szCs w:val="22"/>
        </w:rPr>
        <w:t>in this regard were:</w:t>
      </w:r>
      <w:r w:rsidRPr="00777306">
        <w:rPr>
          <w:sz w:val="22"/>
          <w:szCs w:val="22"/>
        </w:rPr>
        <w:t xml:space="preserve"> scarcity of sex-disaggregated</w:t>
      </w:r>
      <w:r>
        <w:rPr>
          <w:sz w:val="22"/>
          <w:szCs w:val="22"/>
        </w:rPr>
        <w:t xml:space="preserve"> information to detect problems, and </w:t>
      </w:r>
      <w:r w:rsidRPr="00777306">
        <w:rPr>
          <w:sz w:val="22"/>
          <w:szCs w:val="22"/>
        </w:rPr>
        <w:t>non availability of documented “good practices” to guide strategies to address the</w:t>
      </w:r>
      <w:r>
        <w:rPr>
          <w:sz w:val="22"/>
          <w:szCs w:val="22"/>
        </w:rPr>
        <w:t>se problems</w:t>
      </w:r>
      <w:r w:rsidRPr="00777306">
        <w:rPr>
          <w:sz w:val="22"/>
          <w:szCs w:val="22"/>
        </w:rPr>
        <w:t xml:space="preserve">. </w:t>
      </w:r>
    </w:p>
    <w:p w:rsidR="009571FA" w:rsidRPr="00777306" w:rsidRDefault="009571FA" w:rsidP="003C63E8">
      <w:pPr>
        <w:ind w:left="270"/>
        <w:rPr>
          <w:sz w:val="22"/>
          <w:szCs w:val="22"/>
        </w:rPr>
      </w:pPr>
    </w:p>
    <w:p w:rsidR="009571FA" w:rsidRDefault="009571FA" w:rsidP="009F2C87">
      <w:pPr>
        <w:rPr>
          <w:sz w:val="22"/>
          <w:szCs w:val="22"/>
        </w:rPr>
      </w:pPr>
      <w:r w:rsidRPr="00777306">
        <w:rPr>
          <w:sz w:val="22"/>
          <w:szCs w:val="22"/>
        </w:rPr>
        <w:t xml:space="preserve">Finally, the lack of </w:t>
      </w:r>
      <w:r>
        <w:rPr>
          <w:sz w:val="22"/>
          <w:szCs w:val="22"/>
        </w:rPr>
        <w:t xml:space="preserve">both </w:t>
      </w:r>
      <w:r w:rsidRPr="00777306">
        <w:rPr>
          <w:b/>
          <w:sz w:val="22"/>
          <w:szCs w:val="22"/>
        </w:rPr>
        <w:t>internal dialogue</w:t>
      </w:r>
      <w:r w:rsidRPr="00777306">
        <w:rPr>
          <w:sz w:val="22"/>
          <w:szCs w:val="22"/>
        </w:rPr>
        <w:t xml:space="preserve"> in PAHO</w:t>
      </w:r>
      <w:r>
        <w:rPr>
          <w:sz w:val="22"/>
          <w:szCs w:val="22"/>
        </w:rPr>
        <w:t xml:space="preserve"> </w:t>
      </w:r>
      <w:r w:rsidRPr="00777306">
        <w:rPr>
          <w:sz w:val="22"/>
          <w:szCs w:val="22"/>
        </w:rPr>
        <w:t>in</w:t>
      </w:r>
      <w:r>
        <w:rPr>
          <w:sz w:val="22"/>
          <w:szCs w:val="22"/>
        </w:rPr>
        <w:t xml:space="preserve">volving </w:t>
      </w:r>
      <w:r w:rsidRPr="00777306">
        <w:rPr>
          <w:sz w:val="22"/>
          <w:szCs w:val="22"/>
        </w:rPr>
        <w:t>the Gender Unit</w:t>
      </w:r>
      <w:r>
        <w:rPr>
          <w:sz w:val="22"/>
          <w:szCs w:val="22"/>
        </w:rPr>
        <w:t xml:space="preserve">, and formal </w:t>
      </w:r>
      <w:r w:rsidRPr="00777306">
        <w:rPr>
          <w:sz w:val="22"/>
          <w:szCs w:val="22"/>
        </w:rPr>
        <w:t>discussion fora on the relevance of gender to specific areas of interest</w:t>
      </w:r>
      <w:r>
        <w:rPr>
          <w:sz w:val="22"/>
          <w:szCs w:val="22"/>
        </w:rPr>
        <w:t>, was</w:t>
      </w:r>
      <w:r w:rsidRPr="00777306">
        <w:rPr>
          <w:sz w:val="22"/>
          <w:szCs w:val="22"/>
        </w:rPr>
        <w:t xml:space="preserve"> seen as a key obstacle to the development of knowledge and </w:t>
      </w:r>
      <w:r>
        <w:rPr>
          <w:sz w:val="22"/>
          <w:szCs w:val="22"/>
        </w:rPr>
        <w:t xml:space="preserve">of </w:t>
      </w:r>
      <w:r w:rsidRPr="00777306">
        <w:rPr>
          <w:sz w:val="22"/>
          <w:szCs w:val="22"/>
        </w:rPr>
        <w:t>effective p</w:t>
      </w:r>
      <w:r>
        <w:rPr>
          <w:sz w:val="22"/>
          <w:szCs w:val="22"/>
        </w:rPr>
        <w:t xml:space="preserve">rogramming </w:t>
      </w:r>
      <w:r w:rsidRPr="00777306">
        <w:rPr>
          <w:sz w:val="22"/>
          <w:szCs w:val="22"/>
        </w:rPr>
        <w:t xml:space="preserve">strategies. </w:t>
      </w:r>
    </w:p>
    <w:p w:rsidR="009571FA" w:rsidRDefault="009571FA" w:rsidP="00DF24AC">
      <w:pPr>
        <w:pStyle w:val="ListParagraph"/>
        <w:rPr>
          <w:sz w:val="22"/>
          <w:szCs w:val="22"/>
        </w:rPr>
      </w:pPr>
    </w:p>
    <w:p w:rsidR="009571FA" w:rsidRPr="005A046D" w:rsidRDefault="009571FA" w:rsidP="00581596">
      <w:pPr>
        <w:numPr>
          <w:ilvl w:val="0"/>
          <w:numId w:val="17"/>
        </w:numPr>
        <w:rPr>
          <w:i/>
          <w:sz w:val="22"/>
          <w:szCs w:val="22"/>
        </w:rPr>
      </w:pPr>
      <w:r w:rsidRPr="005A046D">
        <w:rPr>
          <w:i/>
          <w:sz w:val="22"/>
          <w:szCs w:val="22"/>
        </w:rPr>
        <w:t>Institutional environment</w:t>
      </w:r>
    </w:p>
    <w:p w:rsidR="009571FA" w:rsidRPr="009F2CA7" w:rsidRDefault="009571FA" w:rsidP="00DF24AC">
      <w:pPr>
        <w:rPr>
          <w:i/>
          <w:sz w:val="8"/>
          <w:szCs w:val="22"/>
        </w:rPr>
      </w:pPr>
    </w:p>
    <w:p w:rsidR="009571FA" w:rsidRPr="00777306" w:rsidRDefault="009571FA" w:rsidP="005A046D">
      <w:pPr>
        <w:rPr>
          <w:sz w:val="22"/>
          <w:szCs w:val="22"/>
        </w:rPr>
      </w:pPr>
      <w:r w:rsidRPr="00777306">
        <w:rPr>
          <w:sz w:val="22"/>
          <w:szCs w:val="22"/>
        </w:rPr>
        <w:t xml:space="preserve">Gender themes </w:t>
      </w:r>
      <w:r>
        <w:rPr>
          <w:sz w:val="22"/>
          <w:szCs w:val="22"/>
        </w:rPr>
        <w:t xml:space="preserve">were perceived as having </w:t>
      </w:r>
      <w:r w:rsidRPr="00777306">
        <w:rPr>
          <w:sz w:val="22"/>
          <w:szCs w:val="22"/>
        </w:rPr>
        <w:t xml:space="preserve">limited or no visibility in the </w:t>
      </w:r>
      <w:r w:rsidRPr="00777306">
        <w:rPr>
          <w:b/>
          <w:sz w:val="22"/>
          <w:szCs w:val="22"/>
        </w:rPr>
        <w:t>manager’s agendas</w:t>
      </w:r>
      <w:r w:rsidRPr="00777306">
        <w:rPr>
          <w:sz w:val="22"/>
          <w:szCs w:val="22"/>
        </w:rPr>
        <w:t xml:space="preserve">, and </w:t>
      </w:r>
      <w:r>
        <w:rPr>
          <w:sz w:val="22"/>
          <w:szCs w:val="22"/>
        </w:rPr>
        <w:t xml:space="preserve">the view of </w:t>
      </w:r>
      <w:r w:rsidRPr="00777306">
        <w:rPr>
          <w:sz w:val="22"/>
          <w:szCs w:val="22"/>
        </w:rPr>
        <w:t>gender integration as “</w:t>
      </w:r>
      <w:r w:rsidRPr="00777306">
        <w:rPr>
          <w:i/>
          <w:sz w:val="22"/>
          <w:szCs w:val="22"/>
        </w:rPr>
        <w:t xml:space="preserve">an added burden to programming, and added layer of thinking” </w:t>
      </w:r>
      <w:r>
        <w:rPr>
          <w:i/>
          <w:sz w:val="22"/>
          <w:szCs w:val="22"/>
        </w:rPr>
        <w:t>was</w:t>
      </w:r>
      <w:r w:rsidRPr="00777306">
        <w:rPr>
          <w:sz w:val="22"/>
          <w:szCs w:val="22"/>
        </w:rPr>
        <w:t xml:space="preserve"> </w:t>
      </w:r>
      <w:r>
        <w:rPr>
          <w:sz w:val="22"/>
          <w:szCs w:val="22"/>
        </w:rPr>
        <w:t xml:space="preserve">considered </w:t>
      </w:r>
      <w:r w:rsidRPr="00777306">
        <w:rPr>
          <w:sz w:val="22"/>
          <w:szCs w:val="22"/>
        </w:rPr>
        <w:t>widespread among staff.</w:t>
      </w:r>
    </w:p>
    <w:p w:rsidR="009571FA" w:rsidRPr="00777306" w:rsidRDefault="009571FA" w:rsidP="003C63E8">
      <w:pPr>
        <w:ind w:left="270"/>
        <w:rPr>
          <w:sz w:val="22"/>
          <w:szCs w:val="22"/>
        </w:rPr>
      </w:pPr>
    </w:p>
    <w:p w:rsidR="009571FA" w:rsidRPr="00DF1E33" w:rsidRDefault="009571FA" w:rsidP="005A046D">
      <w:pPr>
        <w:rPr>
          <w:sz w:val="22"/>
          <w:szCs w:val="20"/>
        </w:rPr>
      </w:pPr>
      <w:r w:rsidRPr="00777306">
        <w:rPr>
          <w:sz w:val="22"/>
          <w:szCs w:val="22"/>
        </w:rPr>
        <w:t xml:space="preserve">Resources, </w:t>
      </w:r>
      <w:r w:rsidRPr="00777306">
        <w:rPr>
          <w:sz w:val="22"/>
          <w:szCs w:val="20"/>
        </w:rPr>
        <w:t xml:space="preserve">both financial and human, </w:t>
      </w:r>
      <w:r w:rsidRPr="00777306">
        <w:rPr>
          <w:sz w:val="22"/>
          <w:szCs w:val="22"/>
        </w:rPr>
        <w:t>for engendering work were</w:t>
      </w:r>
      <w:r>
        <w:rPr>
          <w:sz w:val="22"/>
          <w:szCs w:val="22"/>
        </w:rPr>
        <w:t xml:space="preserve"> reportedly </w:t>
      </w:r>
      <w:r w:rsidRPr="00777306">
        <w:rPr>
          <w:sz w:val="22"/>
          <w:szCs w:val="22"/>
        </w:rPr>
        <w:t>l</w:t>
      </w:r>
      <w:r w:rsidRPr="00777306">
        <w:rPr>
          <w:sz w:val="22"/>
          <w:szCs w:val="20"/>
        </w:rPr>
        <w:t>imited</w:t>
      </w:r>
      <w:r>
        <w:rPr>
          <w:sz w:val="22"/>
          <w:szCs w:val="20"/>
        </w:rPr>
        <w:t>.</w:t>
      </w:r>
      <w:r w:rsidRPr="00777306">
        <w:rPr>
          <w:sz w:val="22"/>
          <w:szCs w:val="20"/>
        </w:rPr>
        <w:t xml:space="preserve"> One third </w:t>
      </w:r>
      <w:r>
        <w:rPr>
          <w:sz w:val="22"/>
          <w:szCs w:val="20"/>
        </w:rPr>
        <w:t xml:space="preserve">of </w:t>
      </w:r>
      <w:r w:rsidRPr="00777306">
        <w:rPr>
          <w:sz w:val="22"/>
          <w:szCs w:val="20"/>
        </w:rPr>
        <w:t xml:space="preserve">respondents underscored the need for </w:t>
      </w:r>
      <w:r w:rsidRPr="00DF1E33">
        <w:rPr>
          <w:b/>
          <w:sz w:val="22"/>
          <w:szCs w:val="20"/>
        </w:rPr>
        <w:t>human resources with gender expertise</w:t>
      </w:r>
      <w:r>
        <w:rPr>
          <w:sz w:val="22"/>
          <w:szCs w:val="20"/>
        </w:rPr>
        <w:t>.</w:t>
      </w:r>
      <w:r w:rsidRPr="00DF1E33">
        <w:rPr>
          <w:sz w:val="22"/>
          <w:szCs w:val="20"/>
        </w:rPr>
        <w:t xml:space="preserve"> </w:t>
      </w:r>
    </w:p>
    <w:p w:rsidR="009571FA" w:rsidRDefault="009571FA" w:rsidP="003C63E8">
      <w:pPr>
        <w:ind w:left="270"/>
        <w:rPr>
          <w:sz w:val="22"/>
          <w:szCs w:val="20"/>
        </w:rPr>
      </w:pPr>
    </w:p>
    <w:p w:rsidR="009571FA" w:rsidRPr="00777306" w:rsidRDefault="009571FA" w:rsidP="005A046D">
      <w:pPr>
        <w:rPr>
          <w:sz w:val="22"/>
          <w:szCs w:val="20"/>
        </w:rPr>
      </w:pPr>
      <w:r>
        <w:rPr>
          <w:sz w:val="22"/>
          <w:szCs w:val="20"/>
        </w:rPr>
        <w:t xml:space="preserve">The absence of </w:t>
      </w:r>
      <w:r w:rsidRPr="00777306">
        <w:rPr>
          <w:sz w:val="22"/>
          <w:szCs w:val="20"/>
        </w:rPr>
        <w:t xml:space="preserve">gender in the </w:t>
      </w:r>
      <w:r w:rsidRPr="00DF1E33">
        <w:rPr>
          <w:b/>
          <w:sz w:val="22"/>
          <w:szCs w:val="20"/>
        </w:rPr>
        <w:t>institutional planning guidelines</w:t>
      </w:r>
      <w:r w:rsidRPr="00777306">
        <w:rPr>
          <w:sz w:val="22"/>
          <w:szCs w:val="20"/>
        </w:rPr>
        <w:t xml:space="preserve"> </w:t>
      </w:r>
      <w:r>
        <w:rPr>
          <w:sz w:val="22"/>
          <w:szCs w:val="20"/>
        </w:rPr>
        <w:t xml:space="preserve">was emphasized. </w:t>
      </w:r>
      <w:r w:rsidRPr="00777306">
        <w:rPr>
          <w:sz w:val="22"/>
          <w:szCs w:val="20"/>
        </w:rPr>
        <w:t>(</w:t>
      </w:r>
      <w:r>
        <w:rPr>
          <w:sz w:val="22"/>
          <w:szCs w:val="20"/>
        </w:rPr>
        <w:t>I</w:t>
      </w:r>
      <w:r w:rsidRPr="00777306">
        <w:rPr>
          <w:sz w:val="22"/>
          <w:szCs w:val="20"/>
        </w:rPr>
        <w:t xml:space="preserve">n fact the second version of the guidelines did mention gender as a crosscutting theme but, apparently, this version was not widely distributed or read). </w:t>
      </w:r>
      <w:r>
        <w:rPr>
          <w:sz w:val="22"/>
          <w:szCs w:val="20"/>
        </w:rPr>
        <w:t>So was the fact that n</w:t>
      </w:r>
      <w:r w:rsidRPr="005C2931">
        <w:rPr>
          <w:i/>
          <w:sz w:val="22"/>
          <w:szCs w:val="20"/>
        </w:rPr>
        <w:t>o institutional follow-up and monitoring regarding</w:t>
      </w:r>
      <w:r w:rsidRPr="00777306">
        <w:rPr>
          <w:sz w:val="22"/>
          <w:szCs w:val="20"/>
        </w:rPr>
        <w:t xml:space="preserve"> gender integration was </w:t>
      </w:r>
      <w:r w:rsidRPr="00DF1E33">
        <w:rPr>
          <w:sz w:val="22"/>
          <w:szCs w:val="20"/>
        </w:rPr>
        <w:t>performed and shown</w:t>
      </w:r>
      <w:r>
        <w:rPr>
          <w:sz w:val="22"/>
          <w:szCs w:val="20"/>
        </w:rPr>
        <w:t xml:space="preserve"> to staff. It was suggested that a</w:t>
      </w:r>
      <w:r w:rsidRPr="00777306">
        <w:rPr>
          <w:sz w:val="22"/>
          <w:szCs w:val="20"/>
        </w:rPr>
        <w:t xml:space="preserve">n analysis of how PAHO is responding to the gender equality mandate should be </w:t>
      </w:r>
      <w:r>
        <w:rPr>
          <w:sz w:val="22"/>
          <w:szCs w:val="20"/>
        </w:rPr>
        <w:t xml:space="preserve">carried-out </w:t>
      </w:r>
      <w:r w:rsidRPr="00777306">
        <w:rPr>
          <w:sz w:val="22"/>
          <w:szCs w:val="20"/>
        </w:rPr>
        <w:t>and made public.</w:t>
      </w:r>
    </w:p>
    <w:p w:rsidR="009571FA" w:rsidRPr="00777306" w:rsidRDefault="009571FA" w:rsidP="003C63E8">
      <w:pPr>
        <w:ind w:left="270"/>
        <w:rPr>
          <w:sz w:val="22"/>
          <w:szCs w:val="20"/>
        </w:rPr>
      </w:pPr>
    </w:p>
    <w:p w:rsidR="009571FA" w:rsidRPr="00777306" w:rsidRDefault="009571FA" w:rsidP="005A046D">
      <w:pPr>
        <w:rPr>
          <w:sz w:val="22"/>
          <w:szCs w:val="20"/>
        </w:rPr>
      </w:pPr>
      <w:r w:rsidRPr="00DF1E33">
        <w:rPr>
          <w:b/>
          <w:sz w:val="22"/>
          <w:szCs w:val="20"/>
        </w:rPr>
        <w:t>SOs, OWERs, RERs and OSERs</w:t>
      </w:r>
      <w:r w:rsidRPr="00777306">
        <w:rPr>
          <w:sz w:val="22"/>
          <w:szCs w:val="20"/>
        </w:rPr>
        <w:t xml:space="preserve"> </w:t>
      </w:r>
      <w:r>
        <w:rPr>
          <w:sz w:val="22"/>
          <w:szCs w:val="20"/>
        </w:rPr>
        <w:t xml:space="preserve">reportedly </w:t>
      </w:r>
      <w:r w:rsidRPr="00777306">
        <w:rPr>
          <w:sz w:val="22"/>
          <w:szCs w:val="20"/>
        </w:rPr>
        <w:t>were given, not allowing much flexibility for integrating gender into their own planning area or for connecting</w:t>
      </w:r>
      <w:r>
        <w:rPr>
          <w:sz w:val="22"/>
          <w:szCs w:val="20"/>
        </w:rPr>
        <w:t xml:space="preserve"> office objectives </w:t>
      </w:r>
      <w:r w:rsidRPr="00777306">
        <w:rPr>
          <w:sz w:val="22"/>
          <w:szCs w:val="20"/>
        </w:rPr>
        <w:t>with the</w:t>
      </w:r>
      <w:r>
        <w:rPr>
          <w:sz w:val="22"/>
          <w:szCs w:val="20"/>
        </w:rPr>
        <w:t xml:space="preserve"> SO7</w:t>
      </w:r>
      <w:r w:rsidRPr="00777306">
        <w:rPr>
          <w:sz w:val="22"/>
          <w:szCs w:val="20"/>
        </w:rPr>
        <w:t xml:space="preserve"> </w:t>
      </w:r>
      <w:r>
        <w:rPr>
          <w:sz w:val="22"/>
          <w:szCs w:val="20"/>
        </w:rPr>
        <w:t>gender- specific indicators.</w:t>
      </w:r>
      <w:r w:rsidRPr="00777306">
        <w:rPr>
          <w:sz w:val="22"/>
          <w:szCs w:val="20"/>
        </w:rPr>
        <w:t xml:space="preserve"> </w:t>
      </w:r>
      <w:r>
        <w:rPr>
          <w:sz w:val="22"/>
          <w:szCs w:val="20"/>
        </w:rPr>
        <w:t>E</w:t>
      </w:r>
      <w:r w:rsidRPr="00777306">
        <w:rPr>
          <w:sz w:val="22"/>
          <w:szCs w:val="20"/>
        </w:rPr>
        <w:t xml:space="preserve">xplicit mention was made </w:t>
      </w:r>
      <w:r>
        <w:rPr>
          <w:sz w:val="22"/>
          <w:szCs w:val="20"/>
        </w:rPr>
        <w:t>of</w:t>
      </w:r>
      <w:r w:rsidRPr="00777306">
        <w:rPr>
          <w:sz w:val="22"/>
          <w:szCs w:val="20"/>
        </w:rPr>
        <w:t xml:space="preserve"> SOs not </w:t>
      </w:r>
      <w:r>
        <w:rPr>
          <w:sz w:val="22"/>
          <w:szCs w:val="20"/>
        </w:rPr>
        <w:t xml:space="preserve">overtly </w:t>
      </w:r>
      <w:r w:rsidRPr="00777306">
        <w:rPr>
          <w:sz w:val="22"/>
          <w:szCs w:val="20"/>
        </w:rPr>
        <w:t>incorporating gender</w:t>
      </w:r>
      <w:r>
        <w:rPr>
          <w:sz w:val="22"/>
          <w:szCs w:val="20"/>
        </w:rPr>
        <w:t xml:space="preserve"> </w:t>
      </w:r>
      <w:r w:rsidRPr="00777306">
        <w:rPr>
          <w:sz w:val="22"/>
          <w:szCs w:val="20"/>
        </w:rPr>
        <w:t>(except</w:t>
      </w:r>
      <w:r>
        <w:rPr>
          <w:sz w:val="22"/>
          <w:szCs w:val="20"/>
        </w:rPr>
        <w:t xml:space="preserve">ing </w:t>
      </w:r>
      <w:r w:rsidRPr="00777306">
        <w:rPr>
          <w:sz w:val="22"/>
          <w:szCs w:val="20"/>
        </w:rPr>
        <w:t>SO7), thus affecting its subsequent integration in the development of OWERs, RERs, and OSERs.</w:t>
      </w:r>
    </w:p>
    <w:p w:rsidR="009571FA" w:rsidRPr="00777306" w:rsidRDefault="009571FA" w:rsidP="003C63E8">
      <w:pPr>
        <w:ind w:left="270"/>
        <w:rPr>
          <w:sz w:val="22"/>
          <w:szCs w:val="20"/>
        </w:rPr>
      </w:pPr>
    </w:p>
    <w:p w:rsidR="009571FA" w:rsidRPr="00777306" w:rsidRDefault="009571FA" w:rsidP="005A046D">
      <w:pPr>
        <w:rPr>
          <w:sz w:val="22"/>
          <w:szCs w:val="20"/>
        </w:rPr>
      </w:pPr>
      <w:r>
        <w:rPr>
          <w:sz w:val="22"/>
          <w:szCs w:val="20"/>
        </w:rPr>
        <w:t>Finally, m</w:t>
      </w:r>
      <w:r w:rsidRPr="00777306">
        <w:rPr>
          <w:sz w:val="22"/>
          <w:szCs w:val="20"/>
        </w:rPr>
        <w:t xml:space="preserve">anagerial levels most directly concerned with the promotion of gender equality (e.g., SO, area, unit) were deemed multiple, overlapping and difficult to coordinate.  </w:t>
      </w:r>
    </w:p>
    <w:p w:rsidR="009571FA" w:rsidRPr="00777306" w:rsidRDefault="009571FA" w:rsidP="00A05A92">
      <w:pPr>
        <w:ind w:left="360"/>
        <w:rPr>
          <w:sz w:val="22"/>
          <w:szCs w:val="20"/>
        </w:rPr>
      </w:pPr>
    </w:p>
    <w:p w:rsidR="009571FA" w:rsidRPr="0000664B" w:rsidRDefault="00021150" w:rsidP="00021150">
      <w:pPr>
        <w:ind w:left="720"/>
        <w:rPr>
          <w:b/>
          <w:sz w:val="22"/>
          <w:szCs w:val="20"/>
        </w:rPr>
      </w:pPr>
      <w:r>
        <w:rPr>
          <w:b/>
          <w:sz w:val="22"/>
          <w:szCs w:val="20"/>
        </w:rPr>
        <w:t>b.</w:t>
      </w:r>
      <w:r w:rsidR="009571FA">
        <w:rPr>
          <w:b/>
          <w:sz w:val="22"/>
          <w:szCs w:val="20"/>
        </w:rPr>
        <w:t xml:space="preserve">  </w:t>
      </w:r>
      <w:r w:rsidR="009571FA" w:rsidRPr="0000664B">
        <w:rPr>
          <w:b/>
          <w:sz w:val="22"/>
          <w:szCs w:val="20"/>
        </w:rPr>
        <w:t>I</w:t>
      </w:r>
      <w:r w:rsidR="009571FA">
        <w:rPr>
          <w:b/>
          <w:sz w:val="22"/>
          <w:szCs w:val="20"/>
        </w:rPr>
        <w:t>n i</w:t>
      </w:r>
      <w:r w:rsidR="009571FA" w:rsidRPr="0000664B">
        <w:rPr>
          <w:b/>
          <w:sz w:val="22"/>
          <w:szCs w:val="20"/>
        </w:rPr>
        <w:t>mplementation</w:t>
      </w:r>
    </w:p>
    <w:p w:rsidR="009571FA" w:rsidRPr="00D222B1" w:rsidRDefault="009571FA" w:rsidP="006842AE">
      <w:pPr>
        <w:ind w:left="1080"/>
        <w:rPr>
          <w:b/>
          <w:i/>
          <w:sz w:val="14"/>
          <w:szCs w:val="20"/>
        </w:rPr>
      </w:pPr>
    </w:p>
    <w:p w:rsidR="009571FA" w:rsidRDefault="009571FA" w:rsidP="00581596">
      <w:pPr>
        <w:numPr>
          <w:ilvl w:val="0"/>
          <w:numId w:val="17"/>
        </w:numPr>
        <w:rPr>
          <w:i/>
          <w:sz w:val="22"/>
          <w:szCs w:val="22"/>
        </w:rPr>
      </w:pPr>
      <w:r>
        <w:rPr>
          <w:i/>
          <w:sz w:val="22"/>
          <w:szCs w:val="22"/>
        </w:rPr>
        <w:t>Understanding and t</w:t>
      </w:r>
      <w:r w:rsidRPr="006842AE">
        <w:rPr>
          <w:i/>
          <w:sz w:val="22"/>
          <w:szCs w:val="22"/>
        </w:rPr>
        <w:t xml:space="preserve">echnical capacities </w:t>
      </w:r>
    </w:p>
    <w:p w:rsidR="009571FA" w:rsidRPr="009F2CA7" w:rsidRDefault="009571FA" w:rsidP="006842AE">
      <w:pPr>
        <w:rPr>
          <w:i/>
          <w:sz w:val="2"/>
          <w:szCs w:val="22"/>
        </w:rPr>
      </w:pPr>
    </w:p>
    <w:p w:rsidR="009571FA" w:rsidRPr="00777306" w:rsidRDefault="009571FA" w:rsidP="005A046D">
      <w:pPr>
        <w:rPr>
          <w:sz w:val="22"/>
        </w:rPr>
      </w:pPr>
      <w:r w:rsidRPr="00777306">
        <w:rPr>
          <w:sz w:val="22"/>
          <w:szCs w:val="20"/>
        </w:rPr>
        <w:t xml:space="preserve">Low gender sensitivity and understanding among </w:t>
      </w:r>
      <w:r w:rsidRPr="00777306">
        <w:rPr>
          <w:b/>
          <w:sz w:val="22"/>
          <w:szCs w:val="20"/>
        </w:rPr>
        <w:t xml:space="preserve">others, </w:t>
      </w:r>
      <w:r w:rsidRPr="00777306">
        <w:rPr>
          <w:sz w:val="22"/>
          <w:szCs w:val="20"/>
        </w:rPr>
        <w:t>particularly among some PAHO managers</w:t>
      </w:r>
      <w:r>
        <w:rPr>
          <w:sz w:val="22"/>
          <w:szCs w:val="20"/>
        </w:rPr>
        <w:t xml:space="preserve"> were seen as obstacles</w:t>
      </w:r>
      <w:r w:rsidRPr="00777306">
        <w:rPr>
          <w:sz w:val="22"/>
          <w:szCs w:val="20"/>
        </w:rPr>
        <w:t>.</w:t>
      </w:r>
      <w:r>
        <w:rPr>
          <w:sz w:val="22"/>
          <w:szCs w:val="20"/>
        </w:rPr>
        <w:t xml:space="preserve"> </w:t>
      </w:r>
      <w:r>
        <w:rPr>
          <w:sz w:val="22"/>
          <w:szCs w:val="22"/>
        </w:rPr>
        <w:t xml:space="preserve">PWRs, reportedly, lean disproportionately </w:t>
      </w:r>
      <w:r w:rsidRPr="00777306">
        <w:rPr>
          <w:sz w:val="22"/>
          <w:szCs w:val="22"/>
        </w:rPr>
        <w:t xml:space="preserve">towards biomedical issues at the expense of social </w:t>
      </w:r>
      <w:r>
        <w:rPr>
          <w:sz w:val="22"/>
          <w:szCs w:val="22"/>
        </w:rPr>
        <w:t xml:space="preserve">matters and </w:t>
      </w:r>
      <w:r w:rsidRPr="00777306">
        <w:rPr>
          <w:sz w:val="22"/>
          <w:szCs w:val="22"/>
        </w:rPr>
        <w:t>often see gender as a “soft” issue</w:t>
      </w:r>
      <w:r>
        <w:rPr>
          <w:sz w:val="22"/>
          <w:szCs w:val="22"/>
        </w:rPr>
        <w:t xml:space="preserve">. Moreover, </w:t>
      </w:r>
      <w:r w:rsidRPr="00777306">
        <w:rPr>
          <w:sz w:val="22"/>
          <w:szCs w:val="22"/>
        </w:rPr>
        <w:t>many staff members belie</w:t>
      </w:r>
      <w:r>
        <w:rPr>
          <w:sz w:val="22"/>
          <w:szCs w:val="22"/>
        </w:rPr>
        <w:t>ve</w:t>
      </w:r>
      <w:r w:rsidRPr="00777306">
        <w:rPr>
          <w:sz w:val="22"/>
          <w:szCs w:val="22"/>
        </w:rPr>
        <w:t xml:space="preserve"> that promoting gender equality is not PAHO’s responsibility, but</w:t>
      </w:r>
      <w:r>
        <w:rPr>
          <w:sz w:val="22"/>
          <w:szCs w:val="22"/>
        </w:rPr>
        <w:t xml:space="preserve"> the duty of other UN agencies such as </w:t>
      </w:r>
      <w:r w:rsidRPr="00777306">
        <w:rPr>
          <w:sz w:val="22"/>
          <w:szCs w:val="22"/>
        </w:rPr>
        <w:t xml:space="preserve">UNFPA or UNIFEM. Mentions were also made to the lack of gender understanding and sensitivity on the </w:t>
      </w:r>
      <w:r w:rsidRPr="00777306">
        <w:rPr>
          <w:sz w:val="22"/>
          <w:szCs w:val="20"/>
        </w:rPr>
        <w:t>part of Ministries of Health (MOH) and to s</w:t>
      </w:r>
      <w:r w:rsidRPr="00777306">
        <w:rPr>
          <w:sz w:val="22"/>
          <w:szCs w:val="22"/>
        </w:rPr>
        <w:t>exist cultural no</w:t>
      </w:r>
      <w:r>
        <w:rPr>
          <w:sz w:val="22"/>
          <w:szCs w:val="22"/>
        </w:rPr>
        <w:t>rms prevailing in the countries. A main</w:t>
      </w:r>
      <w:r w:rsidRPr="00777306">
        <w:rPr>
          <w:sz w:val="22"/>
          <w:szCs w:val="22"/>
        </w:rPr>
        <w:t xml:space="preserve"> challenge </w:t>
      </w:r>
      <w:r>
        <w:rPr>
          <w:sz w:val="22"/>
          <w:szCs w:val="22"/>
        </w:rPr>
        <w:t>was worded as “</w:t>
      </w:r>
      <w:r w:rsidRPr="00777306">
        <w:rPr>
          <w:i/>
          <w:sz w:val="22"/>
        </w:rPr>
        <w:t xml:space="preserve">Getting a mind-set change of the entire organization to support gender equality in Human Resources”. </w:t>
      </w:r>
    </w:p>
    <w:p w:rsidR="009571FA" w:rsidRDefault="009571FA" w:rsidP="003C63E8">
      <w:pPr>
        <w:ind w:left="270"/>
        <w:rPr>
          <w:i/>
          <w:sz w:val="22"/>
        </w:rPr>
      </w:pPr>
    </w:p>
    <w:p w:rsidR="009571FA" w:rsidRDefault="009571FA" w:rsidP="00581596">
      <w:pPr>
        <w:numPr>
          <w:ilvl w:val="0"/>
          <w:numId w:val="17"/>
        </w:numPr>
        <w:rPr>
          <w:i/>
          <w:sz w:val="22"/>
        </w:rPr>
      </w:pPr>
      <w:r w:rsidRPr="006842AE">
        <w:rPr>
          <w:i/>
          <w:sz w:val="22"/>
        </w:rPr>
        <w:t>Institutional environment</w:t>
      </w:r>
    </w:p>
    <w:p w:rsidR="009571FA" w:rsidRPr="009F2CA7" w:rsidRDefault="009571FA" w:rsidP="003C63E8">
      <w:pPr>
        <w:ind w:left="270"/>
        <w:rPr>
          <w:i/>
          <w:sz w:val="2"/>
        </w:rPr>
      </w:pPr>
    </w:p>
    <w:p w:rsidR="009571FA" w:rsidRDefault="009571FA" w:rsidP="005A046D">
      <w:pPr>
        <w:rPr>
          <w:sz w:val="22"/>
          <w:szCs w:val="20"/>
        </w:rPr>
      </w:pPr>
      <w:r>
        <w:rPr>
          <w:sz w:val="22"/>
          <w:szCs w:val="20"/>
        </w:rPr>
        <w:t>The absence of gender in the planning guidelines and indicators was seen as a determinant of gender not being a factor in the implementation. The perception that gender is not an institutional priority for the evaluation of programs or individual performance, and the consequent lack of incentives or accountability in this respect were remarked.</w:t>
      </w:r>
    </w:p>
    <w:p w:rsidR="009571FA" w:rsidRPr="00D222B1" w:rsidRDefault="009571FA" w:rsidP="003C63E8">
      <w:pPr>
        <w:ind w:left="270"/>
        <w:rPr>
          <w:i/>
          <w:sz w:val="14"/>
        </w:rPr>
      </w:pPr>
    </w:p>
    <w:p w:rsidR="009571FA" w:rsidRDefault="009571FA" w:rsidP="005A046D">
      <w:pPr>
        <w:rPr>
          <w:sz w:val="22"/>
          <w:szCs w:val="20"/>
        </w:rPr>
      </w:pPr>
      <w:r>
        <w:rPr>
          <w:sz w:val="22"/>
          <w:szCs w:val="20"/>
        </w:rPr>
        <w:t>Constraints in terms of financial, human and time resources were noted. Emphasis was placed on limitations on human resources with gender expertise and on financial resources to hire this type of experts.</w:t>
      </w:r>
    </w:p>
    <w:p w:rsidR="009571FA" w:rsidRDefault="009571FA" w:rsidP="006842AE">
      <w:pPr>
        <w:ind w:left="360"/>
        <w:rPr>
          <w:sz w:val="22"/>
        </w:rPr>
      </w:pPr>
    </w:p>
    <w:p w:rsidR="009571FA" w:rsidRPr="00021150" w:rsidRDefault="009571FA" w:rsidP="00581596">
      <w:pPr>
        <w:pStyle w:val="ListParagraph"/>
        <w:numPr>
          <w:ilvl w:val="0"/>
          <w:numId w:val="54"/>
        </w:numPr>
        <w:rPr>
          <w:b/>
          <w:sz w:val="22"/>
          <w:szCs w:val="20"/>
        </w:rPr>
      </w:pPr>
      <w:r w:rsidRPr="00021150">
        <w:rPr>
          <w:b/>
          <w:sz w:val="22"/>
        </w:rPr>
        <w:t xml:space="preserve"> In m</w:t>
      </w:r>
      <w:r w:rsidRPr="00021150">
        <w:rPr>
          <w:b/>
          <w:sz w:val="22"/>
          <w:szCs w:val="20"/>
        </w:rPr>
        <w:t>onitoring &amp; evaluation</w:t>
      </w:r>
    </w:p>
    <w:p w:rsidR="009571FA" w:rsidRPr="00D222B1" w:rsidRDefault="009571FA" w:rsidP="00777306">
      <w:pPr>
        <w:ind w:left="360"/>
        <w:rPr>
          <w:b/>
          <w:i/>
          <w:sz w:val="16"/>
          <w:szCs w:val="20"/>
        </w:rPr>
      </w:pPr>
    </w:p>
    <w:p w:rsidR="009571FA" w:rsidRDefault="009571FA" w:rsidP="00581596">
      <w:pPr>
        <w:numPr>
          <w:ilvl w:val="0"/>
          <w:numId w:val="17"/>
        </w:numPr>
        <w:ind w:hanging="180"/>
        <w:rPr>
          <w:i/>
          <w:sz w:val="22"/>
          <w:szCs w:val="20"/>
        </w:rPr>
      </w:pPr>
      <w:r>
        <w:rPr>
          <w:i/>
          <w:sz w:val="22"/>
          <w:szCs w:val="20"/>
        </w:rPr>
        <w:t xml:space="preserve">Understanding and technical </w:t>
      </w:r>
      <w:r w:rsidRPr="00E82AB5">
        <w:rPr>
          <w:i/>
          <w:sz w:val="22"/>
          <w:szCs w:val="20"/>
        </w:rPr>
        <w:t>capacities</w:t>
      </w:r>
    </w:p>
    <w:p w:rsidR="009571FA" w:rsidRPr="009F2CA7" w:rsidRDefault="009571FA" w:rsidP="00E82AB5">
      <w:pPr>
        <w:rPr>
          <w:i/>
          <w:sz w:val="4"/>
          <w:szCs w:val="20"/>
        </w:rPr>
      </w:pPr>
    </w:p>
    <w:p w:rsidR="009571FA" w:rsidRDefault="009571FA" w:rsidP="00163679">
      <w:pPr>
        <w:rPr>
          <w:sz w:val="22"/>
        </w:rPr>
      </w:pPr>
      <w:r>
        <w:rPr>
          <w:sz w:val="22"/>
          <w:szCs w:val="20"/>
        </w:rPr>
        <w:t>According to responding planning officers, a significant challenge to gender integration was the ge</w:t>
      </w:r>
      <w:r w:rsidRPr="00777306">
        <w:rPr>
          <w:sz w:val="22"/>
          <w:szCs w:val="20"/>
        </w:rPr>
        <w:t xml:space="preserve">neralized lack of understanding of gender equity objectives in the context of PAHO’s mission </w:t>
      </w:r>
      <w:r>
        <w:rPr>
          <w:sz w:val="22"/>
          <w:szCs w:val="20"/>
        </w:rPr>
        <w:t xml:space="preserve">apt for translation </w:t>
      </w:r>
      <w:r w:rsidRPr="00777306">
        <w:rPr>
          <w:sz w:val="22"/>
          <w:szCs w:val="20"/>
        </w:rPr>
        <w:t xml:space="preserve">into </w:t>
      </w:r>
      <w:r>
        <w:rPr>
          <w:sz w:val="22"/>
          <w:szCs w:val="20"/>
        </w:rPr>
        <w:t xml:space="preserve">evaluation </w:t>
      </w:r>
      <w:r w:rsidRPr="00777306">
        <w:rPr>
          <w:sz w:val="22"/>
        </w:rPr>
        <w:t>indicators and criteria convened at the planning stage</w:t>
      </w:r>
      <w:r>
        <w:rPr>
          <w:sz w:val="22"/>
        </w:rPr>
        <w:t xml:space="preserve">. Other noted challenges alluded to the absence/shortage of </w:t>
      </w:r>
      <w:r w:rsidRPr="00777306">
        <w:rPr>
          <w:sz w:val="22"/>
        </w:rPr>
        <w:t>gender-specific evaluation tools</w:t>
      </w:r>
      <w:r>
        <w:rPr>
          <w:sz w:val="22"/>
        </w:rPr>
        <w:t xml:space="preserve">,   and of </w:t>
      </w:r>
      <w:r w:rsidRPr="00777306">
        <w:rPr>
          <w:sz w:val="22"/>
        </w:rPr>
        <w:t xml:space="preserve">technical expertise in </w:t>
      </w:r>
      <w:r>
        <w:rPr>
          <w:sz w:val="22"/>
        </w:rPr>
        <w:t xml:space="preserve">the two areas of related interest, gender and evaluation. </w:t>
      </w:r>
    </w:p>
    <w:p w:rsidR="009571FA" w:rsidRDefault="009571FA" w:rsidP="003C63E8">
      <w:pPr>
        <w:rPr>
          <w:sz w:val="22"/>
          <w:szCs w:val="20"/>
        </w:rPr>
      </w:pPr>
    </w:p>
    <w:p w:rsidR="009571FA" w:rsidRPr="00E82AB5" w:rsidRDefault="009571FA" w:rsidP="00581596">
      <w:pPr>
        <w:numPr>
          <w:ilvl w:val="0"/>
          <w:numId w:val="17"/>
        </w:numPr>
        <w:ind w:hanging="180"/>
        <w:rPr>
          <w:i/>
          <w:sz w:val="22"/>
          <w:szCs w:val="20"/>
        </w:rPr>
      </w:pPr>
      <w:r w:rsidRPr="00E82AB5">
        <w:rPr>
          <w:i/>
          <w:sz w:val="22"/>
          <w:szCs w:val="20"/>
        </w:rPr>
        <w:t>Institutional environment</w:t>
      </w:r>
    </w:p>
    <w:p w:rsidR="009571FA" w:rsidRPr="009F2CA7" w:rsidRDefault="009571FA" w:rsidP="003C63E8">
      <w:pPr>
        <w:ind w:left="270"/>
        <w:rPr>
          <w:sz w:val="4"/>
          <w:szCs w:val="20"/>
        </w:rPr>
      </w:pPr>
    </w:p>
    <w:p w:rsidR="009571FA" w:rsidRDefault="009571FA" w:rsidP="00163679">
      <w:pPr>
        <w:pStyle w:val="ListParagraph"/>
        <w:ind w:left="0" w:right="90"/>
        <w:jc w:val="both"/>
        <w:rPr>
          <w:sz w:val="22"/>
          <w:szCs w:val="20"/>
        </w:rPr>
      </w:pPr>
      <w:r>
        <w:rPr>
          <w:sz w:val="22"/>
          <w:szCs w:val="20"/>
        </w:rPr>
        <w:t xml:space="preserve">In 12 of the 21 interviews, reference was made to gender not having been an institutionally formal criterion from the planning stage, thus not becoming part of the institutional evaluation guidelines. It was also remarked that no feedback is received from the PAHO </w:t>
      </w:r>
      <w:r w:rsidRPr="00163679">
        <w:rPr>
          <w:rFonts w:cs="Arial"/>
          <w:bCs/>
          <w:color w:val="000000"/>
          <w:sz w:val="22"/>
          <w:szCs w:val="20"/>
        </w:rPr>
        <w:t xml:space="preserve">Office of </w:t>
      </w:r>
      <w:hyperlink r:id="rId15" w:history="1">
        <w:r w:rsidRPr="00163679">
          <w:rPr>
            <w:rStyle w:val="Hyperlink"/>
            <w:color w:val="000000"/>
            <w:sz w:val="22"/>
            <w:szCs w:val="20"/>
          </w:rPr>
          <w:t>Planning and Program Budget</w:t>
        </w:r>
      </w:hyperlink>
      <w:r w:rsidRPr="00163679">
        <w:rPr>
          <w:rFonts w:ascii="Verdana" w:hAnsi="Verdana"/>
          <w:color w:val="000000"/>
          <w:sz w:val="22"/>
          <w:szCs w:val="20"/>
        </w:rPr>
        <w:t xml:space="preserve"> </w:t>
      </w:r>
      <w:r>
        <w:rPr>
          <w:rFonts w:ascii="Verdana" w:hAnsi="Verdana"/>
          <w:color w:val="000000"/>
          <w:sz w:val="22"/>
          <w:szCs w:val="20"/>
        </w:rPr>
        <w:t>(PB) w</w:t>
      </w:r>
      <w:r>
        <w:rPr>
          <w:sz w:val="22"/>
          <w:szCs w:val="20"/>
        </w:rPr>
        <w:t>hen gender issues are not addressed in planning or evaluation reports. A PB officer in turn indicated that the technical units “responsible” for each of the six crosscutting themes (gender among them) had not contributed with planning and evaluation</w:t>
      </w:r>
      <w:r w:rsidRPr="00163679">
        <w:rPr>
          <w:sz w:val="22"/>
          <w:szCs w:val="20"/>
        </w:rPr>
        <w:t xml:space="preserve"> </w:t>
      </w:r>
      <w:r>
        <w:rPr>
          <w:sz w:val="22"/>
          <w:szCs w:val="20"/>
        </w:rPr>
        <w:t xml:space="preserve">criteria. </w:t>
      </w:r>
    </w:p>
    <w:p w:rsidR="009571FA" w:rsidRPr="00D222B1" w:rsidRDefault="009571FA" w:rsidP="00163679">
      <w:pPr>
        <w:rPr>
          <w:sz w:val="14"/>
        </w:rPr>
      </w:pPr>
    </w:p>
    <w:p w:rsidR="009571FA" w:rsidRDefault="009571FA" w:rsidP="00163679">
      <w:pPr>
        <w:rPr>
          <w:sz w:val="22"/>
          <w:szCs w:val="20"/>
        </w:rPr>
      </w:pPr>
      <w:r>
        <w:rPr>
          <w:sz w:val="22"/>
        </w:rPr>
        <w:t>Finally, it was repeatedly stated that insu</w:t>
      </w:r>
      <w:r w:rsidRPr="00777306">
        <w:rPr>
          <w:sz w:val="22"/>
          <w:szCs w:val="20"/>
        </w:rPr>
        <w:t>fficient time elaps</w:t>
      </w:r>
      <w:r>
        <w:rPr>
          <w:sz w:val="22"/>
          <w:szCs w:val="20"/>
        </w:rPr>
        <w:t>ed</w:t>
      </w:r>
      <w:r w:rsidRPr="00777306">
        <w:rPr>
          <w:sz w:val="22"/>
          <w:szCs w:val="20"/>
        </w:rPr>
        <w:t xml:space="preserve"> between the approval of the PAHO Gender Policy (9/30/05) and the </w:t>
      </w:r>
      <w:r>
        <w:rPr>
          <w:sz w:val="22"/>
          <w:szCs w:val="20"/>
        </w:rPr>
        <w:t xml:space="preserve">beginning of the </w:t>
      </w:r>
      <w:r w:rsidRPr="00777306">
        <w:rPr>
          <w:sz w:val="22"/>
          <w:szCs w:val="20"/>
        </w:rPr>
        <w:t xml:space="preserve">2006-2007 BPB planning </w:t>
      </w:r>
      <w:r>
        <w:rPr>
          <w:sz w:val="22"/>
          <w:szCs w:val="20"/>
        </w:rPr>
        <w:t xml:space="preserve">process </w:t>
      </w:r>
      <w:r w:rsidRPr="00777306">
        <w:rPr>
          <w:sz w:val="22"/>
          <w:szCs w:val="20"/>
        </w:rPr>
        <w:t xml:space="preserve">(10-11/05) to allow for </w:t>
      </w:r>
      <w:r>
        <w:rPr>
          <w:sz w:val="22"/>
          <w:szCs w:val="20"/>
        </w:rPr>
        <w:t xml:space="preserve">this </w:t>
      </w:r>
      <w:r w:rsidRPr="00777306">
        <w:rPr>
          <w:sz w:val="22"/>
          <w:szCs w:val="20"/>
        </w:rPr>
        <w:t xml:space="preserve">policy translation into planning and </w:t>
      </w:r>
      <w:r>
        <w:rPr>
          <w:sz w:val="22"/>
          <w:szCs w:val="20"/>
        </w:rPr>
        <w:t xml:space="preserve">related </w:t>
      </w:r>
      <w:r w:rsidRPr="00777306">
        <w:rPr>
          <w:sz w:val="22"/>
          <w:szCs w:val="20"/>
        </w:rPr>
        <w:t>monitoring.</w:t>
      </w:r>
    </w:p>
    <w:p w:rsidR="00D444FC" w:rsidRDefault="00D444FC" w:rsidP="00163679">
      <w:pPr>
        <w:rPr>
          <w:sz w:val="22"/>
          <w:szCs w:val="20"/>
        </w:rPr>
      </w:pPr>
    </w:p>
    <w:p w:rsidR="00D444FC" w:rsidRDefault="00D444FC" w:rsidP="00163679">
      <w:pPr>
        <w:rPr>
          <w:sz w:val="22"/>
          <w:szCs w:val="20"/>
        </w:rPr>
      </w:pPr>
    </w:p>
    <w:p w:rsidR="00D444FC" w:rsidRPr="00777306" w:rsidRDefault="00D444FC" w:rsidP="00163679">
      <w:pPr>
        <w:rPr>
          <w:sz w:val="22"/>
          <w:szCs w:val="20"/>
        </w:rPr>
      </w:pPr>
    </w:p>
    <w:p w:rsidR="009571FA" w:rsidRPr="00E205AB" w:rsidRDefault="009571FA" w:rsidP="00777306">
      <w:pPr>
        <w:rPr>
          <w:sz w:val="6"/>
        </w:rPr>
      </w:pPr>
    </w:p>
    <w:p w:rsidR="009571FA" w:rsidRPr="00E205AB" w:rsidRDefault="009571FA" w:rsidP="00581596">
      <w:pPr>
        <w:numPr>
          <w:ilvl w:val="1"/>
          <w:numId w:val="45"/>
        </w:numPr>
        <w:ind w:left="450"/>
        <w:rPr>
          <w:sz w:val="18"/>
        </w:rPr>
      </w:pPr>
      <w:r w:rsidRPr="009F2CA7">
        <w:rPr>
          <w:b/>
          <w:sz w:val="24"/>
          <w:szCs w:val="20"/>
        </w:rPr>
        <w:t xml:space="preserve">  Facilitating Factors </w:t>
      </w:r>
    </w:p>
    <w:p w:rsidR="00E205AB" w:rsidRPr="00E205AB" w:rsidRDefault="00E205AB" w:rsidP="00E205AB">
      <w:pPr>
        <w:ind w:left="450"/>
        <w:rPr>
          <w:sz w:val="12"/>
        </w:rPr>
      </w:pPr>
    </w:p>
    <w:p w:rsidR="009571FA" w:rsidRPr="00296CDC" w:rsidRDefault="009571FA" w:rsidP="00777306">
      <w:pPr>
        <w:rPr>
          <w:sz w:val="2"/>
        </w:rPr>
      </w:pPr>
    </w:p>
    <w:p w:rsidR="009571FA" w:rsidRPr="00777306" w:rsidRDefault="009571FA" w:rsidP="00777306">
      <w:pPr>
        <w:rPr>
          <w:sz w:val="22"/>
        </w:rPr>
      </w:pPr>
      <w:r>
        <w:rPr>
          <w:sz w:val="22"/>
        </w:rPr>
        <w:t xml:space="preserve">The </w:t>
      </w:r>
      <w:r w:rsidRPr="00777306">
        <w:rPr>
          <w:sz w:val="22"/>
        </w:rPr>
        <w:t xml:space="preserve">factors most often cited as enablers of gender </w:t>
      </w:r>
      <w:r>
        <w:rPr>
          <w:sz w:val="22"/>
        </w:rPr>
        <w:t xml:space="preserve">integration into </w:t>
      </w:r>
      <w:r w:rsidRPr="00777306">
        <w:rPr>
          <w:sz w:val="22"/>
        </w:rPr>
        <w:t>the programming cycle</w:t>
      </w:r>
      <w:r>
        <w:rPr>
          <w:sz w:val="22"/>
        </w:rPr>
        <w:t xml:space="preserve"> were also classified under the analytical categories indicated above in 1.3.2., and in that framework they will be described here. In order of importance, these factors were:</w:t>
      </w:r>
    </w:p>
    <w:p w:rsidR="009571FA" w:rsidRPr="00777306" w:rsidRDefault="009571FA" w:rsidP="00581596">
      <w:pPr>
        <w:numPr>
          <w:ilvl w:val="0"/>
          <w:numId w:val="16"/>
        </w:numPr>
        <w:rPr>
          <w:sz w:val="22"/>
        </w:rPr>
      </w:pPr>
      <w:r w:rsidRPr="00777306">
        <w:rPr>
          <w:sz w:val="22"/>
        </w:rPr>
        <w:t xml:space="preserve">leadership and policies at the internal </w:t>
      </w:r>
      <w:r>
        <w:rPr>
          <w:sz w:val="22"/>
        </w:rPr>
        <w:t>Institutional environment</w:t>
      </w:r>
    </w:p>
    <w:p w:rsidR="009571FA" w:rsidRPr="00777306" w:rsidRDefault="009571FA" w:rsidP="00581596">
      <w:pPr>
        <w:numPr>
          <w:ilvl w:val="0"/>
          <w:numId w:val="16"/>
        </w:numPr>
        <w:rPr>
          <w:sz w:val="22"/>
        </w:rPr>
      </w:pPr>
      <w:r w:rsidRPr="00777306">
        <w:rPr>
          <w:sz w:val="22"/>
        </w:rPr>
        <w:t xml:space="preserve">partnerships in the external environment  </w:t>
      </w:r>
    </w:p>
    <w:p w:rsidR="009571FA" w:rsidRPr="00777306" w:rsidRDefault="009571FA" w:rsidP="00581596">
      <w:pPr>
        <w:numPr>
          <w:ilvl w:val="0"/>
          <w:numId w:val="16"/>
        </w:numPr>
        <w:rPr>
          <w:sz w:val="22"/>
        </w:rPr>
      </w:pPr>
      <w:r w:rsidRPr="00777306">
        <w:rPr>
          <w:sz w:val="22"/>
        </w:rPr>
        <w:t xml:space="preserve">enhanced gender understanding and competencies </w:t>
      </w:r>
    </w:p>
    <w:p w:rsidR="009571FA" w:rsidRPr="00777306" w:rsidRDefault="009571FA" w:rsidP="00581596">
      <w:pPr>
        <w:numPr>
          <w:ilvl w:val="0"/>
          <w:numId w:val="16"/>
        </w:numPr>
        <w:rPr>
          <w:sz w:val="22"/>
        </w:rPr>
      </w:pPr>
      <w:r w:rsidRPr="00777306">
        <w:rPr>
          <w:sz w:val="22"/>
        </w:rPr>
        <w:t xml:space="preserve">collaboration </w:t>
      </w:r>
      <w:r>
        <w:rPr>
          <w:sz w:val="22"/>
        </w:rPr>
        <w:t xml:space="preserve">received from the </w:t>
      </w:r>
      <w:r w:rsidRPr="00777306">
        <w:rPr>
          <w:sz w:val="22"/>
        </w:rPr>
        <w:t xml:space="preserve">PAHO Gender Unit   </w:t>
      </w:r>
    </w:p>
    <w:p w:rsidR="009571FA" w:rsidRDefault="009571FA" w:rsidP="00777306">
      <w:pPr>
        <w:rPr>
          <w:sz w:val="22"/>
        </w:rPr>
      </w:pPr>
    </w:p>
    <w:p w:rsidR="009571FA" w:rsidRDefault="009571FA" w:rsidP="00127D0B">
      <w:pPr>
        <w:rPr>
          <w:szCs w:val="22"/>
        </w:rPr>
      </w:pPr>
      <w:r>
        <w:rPr>
          <w:sz w:val="22"/>
        </w:rPr>
        <w:t xml:space="preserve">For the most part, these factors exerted their influence at the </w:t>
      </w:r>
      <w:r w:rsidRPr="00127D0B">
        <w:rPr>
          <w:b/>
          <w:sz w:val="22"/>
        </w:rPr>
        <w:t>planning and implementation</w:t>
      </w:r>
      <w:r>
        <w:rPr>
          <w:sz w:val="22"/>
        </w:rPr>
        <w:t xml:space="preserve"> stages. </w:t>
      </w:r>
      <w:r>
        <w:rPr>
          <w:sz w:val="22"/>
          <w:szCs w:val="22"/>
        </w:rPr>
        <w:t xml:space="preserve">The few instances in which gender appeared to have been part of </w:t>
      </w:r>
      <w:r>
        <w:rPr>
          <w:b/>
          <w:sz w:val="22"/>
          <w:szCs w:val="22"/>
        </w:rPr>
        <w:t xml:space="preserve">monitoring and evaluation </w:t>
      </w:r>
      <w:r>
        <w:rPr>
          <w:sz w:val="22"/>
          <w:szCs w:val="22"/>
        </w:rPr>
        <w:t>processes</w:t>
      </w:r>
      <w:r>
        <w:rPr>
          <w:b/>
          <w:sz w:val="22"/>
          <w:szCs w:val="22"/>
        </w:rPr>
        <w:t xml:space="preserve"> </w:t>
      </w:r>
      <w:r>
        <w:rPr>
          <w:sz w:val="22"/>
          <w:szCs w:val="22"/>
        </w:rPr>
        <w:t>were</w:t>
      </w:r>
      <w:r>
        <w:rPr>
          <w:b/>
          <w:sz w:val="22"/>
          <w:szCs w:val="22"/>
        </w:rPr>
        <w:t xml:space="preserve"> </w:t>
      </w:r>
      <w:r>
        <w:rPr>
          <w:sz w:val="22"/>
          <w:szCs w:val="22"/>
        </w:rPr>
        <w:t xml:space="preserve">attributed to the enabling effect of the following factors: the PAHO Gender Equality Policy; the MDG framework; the availability of new corporate data permitting to identify detailed levels of gender inequality in the Organization’s Human Resources; the country BPB concordance with Objectives of Health Development at the national level; and gender criteria included in the biennial work plan, also at  country level. </w:t>
      </w:r>
    </w:p>
    <w:p w:rsidR="009571FA" w:rsidRPr="00777306" w:rsidRDefault="009571FA" w:rsidP="00777306">
      <w:pPr>
        <w:rPr>
          <w:b/>
          <w:sz w:val="22"/>
          <w:szCs w:val="22"/>
        </w:rPr>
      </w:pPr>
    </w:p>
    <w:p w:rsidR="009571FA" w:rsidRPr="00BC6DAE" w:rsidRDefault="009571FA" w:rsidP="00581596">
      <w:pPr>
        <w:pStyle w:val="ListParagraph"/>
        <w:numPr>
          <w:ilvl w:val="1"/>
          <w:numId w:val="14"/>
        </w:numPr>
        <w:rPr>
          <w:b/>
          <w:sz w:val="22"/>
        </w:rPr>
      </w:pPr>
      <w:r w:rsidRPr="00BC6DAE">
        <w:rPr>
          <w:b/>
          <w:sz w:val="22"/>
        </w:rPr>
        <w:t xml:space="preserve">Leadership and policies at the internal institutional environment  </w:t>
      </w:r>
    </w:p>
    <w:p w:rsidR="009571FA" w:rsidRPr="009F2CA7" w:rsidRDefault="009571FA" w:rsidP="00777306">
      <w:pPr>
        <w:ind w:left="720"/>
        <w:rPr>
          <w:sz w:val="2"/>
          <w:szCs w:val="22"/>
        </w:rPr>
      </w:pPr>
    </w:p>
    <w:p w:rsidR="009571FA" w:rsidRPr="00777306" w:rsidRDefault="009571FA" w:rsidP="00B27A2E">
      <w:pPr>
        <w:rPr>
          <w:sz w:val="22"/>
          <w:szCs w:val="22"/>
        </w:rPr>
      </w:pPr>
      <w:r w:rsidRPr="00777306">
        <w:rPr>
          <w:sz w:val="22"/>
          <w:szCs w:val="22"/>
        </w:rPr>
        <w:t xml:space="preserve">The factors most vigorously and frequently cited as driving gender integration in the programming cycle were those related to </w:t>
      </w:r>
      <w:r w:rsidRPr="00777306">
        <w:rPr>
          <w:b/>
          <w:sz w:val="22"/>
          <w:szCs w:val="22"/>
        </w:rPr>
        <w:t>organizational leadership and policies</w:t>
      </w:r>
      <w:r w:rsidRPr="00777306">
        <w:rPr>
          <w:sz w:val="22"/>
          <w:szCs w:val="22"/>
        </w:rPr>
        <w:t xml:space="preserve">.  The unwavering </w:t>
      </w:r>
      <w:r w:rsidRPr="00777306">
        <w:rPr>
          <w:b/>
          <w:sz w:val="22"/>
          <w:szCs w:val="22"/>
        </w:rPr>
        <w:t>support and commitment from the PAHO Director,</w:t>
      </w:r>
      <w:r w:rsidRPr="00777306">
        <w:rPr>
          <w:sz w:val="22"/>
          <w:szCs w:val="22"/>
        </w:rPr>
        <w:t xml:space="preserve"> “</w:t>
      </w:r>
      <w:r w:rsidRPr="00777306">
        <w:rPr>
          <w:i/>
          <w:sz w:val="22"/>
          <w:szCs w:val="22"/>
        </w:rPr>
        <w:t>her</w:t>
      </w:r>
      <w:r w:rsidRPr="00777306">
        <w:rPr>
          <w:sz w:val="22"/>
          <w:szCs w:val="22"/>
        </w:rPr>
        <w:t xml:space="preserve"> </w:t>
      </w:r>
      <w:r w:rsidRPr="00777306">
        <w:rPr>
          <w:i/>
          <w:sz w:val="22"/>
          <w:szCs w:val="22"/>
        </w:rPr>
        <w:t xml:space="preserve">leading by example”, </w:t>
      </w:r>
      <w:r w:rsidRPr="00777306">
        <w:rPr>
          <w:sz w:val="22"/>
          <w:szCs w:val="22"/>
        </w:rPr>
        <w:t xml:space="preserve">together with the </w:t>
      </w:r>
      <w:r w:rsidRPr="00777306">
        <w:rPr>
          <w:b/>
          <w:sz w:val="22"/>
          <w:szCs w:val="22"/>
        </w:rPr>
        <w:t xml:space="preserve">support of some senior managers </w:t>
      </w:r>
      <w:r w:rsidRPr="00777306">
        <w:rPr>
          <w:sz w:val="22"/>
          <w:szCs w:val="22"/>
        </w:rPr>
        <w:t xml:space="preserve">in HQ and CO, were reported as the decisive elements of such progress. Among these managers, some Health Ministers were actively recognized at the country level. </w:t>
      </w:r>
    </w:p>
    <w:p w:rsidR="009571FA" w:rsidRPr="00777306" w:rsidRDefault="009571FA" w:rsidP="00777306">
      <w:pPr>
        <w:rPr>
          <w:sz w:val="22"/>
          <w:szCs w:val="22"/>
        </w:rPr>
      </w:pPr>
    </w:p>
    <w:p w:rsidR="009571FA" w:rsidRPr="00777306" w:rsidRDefault="009571FA" w:rsidP="00B27A2E">
      <w:pPr>
        <w:rPr>
          <w:sz w:val="22"/>
          <w:szCs w:val="22"/>
        </w:rPr>
      </w:pPr>
      <w:r w:rsidRPr="00777306">
        <w:rPr>
          <w:sz w:val="22"/>
          <w:szCs w:val="22"/>
        </w:rPr>
        <w:t xml:space="preserve">Throughout the cycle, but particularly at the planning and implementing phases, corporate pro-gender-equality policies were perceived as important facilitators of gender integration. The importance of the 2005 </w:t>
      </w:r>
      <w:r w:rsidRPr="00777306">
        <w:rPr>
          <w:b/>
          <w:sz w:val="22"/>
          <w:szCs w:val="22"/>
        </w:rPr>
        <w:t>PAHO Gender</w:t>
      </w:r>
      <w:r w:rsidRPr="00777306">
        <w:rPr>
          <w:sz w:val="22"/>
          <w:szCs w:val="22"/>
        </w:rPr>
        <w:t xml:space="preserve"> </w:t>
      </w:r>
      <w:r w:rsidRPr="00777306">
        <w:rPr>
          <w:b/>
          <w:sz w:val="22"/>
          <w:szCs w:val="22"/>
        </w:rPr>
        <w:t>Equality Policy</w:t>
      </w:r>
      <w:r w:rsidRPr="00777306">
        <w:rPr>
          <w:sz w:val="22"/>
          <w:szCs w:val="22"/>
        </w:rPr>
        <w:t xml:space="preserve"> was highlighted</w:t>
      </w:r>
      <w:r w:rsidR="003704F9">
        <w:rPr>
          <w:sz w:val="22"/>
          <w:szCs w:val="22"/>
        </w:rPr>
        <w:t>,</w:t>
      </w:r>
      <w:r w:rsidRPr="00777306">
        <w:rPr>
          <w:sz w:val="22"/>
          <w:szCs w:val="22"/>
        </w:rPr>
        <w:t xml:space="preserve"> not only because of its internal significance but mainly </w:t>
      </w:r>
      <w:r>
        <w:rPr>
          <w:sz w:val="22"/>
          <w:szCs w:val="22"/>
        </w:rPr>
        <w:t xml:space="preserve">due to </w:t>
      </w:r>
      <w:r w:rsidRPr="00777306">
        <w:rPr>
          <w:sz w:val="22"/>
          <w:szCs w:val="22"/>
        </w:rPr>
        <w:t xml:space="preserve">the weight it carried for being the voice of Member States through PAHO Governing Bodies. The organizational directive making </w:t>
      </w:r>
      <w:r w:rsidRPr="00777306">
        <w:rPr>
          <w:b/>
          <w:sz w:val="22"/>
          <w:szCs w:val="22"/>
        </w:rPr>
        <w:t>gender equality one of six cross-cutting themes</w:t>
      </w:r>
      <w:r w:rsidRPr="00777306">
        <w:rPr>
          <w:sz w:val="22"/>
          <w:szCs w:val="22"/>
        </w:rPr>
        <w:t xml:space="preserve"> in the Organization’s work was thought as having exerted an encouraging influence in the recently completed 2008-2012 planning process. It was expected that this influence would carry through the subsequent implementation and evaluation phases.  </w:t>
      </w:r>
    </w:p>
    <w:p w:rsidR="009571FA" w:rsidRPr="00777306" w:rsidRDefault="009571FA" w:rsidP="00777306">
      <w:pPr>
        <w:rPr>
          <w:sz w:val="22"/>
          <w:szCs w:val="22"/>
        </w:rPr>
      </w:pPr>
    </w:p>
    <w:p w:rsidR="009571FA" w:rsidRPr="009F2CA7" w:rsidRDefault="009571FA" w:rsidP="00581596">
      <w:pPr>
        <w:pStyle w:val="ListParagraph"/>
        <w:numPr>
          <w:ilvl w:val="1"/>
          <w:numId w:val="14"/>
        </w:numPr>
        <w:rPr>
          <w:b/>
          <w:sz w:val="18"/>
          <w:szCs w:val="22"/>
        </w:rPr>
      </w:pPr>
      <w:r w:rsidRPr="009F2CA7">
        <w:rPr>
          <w:b/>
          <w:sz w:val="22"/>
          <w:szCs w:val="22"/>
        </w:rPr>
        <w:t xml:space="preserve">  Partnerships and alliances with external stakeholders</w:t>
      </w:r>
    </w:p>
    <w:p w:rsidR="009571FA" w:rsidRPr="00296CDC" w:rsidRDefault="009571FA" w:rsidP="00777306">
      <w:pPr>
        <w:rPr>
          <w:sz w:val="4"/>
          <w:szCs w:val="22"/>
        </w:rPr>
      </w:pPr>
      <w:r>
        <w:rPr>
          <w:b/>
          <w:i/>
          <w:szCs w:val="22"/>
        </w:rPr>
        <w:t xml:space="preserve"> </w:t>
      </w:r>
    </w:p>
    <w:p w:rsidR="009571FA" w:rsidRDefault="009571FA" w:rsidP="00777306">
      <w:pPr>
        <w:rPr>
          <w:sz w:val="22"/>
          <w:szCs w:val="22"/>
        </w:rPr>
      </w:pPr>
      <w:r w:rsidRPr="00777306">
        <w:rPr>
          <w:sz w:val="22"/>
          <w:szCs w:val="22"/>
        </w:rPr>
        <w:t>Factors in this category were mentioned as frequently as those referring to the internal enabling environment. The mos</w:t>
      </w:r>
      <w:r>
        <w:rPr>
          <w:sz w:val="22"/>
          <w:szCs w:val="22"/>
        </w:rPr>
        <w:t xml:space="preserve">t prominent were the following: </w:t>
      </w:r>
      <w:r w:rsidRPr="00777306">
        <w:rPr>
          <w:sz w:val="22"/>
          <w:szCs w:val="22"/>
        </w:rPr>
        <w:t xml:space="preserve">Political and financial support of progressive donors, both at regional </w:t>
      </w:r>
      <w:r w:rsidR="003704F9">
        <w:rPr>
          <w:sz w:val="22"/>
          <w:szCs w:val="22"/>
        </w:rPr>
        <w:t>and</w:t>
      </w:r>
      <w:r w:rsidRPr="00777306">
        <w:rPr>
          <w:sz w:val="22"/>
          <w:szCs w:val="22"/>
        </w:rPr>
        <w:t xml:space="preserve"> country levels</w:t>
      </w:r>
      <w:r>
        <w:rPr>
          <w:sz w:val="22"/>
          <w:szCs w:val="22"/>
        </w:rPr>
        <w:t>; p</w:t>
      </w:r>
      <w:r w:rsidRPr="00777306">
        <w:rPr>
          <w:sz w:val="22"/>
          <w:szCs w:val="22"/>
        </w:rPr>
        <w:t>artnerships with other agencies of the UN and the Inter American system working on gender equality both at Regional and country levels</w:t>
      </w:r>
      <w:r>
        <w:rPr>
          <w:sz w:val="22"/>
          <w:szCs w:val="22"/>
        </w:rPr>
        <w:t>; m</w:t>
      </w:r>
      <w:r w:rsidRPr="00777306">
        <w:rPr>
          <w:sz w:val="22"/>
          <w:szCs w:val="22"/>
        </w:rPr>
        <w:t xml:space="preserve">ulti-sector work for Gender Equality </w:t>
      </w:r>
      <w:r w:rsidR="003704F9">
        <w:rPr>
          <w:sz w:val="22"/>
          <w:szCs w:val="22"/>
        </w:rPr>
        <w:t>and</w:t>
      </w:r>
      <w:r w:rsidRPr="00777306">
        <w:rPr>
          <w:sz w:val="22"/>
          <w:szCs w:val="22"/>
        </w:rPr>
        <w:t xml:space="preserve"> Women’s Empowerment at the country level, carried out with the Ministry of Health in alliance with other Government sectors and Civil Society.  The </w:t>
      </w:r>
      <w:r>
        <w:rPr>
          <w:sz w:val="22"/>
          <w:szCs w:val="22"/>
        </w:rPr>
        <w:t xml:space="preserve">latter included, </w:t>
      </w:r>
      <w:r w:rsidRPr="00777306">
        <w:rPr>
          <w:sz w:val="22"/>
          <w:szCs w:val="22"/>
        </w:rPr>
        <w:t>routinely, the Ministry or Bureau of Women’s Affairs</w:t>
      </w:r>
      <w:r>
        <w:rPr>
          <w:sz w:val="22"/>
          <w:szCs w:val="22"/>
        </w:rPr>
        <w:t xml:space="preserve">, and depending on the subject matter, the </w:t>
      </w:r>
      <w:r w:rsidRPr="00777306">
        <w:rPr>
          <w:sz w:val="22"/>
          <w:szCs w:val="22"/>
        </w:rPr>
        <w:t xml:space="preserve">Ministries </w:t>
      </w:r>
      <w:r>
        <w:rPr>
          <w:sz w:val="22"/>
          <w:szCs w:val="22"/>
        </w:rPr>
        <w:t xml:space="preserve">of </w:t>
      </w:r>
      <w:r w:rsidRPr="00777306">
        <w:rPr>
          <w:sz w:val="22"/>
          <w:szCs w:val="22"/>
        </w:rPr>
        <w:t xml:space="preserve">Social Security, Education, </w:t>
      </w:r>
      <w:r>
        <w:rPr>
          <w:sz w:val="22"/>
          <w:szCs w:val="22"/>
        </w:rPr>
        <w:t xml:space="preserve">and </w:t>
      </w:r>
      <w:r w:rsidRPr="00777306">
        <w:rPr>
          <w:sz w:val="22"/>
          <w:szCs w:val="22"/>
        </w:rPr>
        <w:t>Culture</w:t>
      </w:r>
      <w:r>
        <w:rPr>
          <w:sz w:val="22"/>
          <w:szCs w:val="22"/>
        </w:rPr>
        <w:t>.</w:t>
      </w:r>
    </w:p>
    <w:p w:rsidR="009571FA" w:rsidRPr="00296CDC" w:rsidRDefault="009571FA" w:rsidP="0000664B">
      <w:pPr>
        <w:rPr>
          <w:sz w:val="14"/>
          <w:szCs w:val="22"/>
        </w:rPr>
      </w:pPr>
    </w:p>
    <w:p w:rsidR="009571FA" w:rsidRDefault="009571FA" w:rsidP="0000664B">
      <w:pPr>
        <w:rPr>
          <w:sz w:val="22"/>
          <w:szCs w:val="22"/>
        </w:rPr>
      </w:pPr>
      <w:r>
        <w:rPr>
          <w:sz w:val="22"/>
          <w:szCs w:val="22"/>
        </w:rPr>
        <w:t>The UN galvanizing policy regarding</w:t>
      </w:r>
      <w:r>
        <w:rPr>
          <w:b/>
          <w:sz w:val="22"/>
          <w:szCs w:val="22"/>
        </w:rPr>
        <w:t xml:space="preserve"> MDGs </w:t>
      </w:r>
      <w:r>
        <w:rPr>
          <w:sz w:val="22"/>
          <w:szCs w:val="22"/>
        </w:rPr>
        <w:t xml:space="preserve">and, to a lesser extent, the </w:t>
      </w:r>
      <w:r w:rsidR="00A45269">
        <w:rPr>
          <w:sz w:val="22"/>
          <w:szCs w:val="22"/>
        </w:rPr>
        <w:t xml:space="preserve">International agreements on </w:t>
      </w:r>
      <w:r>
        <w:rPr>
          <w:sz w:val="22"/>
          <w:szCs w:val="22"/>
        </w:rPr>
        <w:t xml:space="preserve">Sexual and Reproductive Rights, were recognized as external forces that greatly contributed to   channel organizational attention and efforts towards gender equality issues. </w:t>
      </w:r>
    </w:p>
    <w:p w:rsidR="009571FA" w:rsidRDefault="009571FA" w:rsidP="0000664B">
      <w:pPr>
        <w:pStyle w:val="ListParagraph"/>
        <w:rPr>
          <w:sz w:val="22"/>
          <w:szCs w:val="22"/>
        </w:rPr>
      </w:pPr>
    </w:p>
    <w:p w:rsidR="009571FA" w:rsidRPr="00BA78DA" w:rsidRDefault="009571FA" w:rsidP="00581596">
      <w:pPr>
        <w:pStyle w:val="ListParagraph"/>
        <w:numPr>
          <w:ilvl w:val="1"/>
          <w:numId w:val="14"/>
        </w:numPr>
        <w:rPr>
          <w:b/>
          <w:sz w:val="18"/>
        </w:rPr>
      </w:pPr>
      <w:r>
        <w:rPr>
          <w:b/>
          <w:sz w:val="22"/>
        </w:rPr>
        <w:t xml:space="preserve">  </w:t>
      </w:r>
      <w:r w:rsidRPr="00BA78DA">
        <w:rPr>
          <w:b/>
          <w:sz w:val="22"/>
        </w:rPr>
        <w:t>Enhanced understanding and capacity for gender mainstreaming</w:t>
      </w:r>
    </w:p>
    <w:p w:rsidR="009571FA" w:rsidRPr="009F2CA7" w:rsidRDefault="009571FA" w:rsidP="00777306">
      <w:pPr>
        <w:rPr>
          <w:b/>
          <w:sz w:val="2"/>
          <w:szCs w:val="22"/>
        </w:rPr>
      </w:pPr>
    </w:p>
    <w:p w:rsidR="009571FA" w:rsidRDefault="009571FA" w:rsidP="006A1200">
      <w:pPr>
        <w:rPr>
          <w:sz w:val="22"/>
          <w:szCs w:val="22"/>
        </w:rPr>
      </w:pPr>
      <w:r w:rsidRPr="00777306">
        <w:rPr>
          <w:sz w:val="22"/>
          <w:szCs w:val="22"/>
        </w:rPr>
        <w:t xml:space="preserve">Facilitating factors in this category </w:t>
      </w:r>
      <w:r>
        <w:rPr>
          <w:sz w:val="22"/>
          <w:szCs w:val="22"/>
        </w:rPr>
        <w:t xml:space="preserve">were mainly cited in reference to the </w:t>
      </w:r>
      <w:r w:rsidRPr="00777306">
        <w:rPr>
          <w:sz w:val="22"/>
          <w:szCs w:val="22"/>
        </w:rPr>
        <w:t>planning and implementation</w:t>
      </w:r>
      <w:r>
        <w:rPr>
          <w:sz w:val="22"/>
          <w:szCs w:val="22"/>
        </w:rPr>
        <w:t xml:space="preserve"> stages. I</w:t>
      </w:r>
      <w:r w:rsidRPr="00777306">
        <w:rPr>
          <w:sz w:val="22"/>
          <w:szCs w:val="22"/>
        </w:rPr>
        <w:t xml:space="preserve">n order of </w:t>
      </w:r>
      <w:r>
        <w:rPr>
          <w:sz w:val="22"/>
          <w:szCs w:val="22"/>
        </w:rPr>
        <w:t>mentioning f</w:t>
      </w:r>
      <w:r w:rsidRPr="00777306">
        <w:rPr>
          <w:sz w:val="22"/>
          <w:szCs w:val="22"/>
        </w:rPr>
        <w:t>requency</w:t>
      </w:r>
      <w:r>
        <w:rPr>
          <w:sz w:val="22"/>
          <w:szCs w:val="22"/>
        </w:rPr>
        <w:t>, these factors w</w:t>
      </w:r>
      <w:r w:rsidRPr="00777306">
        <w:rPr>
          <w:sz w:val="22"/>
          <w:szCs w:val="22"/>
        </w:rPr>
        <w:t>ere</w:t>
      </w:r>
      <w:r>
        <w:rPr>
          <w:sz w:val="22"/>
          <w:szCs w:val="22"/>
        </w:rPr>
        <w:t xml:space="preserve"> the following five: </w:t>
      </w:r>
    </w:p>
    <w:p w:rsidR="009571FA" w:rsidRPr="00777306" w:rsidRDefault="009571FA" w:rsidP="006A1200">
      <w:pPr>
        <w:rPr>
          <w:sz w:val="22"/>
          <w:szCs w:val="22"/>
        </w:rPr>
      </w:pPr>
      <w:r>
        <w:rPr>
          <w:sz w:val="22"/>
          <w:szCs w:val="22"/>
        </w:rPr>
        <w:t>(1)  p</w:t>
      </w:r>
      <w:r w:rsidRPr="00777306">
        <w:rPr>
          <w:sz w:val="22"/>
          <w:szCs w:val="22"/>
        </w:rPr>
        <w:t>resence of women, gender-sensitive staff, and newly hired staff with gender expertise</w:t>
      </w:r>
      <w:r>
        <w:rPr>
          <w:sz w:val="22"/>
          <w:szCs w:val="22"/>
        </w:rPr>
        <w:t>,</w:t>
      </w:r>
      <w:r w:rsidRPr="00777306">
        <w:rPr>
          <w:sz w:val="22"/>
          <w:szCs w:val="22"/>
        </w:rPr>
        <w:t xml:space="preserve"> in </w:t>
      </w:r>
      <w:r>
        <w:rPr>
          <w:sz w:val="22"/>
          <w:szCs w:val="22"/>
        </w:rPr>
        <w:t>the respondent’s technical t</w:t>
      </w:r>
      <w:r w:rsidRPr="00777306">
        <w:rPr>
          <w:sz w:val="22"/>
          <w:szCs w:val="22"/>
        </w:rPr>
        <w:t>eams</w:t>
      </w:r>
      <w:r>
        <w:rPr>
          <w:sz w:val="22"/>
          <w:szCs w:val="22"/>
        </w:rPr>
        <w:t>; (2) e</w:t>
      </w:r>
      <w:r w:rsidRPr="00777306">
        <w:rPr>
          <w:sz w:val="22"/>
          <w:szCs w:val="22"/>
        </w:rPr>
        <w:t>nhanced understanding of the relevance of gender as</w:t>
      </w:r>
      <w:r>
        <w:rPr>
          <w:sz w:val="22"/>
          <w:szCs w:val="22"/>
        </w:rPr>
        <w:t xml:space="preserve"> </w:t>
      </w:r>
      <w:r w:rsidRPr="00777306">
        <w:rPr>
          <w:sz w:val="22"/>
          <w:szCs w:val="22"/>
        </w:rPr>
        <w:t>political priority at the international level</w:t>
      </w:r>
      <w:r>
        <w:rPr>
          <w:sz w:val="22"/>
          <w:szCs w:val="22"/>
        </w:rPr>
        <w:t>, d</w:t>
      </w:r>
      <w:r w:rsidRPr="00777306">
        <w:rPr>
          <w:sz w:val="22"/>
          <w:szCs w:val="22"/>
        </w:rPr>
        <w:t>eterminant of health inequality, and contributor to effectiveness in interventions</w:t>
      </w:r>
      <w:r>
        <w:rPr>
          <w:sz w:val="22"/>
          <w:szCs w:val="22"/>
        </w:rPr>
        <w:t>; (3) i</w:t>
      </w:r>
      <w:r w:rsidRPr="00777306">
        <w:rPr>
          <w:sz w:val="22"/>
          <w:szCs w:val="22"/>
        </w:rPr>
        <w:t>ncreased access to relevant evidence on good practices</w:t>
      </w:r>
      <w:r>
        <w:rPr>
          <w:sz w:val="22"/>
          <w:szCs w:val="22"/>
        </w:rPr>
        <w:t>; (4) having</w:t>
      </w:r>
      <w:r w:rsidRPr="00777306">
        <w:rPr>
          <w:sz w:val="22"/>
          <w:szCs w:val="22"/>
        </w:rPr>
        <w:t xml:space="preserve"> the equity framework as an umbrella for the work with gender equity</w:t>
      </w:r>
      <w:r>
        <w:rPr>
          <w:sz w:val="22"/>
          <w:szCs w:val="22"/>
        </w:rPr>
        <w:t>; and (5) p</w:t>
      </w:r>
      <w:r w:rsidRPr="00777306">
        <w:rPr>
          <w:sz w:val="22"/>
          <w:szCs w:val="22"/>
        </w:rPr>
        <w:t xml:space="preserve">articipation in discussion fora on gender and </w:t>
      </w:r>
      <w:r>
        <w:rPr>
          <w:sz w:val="22"/>
          <w:szCs w:val="22"/>
        </w:rPr>
        <w:t xml:space="preserve">its relation to </w:t>
      </w:r>
      <w:r w:rsidRPr="00777306">
        <w:rPr>
          <w:sz w:val="22"/>
          <w:szCs w:val="22"/>
        </w:rPr>
        <w:t>their area</w:t>
      </w:r>
      <w:r w:rsidRPr="006A1200">
        <w:rPr>
          <w:sz w:val="22"/>
          <w:szCs w:val="22"/>
        </w:rPr>
        <w:t xml:space="preserve"> </w:t>
      </w:r>
      <w:r>
        <w:rPr>
          <w:sz w:val="22"/>
          <w:szCs w:val="22"/>
        </w:rPr>
        <w:t xml:space="preserve">of </w:t>
      </w:r>
      <w:r w:rsidRPr="00777306">
        <w:rPr>
          <w:sz w:val="22"/>
          <w:szCs w:val="22"/>
        </w:rPr>
        <w:t xml:space="preserve">interest. </w:t>
      </w:r>
    </w:p>
    <w:p w:rsidR="009571FA" w:rsidRPr="00777306" w:rsidRDefault="009571FA" w:rsidP="00777306">
      <w:pPr>
        <w:rPr>
          <w:sz w:val="22"/>
          <w:szCs w:val="22"/>
        </w:rPr>
      </w:pPr>
    </w:p>
    <w:p w:rsidR="009571FA" w:rsidRPr="00B27A2E" w:rsidRDefault="009571FA" w:rsidP="00581596">
      <w:pPr>
        <w:numPr>
          <w:ilvl w:val="1"/>
          <w:numId w:val="14"/>
        </w:numPr>
        <w:rPr>
          <w:b/>
          <w:sz w:val="22"/>
        </w:rPr>
      </w:pPr>
      <w:r>
        <w:rPr>
          <w:b/>
          <w:sz w:val="22"/>
        </w:rPr>
        <w:t xml:space="preserve">  C</w:t>
      </w:r>
      <w:r w:rsidRPr="00B27A2E">
        <w:rPr>
          <w:b/>
          <w:sz w:val="22"/>
        </w:rPr>
        <w:t xml:space="preserve">ollaboration </w:t>
      </w:r>
      <w:r>
        <w:rPr>
          <w:b/>
          <w:sz w:val="22"/>
        </w:rPr>
        <w:t xml:space="preserve">with </w:t>
      </w:r>
      <w:r w:rsidRPr="00B27A2E">
        <w:rPr>
          <w:b/>
          <w:sz w:val="22"/>
        </w:rPr>
        <w:t xml:space="preserve">the PAHO Gender Network   </w:t>
      </w:r>
    </w:p>
    <w:p w:rsidR="009571FA" w:rsidRPr="009F2CA7" w:rsidRDefault="009571FA" w:rsidP="00B27A2E">
      <w:pPr>
        <w:rPr>
          <w:sz w:val="4"/>
        </w:rPr>
      </w:pPr>
    </w:p>
    <w:p w:rsidR="009571FA" w:rsidRPr="00777306" w:rsidRDefault="009571FA" w:rsidP="00B27A2E">
      <w:pPr>
        <w:rPr>
          <w:sz w:val="22"/>
          <w:szCs w:val="22"/>
        </w:rPr>
      </w:pPr>
      <w:r w:rsidRPr="00777306">
        <w:rPr>
          <w:sz w:val="22"/>
        </w:rPr>
        <w:t xml:space="preserve">References to the </w:t>
      </w:r>
      <w:r w:rsidRPr="00777306">
        <w:rPr>
          <w:b/>
          <w:sz w:val="22"/>
        </w:rPr>
        <w:t>role of the PAHO Gender Network</w:t>
      </w:r>
      <w:r w:rsidRPr="00777306">
        <w:rPr>
          <w:sz w:val="22"/>
        </w:rPr>
        <w:t xml:space="preserve"> as a facilitating force for mainstreaming were made in ten of the 21 interviews. </w:t>
      </w:r>
      <w:r w:rsidRPr="00777306">
        <w:rPr>
          <w:sz w:val="22"/>
          <w:szCs w:val="22"/>
        </w:rPr>
        <w:t>Having a Gender Unit in HQ</w:t>
      </w:r>
      <w:r>
        <w:rPr>
          <w:sz w:val="22"/>
          <w:szCs w:val="22"/>
        </w:rPr>
        <w:t>,</w:t>
      </w:r>
      <w:r w:rsidRPr="00777306">
        <w:rPr>
          <w:sz w:val="22"/>
          <w:szCs w:val="22"/>
        </w:rPr>
        <w:t xml:space="preserve"> and National Gender Focal Points in the Country Offices was an organizational feature that received high marks in terms of having initiated and given momentum to gender integration in planning and implementation. </w:t>
      </w:r>
      <w:r>
        <w:rPr>
          <w:sz w:val="22"/>
          <w:szCs w:val="22"/>
        </w:rPr>
        <w:t xml:space="preserve">Reportedly, </w:t>
      </w:r>
      <w:r w:rsidRPr="00777306">
        <w:rPr>
          <w:sz w:val="22"/>
          <w:szCs w:val="22"/>
        </w:rPr>
        <w:t>successes achieved on gender mainstreaming had been the product of the respective projects having a primary focus on gender</w:t>
      </w:r>
      <w:r w:rsidRPr="00127D0B">
        <w:rPr>
          <w:b/>
          <w:sz w:val="22"/>
          <w:szCs w:val="22"/>
        </w:rPr>
        <w:t xml:space="preserve"> and</w:t>
      </w:r>
      <w:r w:rsidRPr="00777306">
        <w:rPr>
          <w:sz w:val="22"/>
          <w:szCs w:val="22"/>
        </w:rPr>
        <w:t xml:space="preserve"> having counted with GE collaboration and partnership throughout the entire process. </w:t>
      </w:r>
      <w:r w:rsidRPr="00777306">
        <w:rPr>
          <w:sz w:val="22"/>
        </w:rPr>
        <w:t>Other respondents alluded to the enhanced understanding of gender and health that resulted from their e</w:t>
      </w:r>
      <w:r w:rsidRPr="00777306">
        <w:rPr>
          <w:sz w:val="22"/>
          <w:szCs w:val="22"/>
        </w:rPr>
        <w:t>ngaging with GE in inter-programmatic dialogue. And others emphasized the importance of GE collaboration and participation in the planning process.</w:t>
      </w:r>
    </w:p>
    <w:p w:rsidR="009571FA" w:rsidRDefault="009571FA" w:rsidP="00B27A2E">
      <w:pPr>
        <w:rPr>
          <w:sz w:val="22"/>
          <w:szCs w:val="22"/>
        </w:rPr>
      </w:pPr>
    </w:p>
    <w:p w:rsidR="00EB0CDF" w:rsidRPr="00777306" w:rsidRDefault="00EB0CDF" w:rsidP="00B27A2E">
      <w:pPr>
        <w:rPr>
          <w:sz w:val="22"/>
          <w:szCs w:val="22"/>
        </w:rPr>
      </w:pPr>
    </w:p>
    <w:p w:rsidR="009571FA" w:rsidRPr="00E205AB" w:rsidRDefault="009571FA" w:rsidP="00581596">
      <w:pPr>
        <w:pStyle w:val="ListParagraph"/>
        <w:numPr>
          <w:ilvl w:val="0"/>
          <w:numId w:val="45"/>
        </w:numPr>
        <w:rPr>
          <w:b/>
          <w:sz w:val="24"/>
        </w:rPr>
      </w:pPr>
      <w:r w:rsidRPr="00E205AB">
        <w:rPr>
          <w:b/>
          <w:sz w:val="24"/>
        </w:rPr>
        <w:t>Limitations of the findings</w:t>
      </w:r>
    </w:p>
    <w:p w:rsidR="009F2CA7" w:rsidRDefault="009F2CA7" w:rsidP="00E638BF">
      <w:pPr>
        <w:rPr>
          <w:sz w:val="22"/>
        </w:rPr>
      </w:pPr>
    </w:p>
    <w:p w:rsidR="009571FA" w:rsidRDefault="009571FA" w:rsidP="00E638BF">
      <w:pPr>
        <w:rPr>
          <w:sz w:val="22"/>
        </w:rPr>
      </w:pPr>
      <w:r>
        <w:rPr>
          <w:sz w:val="22"/>
        </w:rPr>
        <w:t xml:space="preserve">The significance of the above findings is limited by the small size of the sample and the narrow representation of Country Offices within this sample. </w:t>
      </w:r>
    </w:p>
    <w:p w:rsidR="00CF2BF8" w:rsidRDefault="00CF2BF8" w:rsidP="00E638BF">
      <w:pPr>
        <w:rPr>
          <w:b/>
          <w:i/>
          <w:sz w:val="22"/>
        </w:rPr>
      </w:pPr>
    </w:p>
    <w:p w:rsidR="00CF2BF8" w:rsidRPr="00777306" w:rsidRDefault="00CF2BF8" w:rsidP="00CF2BF8">
      <w:pPr>
        <w:pStyle w:val="ListParagraph"/>
        <w:ind w:left="0"/>
        <w:rPr>
          <w:sz w:val="22"/>
        </w:rPr>
      </w:pPr>
      <w:r>
        <w:rPr>
          <w:sz w:val="22"/>
        </w:rPr>
        <w:t>A further limitation to the analysis is related to the fact that</w:t>
      </w:r>
      <w:r w:rsidRPr="00777306">
        <w:rPr>
          <w:sz w:val="22"/>
        </w:rPr>
        <w:t xml:space="preserve"> the </w:t>
      </w:r>
      <w:r>
        <w:rPr>
          <w:sz w:val="22"/>
        </w:rPr>
        <w:t xml:space="preserve">responses regarding the </w:t>
      </w:r>
      <w:r w:rsidRPr="00777306">
        <w:rPr>
          <w:sz w:val="22"/>
        </w:rPr>
        <w:t xml:space="preserve">planning, implementation and evaluation </w:t>
      </w:r>
      <w:r>
        <w:rPr>
          <w:sz w:val="22"/>
        </w:rPr>
        <w:t xml:space="preserve">processes </w:t>
      </w:r>
      <w:r w:rsidRPr="00777306">
        <w:rPr>
          <w:sz w:val="22"/>
        </w:rPr>
        <w:t>d</w:t>
      </w:r>
      <w:r w:rsidR="00FD666D">
        <w:rPr>
          <w:sz w:val="22"/>
        </w:rPr>
        <w:t>id</w:t>
      </w:r>
      <w:r w:rsidRPr="00777306">
        <w:rPr>
          <w:sz w:val="22"/>
        </w:rPr>
        <w:t xml:space="preserve"> not refer to the same chronological programming cycle</w:t>
      </w:r>
      <w:r>
        <w:rPr>
          <w:sz w:val="22"/>
        </w:rPr>
        <w:t xml:space="preserve">: </w:t>
      </w:r>
      <w:r w:rsidRPr="00777306">
        <w:rPr>
          <w:sz w:val="22"/>
        </w:rPr>
        <w:t xml:space="preserve">the </w:t>
      </w:r>
      <w:r w:rsidR="00D95D3D">
        <w:rPr>
          <w:sz w:val="22"/>
        </w:rPr>
        <w:t xml:space="preserve">questions on </w:t>
      </w:r>
      <w:r w:rsidRPr="00777306">
        <w:rPr>
          <w:sz w:val="22"/>
        </w:rPr>
        <w:t xml:space="preserve">implementation and monitoring </w:t>
      </w:r>
      <w:r>
        <w:rPr>
          <w:sz w:val="22"/>
        </w:rPr>
        <w:t>referred to</w:t>
      </w:r>
      <w:r w:rsidRPr="00777306">
        <w:rPr>
          <w:sz w:val="22"/>
        </w:rPr>
        <w:t xml:space="preserve"> the 2006-2007 period, while the </w:t>
      </w:r>
      <w:r>
        <w:rPr>
          <w:sz w:val="22"/>
        </w:rPr>
        <w:t>questions</w:t>
      </w:r>
      <w:r w:rsidRPr="00777306">
        <w:rPr>
          <w:sz w:val="22"/>
        </w:rPr>
        <w:t xml:space="preserve"> on planning </w:t>
      </w:r>
      <w:r>
        <w:rPr>
          <w:sz w:val="22"/>
        </w:rPr>
        <w:t xml:space="preserve">dealt with </w:t>
      </w:r>
      <w:r w:rsidRPr="00777306">
        <w:rPr>
          <w:sz w:val="22"/>
        </w:rPr>
        <w:t xml:space="preserve">the </w:t>
      </w:r>
      <w:r>
        <w:rPr>
          <w:sz w:val="22"/>
        </w:rPr>
        <w:t xml:space="preserve">most recent </w:t>
      </w:r>
      <w:r w:rsidRPr="00777306">
        <w:rPr>
          <w:sz w:val="22"/>
        </w:rPr>
        <w:t xml:space="preserve">cycle beginning in 2008. </w:t>
      </w:r>
      <w:r>
        <w:rPr>
          <w:sz w:val="22"/>
        </w:rPr>
        <w:t>This</w:t>
      </w:r>
      <w:r w:rsidR="00EB0CDF">
        <w:rPr>
          <w:sz w:val="22"/>
        </w:rPr>
        <w:t xml:space="preserve"> temporal </w:t>
      </w:r>
      <w:r>
        <w:rPr>
          <w:sz w:val="22"/>
        </w:rPr>
        <w:t>feature restrict</w:t>
      </w:r>
      <w:r w:rsidR="00D95D3D">
        <w:rPr>
          <w:sz w:val="22"/>
        </w:rPr>
        <w:t>ed</w:t>
      </w:r>
      <w:r>
        <w:rPr>
          <w:sz w:val="22"/>
        </w:rPr>
        <w:t xml:space="preserve"> the possibility of observing how gender integration changed through a continuing process over time</w:t>
      </w:r>
      <w:r w:rsidR="00D95D3D">
        <w:rPr>
          <w:sz w:val="22"/>
        </w:rPr>
        <w:t xml:space="preserve"> and</w:t>
      </w:r>
      <w:r w:rsidR="00FD666D">
        <w:rPr>
          <w:sz w:val="22"/>
        </w:rPr>
        <w:t>,</w:t>
      </w:r>
      <w:r w:rsidR="00D95D3D">
        <w:rPr>
          <w:sz w:val="22"/>
        </w:rPr>
        <w:t xml:space="preserve"> </w:t>
      </w:r>
      <w:r w:rsidR="00FD666D">
        <w:rPr>
          <w:sz w:val="22"/>
        </w:rPr>
        <w:t xml:space="preserve">henceforth, </w:t>
      </w:r>
      <w:r w:rsidR="00D95D3D">
        <w:rPr>
          <w:sz w:val="22"/>
        </w:rPr>
        <w:t>probing causal hypothesis. But</w:t>
      </w:r>
      <w:r w:rsidR="00BC6DAE">
        <w:rPr>
          <w:sz w:val="22"/>
        </w:rPr>
        <w:t>,</w:t>
      </w:r>
      <w:r w:rsidR="00D95D3D">
        <w:rPr>
          <w:sz w:val="22"/>
        </w:rPr>
        <w:t xml:space="preserve"> at the same time, it </w:t>
      </w:r>
      <w:r w:rsidR="00BC6DAE">
        <w:rPr>
          <w:sz w:val="22"/>
        </w:rPr>
        <w:t>permitted</w:t>
      </w:r>
      <w:r w:rsidR="00D95D3D">
        <w:rPr>
          <w:sz w:val="22"/>
        </w:rPr>
        <w:t xml:space="preserve"> </w:t>
      </w:r>
      <w:r w:rsidR="00BC6DAE">
        <w:rPr>
          <w:sz w:val="22"/>
        </w:rPr>
        <w:t>to obtain</w:t>
      </w:r>
      <w:r w:rsidR="00D95D3D">
        <w:rPr>
          <w:sz w:val="22"/>
        </w:rPr>
        <w:t xml:space="preserve"> information directly from those who participated in</w:t>
      </w:r>
      <w:r w:rsidR="00EB0CDF">
        <w:rPr>
          <w:sz w:val="22"/>
        </w:rPr>
        <w:t xml:space="preserve"> the</w:t>
      </w:r>
      <w:r w:rsidR="00D95D3D">
        <w:rPr>
          <w:sz w:val="22"/>
        </w:rPr>
        <w:t xml:space="preserve"> planning process</w:t>
      </w:r>
      <w:r w:rsidR="00BC6DAE">
        <w:rPr>
          <w:sz w:val="22"/>
        </w:rPr>
        <w:t xml:space="preserve">, and to gain insights into </w:t>
      </w:r>
      <w:r w:rsidR="00D95D3D">
        <w:rPr>
          <w:sz w:val="22"/>
        </w:rPr>
        <w:t>the strengths and f</w:t>
      </w:r>
      <w:r w:rsidR="00BC6DAE">
        <w:rPr>
          <w:sz w:val="22"/>
        </w:rPr>
        <w:t xml:space="preserve">laws </w:t>
      </w:r>
      <w:r w:rsidR="00D95D3D">
        <w:rPr>
          <w:sz w:val="22"/>
        </w:rPr>
        <w:t xml:space="preserve">of the planning </w:t>
      </w:r>
      <w:r w:rsidR="00BC6DAE">
        <w:rPr>
          <w:sz w:val="22"/>
        </w:rPr>
        <w:t xml:space="preserve">process </w:t>
      </w:r>
      <w:r w:rsidR="00EB0CDF">
        <w:rPr>
          <w:sz w:val="22"/>
        </w:rPr>
        <w:t xml:space="preserve">that is </w:t>
      </w:r>
      <w:r w:rsidR="00D95D3D">
        <w:rPr>
          <w:sz w:val="22"/>
        </w:rPr>
        <w:t xml:space="preserve">currently </w:t>
      </w:r>
      <w:r w:rsidR="00BC6DAE">
        <w:rPr>
          <w:sz w:val="22"/>
        </w:rPr>
        <w:t xml:space="preserve">guiding </w:t>
      </w:r>
      <w:r w:rsidR="00D95D3D">
        <w:rPr>
          <w:sz w:val="22"/>
        </w:rPr>
        <w:t xml:space="preserve">the Organizational work.  </w:t>
      </w:r>
      <w:r w:rsidRPr="00777306">
        <w:rPr>
          <w:sz w:val="22"/>
        </w:rPr>
        <w:t xml:space="preserve">     </w:t>
      </w:r>
    </w:p>
    <w:p w:rsidR="009571FA" w:rsidRDefault="009571FA" w:rsidP="00777306">
      <w:pPr>
        <w:rPr>
          <w:b/>
          <w:i/>
          <w:sz w:val="22"/>
        </w:rPr>
      </w:pPr>
    </w:p>
    <w:p w:rsidR="003F5B60" w:rsidRDefault="003F5B60">
      <w:pPr>
        <w:rPr>
          <w:b/>
          <w:sz w:val="24"/>
        </w:rPr>
      </w:pPr>
      <w:r>
        <w:rPr>
          <w:b/>
          <w:sz w:val="24"/>
        </w:rPr>
        <w:br w:type="page"/>
      </w:r>
    </w:p>
    <w:p w:rsidR="009571FA" w:rsidRPr="00E205AB" w:rsidRDefault="009571FA" w:rsidP="00581596">
      <w:pPr>
        <w:pStyle w:val="ListParagraph"/>
        <w:numPr>
          <w:ilvl w:val="0"/>
          <w:numId w:val="28"/>
        </w:numPr>
        <w:rPr>
          <w:b/>
          <w:bCs/>
          <w:sz w:val="24"/>
        </w:rPr>
      </w:pPr>
      <w:r w:rsidRPr="00E205AB">
        <w:rPr>
          <w:b/>
          <w:bCs/>
          <w:sz w:val="24"/>
        </w:rPr>
        <w:t xml:space="preserve">Reflection of gender in Country Cooperation Strategies (CCS) and equivalent country planning processes </w:t>
      </w:r>
    </w:p>
    <w:p w:rsidR="009571FA" w:rsidRPr="00433E33" w:rsidRDefault="009571FA" w:rsidP="00AB0DC6">
      <w:pPr>
        <w:rPr>
          <w:bCs/>
          <w:sz w:val="16"/>
        </w:rPr>
      </w:pPr>
    </w:p>
    <w:p w:rsidR="003E3C4D" w:rsidRDefault="009571FA" w:rsidP="00AC445A">
      <w:pPr>
        <w:rPr>
          <w:bCs/>
          <w:sz w:val="22"/>
        </w:rPr>
      </w:pPr>
      <w:r>
        <w:rPr>
          <w:bCs/>
          <w:sz w:val="22"/>
        </w:rPr>
        <w:t>The contents of the C</w:t>
      </w:r>
      <w:r w:rsidR="003F5B60">
        <w:rPr>
          <w:bCs/>
          <w:sz w:val="22"/>
        </w:rPr>
        <w:t>ountry Cooperation Strategies (C</w:t>
      </w:r>
      <w:r>
        <w:rPr>
          <w:bCs/>
          <w:sz w:val="22"/>
        </w:rPr>
        <w:t>CS</w:t>
      </w:r>
      <w:r w:rsidR="003F5B60">
        <w:rPr>
          <w:bCs/>
          <w:sz w:val="22"/>
        </w:rPr>
        <w:t>)</w:t>
      </w:r>
      <w:r>
        <w:rPr>
          <w:bCs/>
          <w:sz w:val="22"/>
        </w:rPr>
        <w:t xml:space="preserve"> and their work plans constitute the second measurement area for the SD 2,</w:t>
      </w:r>
      <w:r w:rsidRPr="008C5DE3">
        <w:rPr>
          <w:rFonts w:cs="Arial"/>
          <w:sz w:val="28"/>
        </w:rPr>
        <w:t xml:space="preserve"> </w:t>
      </w:r>
      <w:r w:rsidRPr="008C5DE3">
        <w:rPr>
          <w:rFonts w:cs="Arial"/>
          <w:i/>
          <w:sz w:val="22"/>
        </w:rPr>
        <w:t>Bringing gender into the mainstream of PAHO’s management</w:t>
      </w:r>
      <w:r w:rsidRPr="008C5DE3">
        <w:rPr>
          <w:bCs/>
          <w:i/>
          <w:sz w:val="18"/>
        </w:rPr>
        <w:t>.</w:t>
      </w:r>
      <w:r>
        <w:rPr>
          <w:bCs/>
          <w:sz w:val="18"/>
        </w:rPr>
        <w:t xml:space="preserve"> </w:t>
      </w:r>
      <w:r w:rsidRPr="00AA274C">
        <w:rPr>
          <w:bCs/>
          <w:sz w:val="22"/>
        </w:rPr>
        <w:t>The CCS</w:t>
      </w:r>
      <w:r w:rsidRPr="00AA274C">
        <w:rPr>
          <w:rStyle w:val="FootnoteReference"/>
          <w:bCs/>
          <w:sz w:val="22"/>
        </w:rPr>
        <w:footnoteReference w:id="11"/>
      </w:r>
      <w:r w:rsidRPr="00AA274C">
        <w:rPr>
          <w:bCs/>
          <w:sz w:val="22"/>
        </w:rPr>
        <w:t xml:space="preserve"> defines the strategic framework for </w:t>
      </w:r>
      <w:r w:rsidR="003E3C4D">
        <w:rPr>
          <w:bCs/>
          <w:sz w:val="22"/>
        </w:rPr>
        <w:t>PAHO/</w:t>
      </w:r>
      <w:r w:rsidRPr="00AA274C">
        <w:rPr>
          <w:bCs/>
          <w:sz w:val="22"/>
        </w:rPr>
        <w:t>WHO work with that country and is general</w:t>
      </w:r>
      <w:r w:rsidR="00C4766C">
        <w:rPr>
          <w:bCs/>
          <w:sz w:val="22"/>
        </w:rPr>
        <w:t xml:space="preserve">ly in effect for 4-6 years.  </w:t>
      </w:r>
      <w:r w:rsidR="003E3C4D">
        <w:rPr>
          <w:bCs/>
          <w:sz w:val="22"/>
        </w:rPr>
        <w:t xml:space="preserve">The country work plan </w:t>
      </w:r>
      <w:r w:rsidR="003E3C4D" w:rsidRPr="00AA274C">
        <w:rPr>
          <w:bCs/>
          <w:sz w:val="22"/>
        </w:rPr>
        <w:t>implement</w:t>
      </w:r>
      <w:r w:rsidR="003E3C4D">
        <w:rPr>
          <w:bCs/>
          <w:sz w:val="22"/>
        </w:rPr>
        <w:t>ing</w:t>
      </w:r>
      <w:r w:rsidR="003E3C4D" w:rsidRPr="00AA274C">
        <w:rPr>
          <w:bCs/>
          <w:sz w:val="22"/>
        </w:rPr>
        <w:t xml:space="preserve"> the CCS, is in effect for 2 years. Both are negotiated with the respective Government. </w:t>
      </w:r>
    </w:p>
    <w:p w:rsidR="003E3C4D" w:rsidRPr="003E3C4D" w:rsidRDefault="003E3C4D" w:rsidP="00AC445A">
      <w:pPr>
        <w:rPr>
          <w:bCs/>
          <w:sz w:val="14"/>
        </w:rPr>
      </w:pPr>
    </w:p>
    <w:p w:rsidR="009571FA" w:rsidRPr="003D2770" w:rsidRDefault="003E3C4D" w:rsidP="00AC445A">
      <w:pPr>
        <w:rPr>
          <w:bCs/>
          <w:sz w:val="18"/>
        </w:rPr>
      </w:pPr>
      <w:r>
        <w:rPr>
          <w:sz w:val="22"/>
          <w:lang w:val="en-US"/>
        </w:rPr>
        <w:t xml:space="preserve">The two CCSs selected for this analysis were: </w:t>
      </w:r>
      <w:r>
        <w:rPr>
          <w:b/>
          <w:sz w:val="22"/>
          <w:lang w:val="en-US"/>
        </w:rPr>
        <w:t>Honduras 2006-2010,</w:t>
      </w:r>
      <w:r>
        <w:rPr>
          <w:sz w:val="22"/>
          <w:lang w:val="en-US"/>
        </w:rPr>
        <w:t xml:space="preserve"> and </w:t>
      </w:r>
      <w:r>
        <w:rPr>
          <w:b/>
          <w:sz w:val="22"/>
          <w:lang w:val="en-US"/>
        </w:rPr>
        <w:t>Trinidad &amp; Tobago 2006-2009.</w:t>
      </w:r>
      <w:r>
        <w:rPr>
          <w:sz w:val="22"/>
          <w:lang w:val="en-US"/>
        </w:rPr>
        <w:t xml:space="preserve">  T</w:t>
      </w:r>
      <w:r w:rsidR="00C4766C" w:rsidRPr="00AA274C">
        <w:rPr>
          <w:sz w:val="22"/>
          <w:lang w:val="en-US"/>
        </w:rPr>
        <w:t xml:space="preserve">heir </w:t>
      </w:r>
      <w:r w:rsidR="00C4766C">
        <w:rPr>
          <w:sz w:val="22"/>
          <w:lang w:val="en-US"/>
        </w:rPr>
        <w:t xml:space="preserve">Biennial </w:t>
      </w:r>
      <w:r w:rsidR="00C4766C" w:rsidRPr="00AA274C">
        <w:rPr>
          <w:sz w:val="22"/>
          <w:lang w:val="en-US"/>
        </w:rPr>
        <w:t xml:space="preserve">Country Work Plans </w:t>
      </w:r>
      <w:r>
        <w:rPr>
          <w:sz w:val="22"/>
          <w:lang w:val="en-US"/>
        </w:rPr>
        <w:t xml:space="preserve">corresponded to the </w:t>
      </w:r>
      <w:r w:rsidR="00C4766C" w:rsidRPr="00AA274C">
        <w:rPr>
          <w:sz w:val="22"/>
          <w:lang w:val="en-US"/>
        </w:rPr>
        <w:t xml:space="preserve">2006-2007 period. </w:t>
      </w:r>
      <w:r>
        <w:rPr>
          <w:rFonts w:eastAsia="SimSun" w:cs="Arial"/>
          <w:sz w:val="22"/>
          <w:szCs w:val="22"/>
          <w:lang w:val="en-US"/>
        </w:rPr>
        <w:t>Following are of the indicators defined for this component and a table with their corresponding scores.</w:t>
      </w:r>
    </w:p>
    <w:p w:rsidR="003E3C4D" w:rsidRPr="003E3C4D" w:rsidRDefault="00FF26C2" w:rsidP="00AC445A">
      <w:pPr>
        <w:rPr>
          <w:b/>
          <w:bCs/>
          <w:sz w:val="12"/>
        </w:rPr>
      </w:pPr>
      <w:r w:rsidRPr="00FF26C2">
        <w:rPr>
          <w:b/>
          <w:bCs/>
          <w:sz w:val="22"/>
        </w:rPr>
        <w:t xml:space="preserve">         </w:t>
      </w:r>
    </w:p>
    <w:p w:rsidR="009571FA" w:rsidRPr="00FF26C2" w:rsidRDefault="004B35AE" w:rsidP="004C01B3">
      <w:pPr>
        <w:rPr>
          <w:b/>
          <w:bCs/>
          <w:sz w:val="22"/>
        </w:rPr>
      </w:pPr>
      <w:r>
        <w:rPr>
          <w:b/>
          <w:bCs/>
          <w:sz w:val="22"/>
        </w:rPr>
        <w:t xml:space="preserve">        </w:t>
      </w:r>
      <w:r w:rsidR="009571FA" w:rsidRPr="00FF26C2">
        <w:rPr>
          <w:b/>
          <w:bCs/>
          <w:sz w:val="22"/>
        </w:rPr>
        <w:t>Indicators</w:t>
      </w:r>
    </w:p>
    <w:p w:rsidR="009571FA" w:rsidRPr="00F313A9" w:rsidRDefault="009571FA" w:rsidP="004C01B3">
      <w:pPr>
        <w:ind w:left="576"/>
        <w:rPr>
          <w:b/>
          <w:bCs/>
          <w:sz w:val="6"/>
        </w:rPr>
      </w:pPr>
    </w:p>
    <w:p w:rsidR="009571FA" w:rsidRPr="00D444FC" w:rsidRDefault="009571FA" w:rsidP="00581596">
      <w:pPr>
        <w:pStyle w:val="ListParagraph"/>
        <w:numPr>
          <w:ilvl w:val="0"/>
          <w:numId w:val="60"/>
        </w:numPr>
        <w:rPr>
          <w:bCs/>
          <w:sz w:val="24"/>
        </w:rPr>
      </w:pPr>
      <w:r w:rsidRPr="00D444FC">
        <w:rPr>
          <w:bCs/>
          <w:sz w:val="22"/>
        </w:rPr>
        <w:t xml:space="preserve">Percentage of sampled CCS (2005 and beyond) </w:t>
      </w:r>
      <w:r w:rsidRPr="00D444FC">
        <w:rPr>
          <w:b/>
          <w:bCs/>
          <w:sz w:val="22"/>
        </w:rPr>
        <w:t>strongly</w:t>
      </w:r>
      <w:r w:rsidRPr="00D444FC">
        <w:rPr>
          <w:bCs/>
          <w:sz w:val="22"/>
        </w:rPr>
        <w:t xml:space="preserve"> integrat</w:t>
      </w:r>
      <w:r w:rsidR="008E31D0">
        <w:rPr>
          <w:bCs/>
          <w:sz w:val="22"/>
        </w:rPr>
        <w:t>ing</w:t>
      </w:r>
      <w:r w:rsidRPr="00D444FC">
        <w:rPr>
          <w:bCs/>
          <w:sz w:val="22"/>
        </w:rPr>
        <w:t xml:space="preserve"> gender</w:t>
      </w:r>
      <w:r w:rsidR="004C01B3" w:rsidRPr="00D444FC">
        <w:rPr>
          <w:bCs/>
          <w:sz w:val="22"/>
        </w:rPr>
        <w:t xml:space="preserve">: </w:t>
      </w:r>
      <w:r w:rsidR="00D444FC">
        <w:rPr>
          <w:bCs/>
          <w:sz w:val="22"/>
        </w:rPr>
        <w:t xml:space="preserve"> </w:t>
      </w:r>
      <w:r w:rsidR="008E31D0">
        <w:rPr>
          <w:bCs/>
          <w:sz w:val="22"/>
        </w:rPr>
        <w:t>Zero</w:t>
      </w:r>
      <w:r w:rsidRPr="00D444FC">
        <w:rPr>
          <w:bCs/>
          <w:sz w:val="22"/>
        </w:rPr>
        <w:t xml:space="preserve"> </w:t>
      </w:r>
    </w:p>
    <w:p w:rsidR="009571FA" w:rsidRPr="00D444FC" w:rsidRDefault="004B35AE" w:rsidP="00581596">
      <w:pPr>
        <w:pStyle w:val="ListParagraph"/>
        <w:numPr>
          <w:ilvl w:val="0"/>
          <w:numId w:val="60"/>
        </w:numPr>
        <w:rPr>
          <w:bCs/>
          <w:sz w:val="22"/>
        </w:rPr>
      </w:pPr>
      <w:r w:rsidRPr="00D444FC">
        <w:rPr>
          <w:bCs/>
          <w:sz w:val="22"/>
        </w:rPr>
        <w:t xml:space="preserve">Percentage of sampled </w:t>
      </w:r>
      <w:r w:rsidR="009571FA" w:rsidRPr="00D444FC">
        <w:rPr>
          <w:bCs/>
          <w:sz w:val="22"/>
        </w:rPr>
        <w:t xml:space="preserve">(2006/2007) </w:t>
      </w:r>
      <w:r w:rsidRPr="00D444FC">
        <w:rPr>
          <w:bCs/>
          <w:sz w:val="22"/>
        </w:rPr>
        <w:t>BWP</w:t>
      </w:r>
      <w:r w:rsidR="009571FA" w:rsidRPr="00D444FC">
        <w:rPr>
          <w:bCs/>
          <w:sz w:val="22"/>
        </w:rPr>
        <w:t xml:space="preserve"> </w:t>
      </w:r>
      <w:r w:rsidR="009571FA" w:rsidRPr="00D444FC">
        <w:rPr>
          <w:b/>
          <w:bCs/>
          <w:sz w:val="22"/>
        </w:rPr>
        <w:t xml:space="preserve">strongly </w:t>
      </w:r>
      <w:r w:rsidR="004C01B3" w:rsidRPr="00D444FC">
        <w:rPr>
          <w:bCs/>
          <w:sz w:val="22"/>
        </w:rPr>
        <w:t>integrat</w:t>
      </w:r>
      <w:r w:rsidR="008E31D0">
        <w:rPr>
          <w:bCs/>
          <w:sz w:val="22"/>
        </w:rPr>
        <w:t>ing</w:t>
      </w:r>
      <w:r w:rsidR="004C01B3" w:rsidRPr="00D444FC">
        <w:rPr>
          <w:bCs/>
          <w:sz w:val="22"/>
        </w:rPr>
        <w:t xml:space="preserve"> gender: </w:t>
      </w:r>
      <w:r w:rsidR="00D444FC">
        <w:rPr>
          <w:bCs/>
          <w:sz w:val="22"/>
        </w:rPr>
        <w:t xml:space="preserve"> </w:t>
      </w:r>
      <w:r w:rsidR="008E31D0">
        <w:rPr>
          <w:bCs/>
          <w:sz w:val="22"/>
        </w:rPr>
        <w:t>Zero</w:t>
      </w:r>
    </w:p>
    <w:p w:rsidR="00D71E61" w:rsidRDefault="00D71E61" w:rsidP="004B35AE">
      <w:pPr>
        <w:ind w:left="1008"/>
        <w:rPr>
          <w:b/>
          <w:bCs/>
        </w:rPr>
      </w:pPr>
    </w:p>
    <w:p w:rsidR="00D71E61" w:rsidRPr="004B35AE" w:rsidRDefault="00D71E61" w:rsidP="00D71E61">
      <w:pPr>
        <w:ind w:left="720"/>
        <w:rPr>
          <w:bCs/>
        </w:rPr>
      </w:pPr>
      <w:r>
        <w:rPr>
          <w:b/>
          <w:bCs/>
        </w:rPr>
        <w:t xml:space="preserve">Table </w:t>
      </w:r>
      <w:r w:rsidR="00D201FE">
        <w:rPr>
          <w:b/>
          <w:bCs/>
        </w:rPr>
        <w:t xml:space="preserve"> 13</w:t>
      </w:r>
      <w:r>
        <w:rPr>
          <w:b/>
          <w:bCs/>
        </w:rPr>
        <w:t xml:space="preserve">.  </w:t>
      </w:r>
      <w:r w:rsidRPr="004B35AE">
        <w:rPr>
          <w:bCs/>
        </w:rPr>
        <w:t xml:space="preserve">Gender Integration Scores in Country Cooperation Strategies and </w:t>
      </w:r>
      <w:r w:rsidR="004B35AE">
        <w:rPr>
          <w:bCs/>
        </w:rPr>
        <w:t xml:space="preserve">Biennial </w:t>
      </w:r>
      <w:r w:rsidRPr="004B35AE">
        <w:rPr>
          <w:bCs/>
        </w:rPr>
        <w:t xml:space="preserve">Work </w:t>
      </w:r>
    </w:p>
    <w:p w:rsidR="00D71E61" w:rsidRDefault="00D71E61" w:rsidP="00D71E61">
      <w:pPr>
        <w:ind w:left="720"/>
        <w:rPr>
          <w:b/>
          <w:bCs/>
        </w:rPr>
      </w:pPr>
      <w:r w:rsidRPr="004B35AE">
        <w:rPr>
          <w:bCs/>
        </w:rPr>
        <w:t>Plans in Honduras and Trinidad and Tobago</w:t>
      </w:r>
      <w:r>
        <w:rPr>
          <w:b/>
          <w:bCs/>
        </w:rPr>
        <w:t xml:space="preserve">.  </w:t>
      </w:r>
    </w:p>
    <w:p w:rsidR="00D71E61" w:rsidRPr="00F313A9" w:rsidRDefault="00D71E61" w:rsidP="00D71E61">
      <w:pPr>
        <w:ind w:left="1080"/>
        <w:rPr>
          <w:b/>
          <w:bCs/>
          <w:sz w:val="6"/>
        </w:rPr>
      </w:pPr>
    </w:p>
    <w:p w:rsidR="00D71E61" w:rsidRDefault="00D71E61" w:rsidP="00D71E61">
      <w:pPr>
        <w:ind w:left="1080"/>
        <w:rPr>
          <w:bCs/>
          <w:sz w:val="10"/>
        </w:rPr>
      </w:pPr>
    </w:p>
    <w:tbl>
      <w:tblPr>
        <w:tblpPr w:leftFromText="180" w:rightFromText="180" w:vertAnchor="text" w:horzAnchor="margin" w:tblpXSpec="center"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28"/>
        <w:gridCol w:w="1080"/>
        <w:gridCol w:w="1205"/>
        <w:gridCol w:w="1225"/>
        <w:gridCol w:w="1350"/>
      </w:tblGrid>
      <w:tr w:rsidR="00D71E61" w:rsidTr="00FF26C2">
        <w:trPr>
          <w:trHeight w:val="712"/>
        </w:trPr>
        <w:tc>
          <w:tcPr>
            <w:tcW w:w="3528" w:type="dxa"/>
            <w:tcBorders>
              <w:bottom w:val="single" w:sz="4" w:space="0" w:color="auto"/>
            </w:tcBorders>
            <w:shd w:val="clear" w:color="auto" w:fill="C6D9F1"/>
          </w:tcPr>
          <w:p w:rsidR="00D71E61" w:rsidRDefault="00D71E61" w:rsidP="000943E9">
            <w:pPr>
              <w:rPr>
                <w:b/>
                <w:sz w:val="10"/>
              </w:rPr>
            </w:pPr>
          </w:p>
          <w:p w:rsidR="00D71E61" w:rsidRDefault="00D71E61" w:rsidP="00581596">
            <w:pPr>
              <w:numPr>
                <w:ilvl w:val="0"/>
                <w:numId w:val="10"/>
              </w:numPr>
              <w:rPr>
                <w:sz w:val="22"/>
                <w:lang w:val="en-US"/>
              </w:rPr>
            </w:pPr>
            <w:r>
              <w:rPr>
                <w:b/>
              </w:rPr>
              <w:t>Country Cooperation Strategies</w:t>
            </w:r>
          </w:p>
        </w:tc>
        <w:tc>
          <w:tcPr>
            <w:tcW w:w="1080" w:type="dxa"/>
            <w:tcBorders>
              <w:bottom w:val="single" w:sz="4" w:space="0" w:color="auto"/>
            </w:tcBorders>
            <w:shd w:val="clear" w:color="auto" w:fill="C6D9F1"/>
          </w:tcPr>
          <w:p w:rsidR="00D71E61" w:rsidRDefault="00D71E61" w:rsidP="000943E9">
            <w:pPr>
              <w:jc w:val="center"/>
              <w:rPr>
                <w:sz w:val="22"/>
                <w:lang w:val="en-US"/>
              </w:rPr>
            </w:pPr>
            <w:r>
              <w:rPr>
                <w:lang w:val="en-US"/>
              </w:rPr>
              <w:t>None</w:t>
            </w:r>
          </w:p>
          <w:p w:rsidR="00D71E61" w:rsidRDefault="00D71E61" w:rsidP="000943E9">
            <w:pPr>
              <w:jc w:val="center"/>
              <w:rPr>
                <w:lang w:val="en-US"/>
              </w:rPr>
            </w:pPr>
            <w:r>
              <w:rPr>
                <w:lang w:val="en-US"/>
              </w:rPr>
              <w:t>(Score 0)</w:t>
            </w:r>
          </w:p>
        </w:tc>
        <w:tc>
          <w:tcPr>
            <w:tcW w:w="1205" w:type="dxa"/>
            <w:tcBorders>
              <w:bottom w:val="single" w:sz="4" w:space="0" w:color="auto"/>
            </w:tcBorders>
            <w:shd w:val="clear" w:color="auto" w:fill="C6D9F1"/>
          </w:tcPr>
          <w:p w:rsidR="00D71E61" w:rsidRDefault="00D71E61" w:rsidP="000943E9">
            <w:pPr>
              <w:jc w:val="center"/>
              <w:rPr>
                <w:sz w:val="22"/>
                <w:lang w:val="en-US"/>
              </w:rPr>
            </w:pPr>
            <w:r>
              <w:rPr>
                <w:lang w:val="en-US"/>
              </w:rPr>
              <w:t>Low</w:t>
            </w:r>
          </w:p>
          <w:p w:rsidR="00D71E61" w:rsidRDefault="00D71E61" w:rsidP="000943E9">
            <w:pPr>
              <w:jc w:val="center"/>
              <w:rPr>
                <w:sz w:val="22"/>
                <w:lang w:val="en-US"/>
              </w:rPr>
            </w:pPr>
            <w:r>
              <w:rPr>
                <w:lang w:val="en-US"/>
              </w:rPr>
              <w:t>(score 1-3)</w:t>
            </w:r>
          </w:p>
        </w:tc>
        <w:tc>
          <w:tcPr>
            <w:tcW w:w="1225" w:type="dxa"/>
            <w:tcBorders>
              <w:bottom w:val="single" w:sz="4" w:space="0" w:color="auto"/>
            </w:tcBorders>
            <w:shd w:val="clear" w:color="auto" w:fill="C6D9F1"/>
          </w:tcPr>
          <w:p w:rsidR="00D71E61" w:rsidRDefault="00D71E61" w:rsidP="000943E9">
            <w:pPr>
              <w:jc w:val="center"/>
              <w:rPr>
                <w:sz w:val="22"/>
                <w:lang w:val="en-US"/>
              </w:rPr>
            </w:pPr>
            <w:r>
              <w:rPr>
                <w:lang w:val="en-US"/>
              </w:rPr>
              <w:t>Medium</w:t>
            </w:r>
          </w:p>
          <w:p w:rsidR="00D71E61" w:rsidRDefault="00D71E61" w:rsidP="000943E9">
            <w:pPr>
              <w:jc w:val="center"/>
              <w:rPr>
                <w:sz w:val="22"/>
                <w:lang w:val="en-US"/>
              </w:rPr>
            </w:pPr>
            <w:r>
              <w:rPr>
                <w:lang w:val="en-US"/>
              </w:rPr>
              <w:t>(score 4-6)</w:t>
            </w:r>
          </w:p>
        </w:tc>
        <w:tc>
          <w:tcPr>
            <w:tcW w:w="1350" w:type="dxa"/>
            <w:tcBorders>
              <w:top w:val="nil"/>
              <w:bottom w:val="single" w:sz="4" w:space="0" w:color="auto"/>
            </w:tcBorders>
            <w:shd w:val="clear" w:color="auto" w:fill="C6D9F1"/>
          </w:tcPr>
          <w:p w:rsidR="00D71E61" w:rsidRDefault="00D71E61" w:rsidP="000943E9">
            <w:pPr>
              <w:jc w:val="center"/>
              <w:rPr>
                <w:lang w:val="en-US"/>
              </w:rPr>
            </w:pPr>
            <w:r>
              <w:rPr>
                <w:lang w:val="en-US"/>
              </w:rPr>
              <w:t xml:space="preserve">Strong  </w:t>
            </w:r>
          </w:p>
          <w:p w:rsidR="00D71E61" w:rsidRDefault="00D71E61" w:rsidP="000943E9">
            <w:pPr>
              <w:jc w:val="center"/>
              <w:rPr>
                <w:sz w:val="22"/>
                <w:lang w:val="en-US"/>
              </w:rPr>
            </w:pPr>
            <w:r>
              <w:rPr>
                <w:lang w:val="en-US"/>
              </w:rPr>
              <w:t>(score 7-9)</w:t>
            </w:r>
          </w:p>
        </w:tc>
      </w:tr>
      <w:tr w:rsidR="00D71E61" w:rsidTr="00FF26C2">
        <w:trPr>
          <w:trHeight w:val="693"/>
        </w:trPr>
        <w:tc>
          <w:tcPr>
            <w:tcW w:w="3528" w:type="dxa"/>
            <w:shd w:val="clear" w:color="auto" w:fill="EEECE1" w:themeFill="background2"/>
          </w:tcPr>
          <w:p w:rsidR="00D71E61" w:rsidRDefault="00D71E61" w:rsidP="000943E9">
            <w:pPr>
              <w:rPr>
                <w:sz w:val="12"/>
                <w:lang w:val="en-US"/>
              </w:rPr>
            </w:pPr>
          </w:p>
          <w:p w:rsidR="00D71E61" w:rsidRDefault="00D71E61" w:rsidP="000943E9">
            <w:pPr>
              <w:rPr>
                <w:b/>
                <w:lang w:val="en-US"/>
              </w:rPr>
            </w:pPr>
            <w:r>
              <w:rPr>
                <w:b/>
                <w:lang w:val="en-US"/>
              </w:rPr>
              <w:t>Honduras 2006-2010</w:t>
            </w:r>
          </w:p>
          <w:p w:rsidR="00D71E61" w:rsidRDefault="00D71E61" w:rsidP="000943E9">
            <w:pPr>
              <w:rPr>
                <w:lang w:val="en-US"/>
              </w:rPr>
            </w:pPr>
            <w:r>
              <w:rPr>
                <w:lang w:val="en-US"/>
              </w:rPr>
              <w:t xml:space="preserve">“some” collaboration with GWHN </w:t>
            </w:r>
          </w:p>
        </w:tc>
        <w:tc>
          <w:tcPr>
            <w:tcW w:w="1080" w:type="dxa"/>
            <w:shd w:val="clear" w:color="auto" w:fill="EEECE1" w:themeFill="background2"/>
          </w:tcPr>
          <w:p w:rsidR="00D71E61" w:rsidRDefault="00D71E61" w:rsidP="000943E9">
            <w:pPr>
              <w:rPr>
                <w:lang w:val="en-US"/>
              </w:rPr>
            </w:pPr>
          </w:p>
        </w:tc>
        <w:tc>
          <w:tcPr>
            <w:tcW w:w="1205" w:type="dxa"/>
            <w:shd w:val="clear" w:color="auto" w:fill="EEECE1" w:themeFill="background2"/>
          </w:tcPr>
          <w:p w:rsidR="00D71E61" w:rsidRDefault="00D71E61" w:rsidP="000943E9">
            <w:pPr>
              <w:rPr>
                <w:sz w:val="22"/>
                <w:lang w:val="en-US"/>
              </w:rPr>
            </w:pPr>
          </w:p>
        </w:tc>
        <w:tc>
          <w:tcPr>
            <w:tcW w:w="1225" w:type="dxa"/>
            <w:shd w:val="clear" w:color="auto" w:fill="EEECE1" w:themeFill="background2"/>
          </w:tcPr>
          <w:p w:rsidR="00D71E61" w:rsidRPr="00486494" w:rsidRDefault="00D71E61" w:rsidP="000943E9">
            <w:pPr>
              <w:jc w:val="center"/>
              <w:rPr>
                <w:sz w:val="16"/>
                <w:lang w:val="en-US"/>
              </w:rPr>
            </w:pPr>
          </w:p>
          <w:p w:rsidR="00D71E61" w:rsidRDefault="00D71E61" w:rsidP="000943E9">
            <w:pPr>
              <w:jc w:val="center"/>
              <w:rPr>
                <w:sz w:val="22"/>
                <w:lang w:val="en-US"/>
              </w:rPr>
            </w:pPr>
            <w:r>
              <w:rPr>
                <w:lang w:val="en-US"/>
              </w:rPr>
              <w:t>6</w:t>
            </w:r>
          </w:p>
        </w:tc>
        <w:tc>
          <w:tcPr>
            <w:tcW w:w="1350" w:type="dxa"/>
            <w:shd w:val="clear" w:color="auto" w:fill="EEECE1" w:themeFill="background2"/>
          </w:tcPr>
          <w:p w:rsidR="00D71E61" w:rsidRDefault="00D71E61" w:rsidP="000943E9">
            <w:pPr>
              <w:rPr>
                <w:sz w:val="22"/>
                <w:lang w:val="en-US"/>
              </w:rPr>
            </w:pPr>
          </w:p>
        </w:tc>
      </w:tr>
      <w:tr w:rsidR="00D71E61" w:rsidTr="00FF26C2">
        <w:trPr>
          <w:trHeight w:val="590"/>
        </w:trPr>
        <w:tc>
          <w:tcPr>
            <w:tcW w:w="3528" w:type="dxa"/>
            <w:shd w:val="clear" w:color="auto" w:fill="EEECE1" w:themeFill="background2"/>
          </w:tcPr>
          <w:p w:rsidR="00D71E61" w:rsidRPr="00486494" w:rsidRDefault="00D71E61" w:rsidP="000943E9">
            <w:pPr>
              <w:rPr>
                <w:b/>
                <w:sz w:val="8"/>
                <w:lang w:val="en-US"/>
              </w:rPr>
            </w:pPr>
          </w:p>
          <w:p w:rsidR="00D71E61" w:rsidRDefault="00D71E61" w:rsidP="000943E9">
            <w:pPr>
              <w:rPr>
                <w:lang w:val="en-US"/>
              </w:rPr>
            </w:pPr>
            <w:r>
              <w:rPr>
                <w:b/>
                <w:lang w:val="en-US"/>
              </w:rPr>
              <w:t>Trinidad &amp; Tobago 2006-2009</w:t>
            </w:r>
          </w:p>
          <w:p w:rsidR="00D71E61" w:rsidRDefault="00D71E61" w:rsidP="000943E9">
            <w:pPr>
              <w:rPr>
                <w:lang w:val="en-US"/>
              </w:rPr>
            </w:pPr>
            <w:r>
              <w:rPr>
                <w:lang w:val="en-US"/>
              </w:rPr>
              <w:t>“no” collaboration with GWHN</w:t>
            </w:r>
          </w:p>
        </w:tc>
        <w:tc>
          <w:tcPr>
            <w:tcW w:w="1080" w:type="dxa"/>
            <w:shd w:val="clear" w:color="auto" w:fill="EEECE1" w:themeFill="background2"/>
          </w:tcPr>
          <w:p w:rsidR="00D71E61" w:rsidRDefault="00D71E61" w:rsidP="000943E9">
            <w:pPr>
              <w:rPr>
                <w:lang w:val="en-US"/>
              </w:rPr>
            </w:pPr>
          </w:p>
        </w:tc>
        <w:tc>
          <w:tcPr>
            <w:tcW w:w="1205" w:type="dxa"/>
            <w:shd w:val="clear" w:color="auto" w:fill="EEECE1" w:themeFill="background2"/>
          </w:tcPr>
          <w:p w:rsidR="00D71E61" w:rsidRDefault="00D71E61" w:rsidP="000943E9">
            <w:pPr>
              <w:rPr>
                <w:sz w:val="22"/>
                <w:lang w:val="en-US"/>
              </w:rPr>
            </w:pPr>
          </w:p>
        </w:tc>
        <w:tc>
          <w:tcPr>
            <w:tcW w:w="1225" w:type="dxa"/>
            <w:shd w:val="clear" w:color="auto" w:fill="EEECE1" w:themeFill="background2"/>
          </w:tcPr>
          <w:p w:rsidR="00D71E61" w:rsidRPr="00486494" w:rsidRDefault="00D71E61" w:rsidP="000943E9">
            <w:pPr>
              <w:jc w:val="center"/>
              <w:rPr>
                <w:sz w:val="12"/>
                <w:lang w:val="en-US"/>
              </w:rPr>
            </w:pPr>
          </w:p>
          <w:p w:rsidR="00D71E61" w:rsidRDefault="00D71E61" w:rsidP="000943E9">
            <w:pPr>
              <w:jc w:val="center"/>
              <w:rPr>
                <w:sz w:val="22"/>
                <w:lang w:val="en-US"/>
              </w:rPr>
            </w:pPr>
            <w:r>
              <w:rPr>
                <w:lang w:val="en-US"/>
              </w:rPr>
              <w:t>6</w:t>
            </w:r>
          </w:p>
        </w:tc>
        <w:tc>
          <w:tcPr>
            <w:tcW w:w="1350" w:type="dxa"/>
            <w:shd w:val="clear" w:color="auto" w:fill="EEECE1" w:themeFill="background2"/>
          </w:tcPr>
          <w:p w:rsidR="00D71E61" w:rsidRDefault="00D71E61" w:rsidP="000943E9">
            <w:pPr>
              <w:rPr>
                <w:sz w:val="22"/>
                <w:lang w:val="en-US"/>
              </w:rPr>
            </w:pPr>
          </w:p>
        </w:tc>
      </w:tr>
      <w:tr w:rsidR="00D71E61" w:rsidTr="000943E9">
        <w:trPr>
          <w:trHeight w:val="136"/>
        </w:trPr>
        <w:tc>
          <w:tcPr>
            <w:tcW w:w="8388" w:type="dxa"/>
            <w:gridSpan w:val="5"/>
            <w:tcBorders>
              <w:left w:val="nil"/>
              <w:right w:val="nil"/>
            </w:tcBorders>
          </w:tcPr>
          <w:p w:rsidR="00D71E61" w:rsidRDefault="00D71E61" w:rsidP="000943E9">
            <w:pPr>
              <w:rPr>
                <w:b/>
                <w:sz w:val="2"/>
                <w:lang w:val="en-US"/>
              </w:rPr>
            </w:pPr>
          </w:p>
        </w:tc>
      </w:tr>
      <w:tr w:rsidR="00D71E61" w:rsidTr="00FF26C2">
        <w:tc>
          <w:tcPr>
            <w:tcW w:w="3528" w:type="dxa"/>
            <w:tcBorders>
              <w:bottom w:val="single" w:sz="4" w:space="0" w:color="auto"/>
            </w:tcBorders>
            <w:shd w:val="clear" w:color="auto" w:fill="C6D9F1"/>
          </w:tcPr>
          <w:p w:rsidR="00D71E61" w:rsidRDefault="00D71E61" w:rsidP="000943E9">
            <w:pPr>
              <w:rPr>
                <w:sz w:val="22"/>
                <w:lang w:val="en-US"/>
              </w:rPr>
            </w:pPr>
          </w:p>
          <w:p w:rsidR="00D71E61" w:rsidRDefault="00D71E61" w:rsidP="00581596">
            <w:pPr>
              <w:numPr>
                <w:ilvl w:val="0"/>
                <w:numId w:val="10"/>
              </w:numPr>
              <w:rPr>
                <w:sz w:val="22"/>
                <w:lang w:val="en-US"/>
              </w:rPr>
            </w:pPr>
            <w:r>
              <w:rPr>
                <w:b/>
                <w:lang w:val="en-US"/>
              </w:rPr>
              <w:t>Country Work Plans</w:t>
            </w:r>
          </w:p>
        </w:tc>
        <w:tc>
          <w:tcPr>
            <w:tcW w:w="1080" w:type="dxa"/>
            <w:tcBorders>
              <w:bottom w:val="single" w:sz="4" w:space="0" w:color="auto"/>
            </w:tcBorders>
            <w:shd w:val="clear" w:color="auto" w:fill="C6D9F1"/>
          </w:tcPr>
          <w:p w:rsidR="00D71E61" w:rsidRDefault="00D71E61" w:rsidP="000943E9">
            <w:pPr>
              <w:jc w:val="center"/>
              <w:rPr>
                <w:sz w:val="22"/>
                <w:lang w:val="en-US"/>
              </w:rPr>
            </w:pPr>
            <w:r>
              <w:rPr>
                <w:lang w:val="en-US"/>
              </w:rPr>
              <w:t>None</w:t>
            </w:r>
          </w:p>
          <w:p w:rsidR="00D71E61" w:rsidRDefault="00D71E61" w:rsidP="000943E9">
            <w:pPr>
              <w:jc w:val="center"/>
              <w:rPr>
                <w:lang w:val="en-US"/>
              </w:rPr>
            </w:pPr>
            <w:r>
              <w:rPr>
                <w:lang w:val="en-US"/>
              </w:rPr>
              <w:t>(Score 0)</w:t>
            </w:r>
          </w:p>
        </w:tc>
        <w:tc>
          <w:tcPr>
            <w:tcW w:w="1205" w:type="dxa"/>
            <w:tcBorders>
              <w:bottom w:val="single" w:sz="4" w:space="0" w:color="auto"/>
            </w:tcBorders>
            <w:shd w:val="clear" w:color="auto" w:fill="C6D9F1"/>
          </w:tcPr>
          <w:p w:rsidR="00D71E61" w:rsidRDefault="00D71E61" w:rsidP="000943E9">
            <w:pPr>
              <w:jc w:val="center"/>
              <w:rPr>
                <w:lang w:val="en-US"/>
              </w:rPr>
            </w:pPr>
            <w:r>
              <w:rPr>
                <w:lang w:val="en-US"/>
              </w:rPr>
              <w:t>Low</w:t>
            </w:r>
          </w:p>
          <w:p w:rsidR="00D71E61" w:rsidRDefault="004C01B3" w:rsidP="000943E9">
            <w:pPr>
              <w:jc w:val="center"/>
              <w:rPr>
                <w:sz w:val="22"/>
                <w:lang w:val="en-US"/>
              </w:rPr>
            </w:pPr>
            <w:r>
              <w:rPr>
                <w:sz w:val="18"/>
                <w:lang w:val="en-US"/>
              </w:rPr>
              <w:t>(score 1-2</w:t>
            </w:r>
            <w:r w:rsidR="00D71E61">
              <w:rPr>
                <w:sz w:val="18"/>
                <w:lang w:val="en-US"/>
              </w:rPr>
              <w:t>)</w:t>
            </w:r>
          </w:p>
        </w:tc>
        <w:tc>
          <w:tcPr>
            <w:tcW w:w="1225" w:type="dxa"/>
            <w:tcBorders>
              <w:bottom w:val="single" w:sz="4" w:space="0" w:color="auto"/>
            </w:tcBorders>
            <w:shd w:val="clear" w:color="auto" w:fill="C6D9F1"/>
          </w:tcPr>
          <w:p w:rsidR="00D71E61" w:rsidRDefault="00D71E61" w:rsidP="000943E9">
            <w:pPr>
              <w:jc w:val="center"/>
              <w:rPr>
                <w:sz w:val="22"/>
                <w:lang w:val="en-US"/>
              </w:rPr>
            </w:pPr>
            <w:r>
              <w:rPr>
                <w:lang w:val="en-US"/>
              </w:rPr>
              <w:t>Medium</w:t>
            </w:r>
          </w:p>
          <w:p w:rsidR="00D71E61" w:rsidRDefault="004C01B3" w:rsidP="000943E9">
            <w:pPr>
              <w:jc w:val="center"/>
              <w:rPr>
                <w:sz w:val="22"/>
                <w:lang w:val="en-US"/>
              </w:rPr>
            </w:pPr>
            <w:r>
              <w:rPr>
                <w:lang w:val="en-US"/>
              </w:rPr>
              <w:t>(score 3-4</w:t>
            </w:r>
            <w:r w:rsidR="00D71E61">
              <w:rPr>
                <w:lang w:val="en-US"/>
              </w:rPr>
              <w:t>)</w:t>
            </w:r>
          </w:p>
        </w:tc>
        <w:tc>
          <w:tcPr>
            <w:tcW w:w="1350" w:type="dxa"/>
            <w:tcBorders>
              <w:bottom w:val="single" w:sz="4" w:space="0" w:color="auto"/>
            </w:tcBorders>
            <w:shd w:val="clear" w:color="auto" w:fill="C6D9F1"/>
          </w:tcPr>
          <w:p w:rsidR="00D71E61" w:rsidRDefault="00D71E61" w:rsidP="004C01B3">
            <w:pPr>
              <w:jc w:val="center"/>
              <w:rPr>
                <w:sz w:val="22"/>
                <w:lang w:val="en-US"/>
              </w:rPr>
            </w:pPr>
            <w:r>
              <w:rPr>
                <w:lang w:val="en-US"/>
              </w:rPr>
              <w:t xml:space="preserve">Strong  </w:t>
            </w:r>
            <w:r>
              <w:rPr>
                <w:sz w:val="18"/>
                <w:lang w:val="en-US"/>
              </w:rPr>
              <w:t xml:space="preserve">(score </w:t>
            </w:r>
            <w:r w:rsidR="004C01B3">
              <w:rPr>
                <w:sz w:val="18"/>
                <w:lang w:val="en-US"/>
              </w:rPr>
              <w:t>5-6</w:t>
            </w:r>
            <w:r>
              <w:rPr>
                <w:sz w:val="18"/>
                <w:lang w:val="en-US"/>
              </w:rPr>
              <w:t>)</w:t>
            </w:r>
          </w:p>
        </w:tc>
      </w:tr>
      <w:tr w:rsidR="00D71E61" w:rsidTr="00FF26C2">
        <w:trPr>
          <w:trHeight w:val="756"/>
        </w:trPr>
        <w:tc>
          <w:tcPr>
            <w:tcW w:w="3528" w:type="dxa"/>
            <w:shd w:val="clear" w:color="auto" w:fill="EEECE1" w:themeFill="background2"/>
          </w:tcPr>
          <w:p w:rsidR="00D71E61" w:rsidRDefault="00D71E61" w:rsidP="000943E9">
            <w:pPr>
              <w:rPr>
                <w:sz w:val="16"/>
                <w:lang w:val="en-US"/>
              </w:rPr>
            </w:pPr>
          </w:p>
          <w:p w:rsidR="00D71E61" w:rsidRDefault="00D71E61" w:rsidP="000943E9">
            <w:pPr>
              <w:rPr>
                <w:b/>
                <w:sz w:val="22"/>
                <w:lang w:val="en-US"/>
              </w:rPr>
            </w:pPr>
            <w:r>
              <w:rPr>
                <w:b/>
                <w:lang w:val="en-US"/>
              </w:rPr>
              <w:t xml:space="preserve">Honduras 2006-2007 </w:t>
            </w:r>
          </w:p>
          <w:p w:rsidR="00D71E61" w:rsidRDefault="00D71E61" w:rsidP="000943E9">
            <w:pPr>
              <w:rPr>
                <w:b/>
                <w:sz w:val="22"/>
                <w:lang w:val="en-US"/>
              </w:rPr>
            </w:pPr>
            <w:r>
              <w:rPr>
                <w:sz w:val="18"/>
                <w:lang w:val="en-US"/>
              </w:rPr>
              <w:t>“some” collaboration with GWHN</w:t>
            </w:r>
          </w:p>
        </w:tc>
        <w:tc>
          <w:tcPr>
            <w:tcW w:w="1080" w:type="dxa"/>
            <w:shd w:val="clear" w:color="auto" w:fill="EEECE1" w:themeFill="background2"/>
          </w:tcPr>
          <w:p w:rsidR="00D71E61" w:rsidRDefault="00D71E61" w:rsidP="000943E9">
            <w:pPr>
              <w:rPr>
                <w:sz w:val="22"/>
                <w:lang w:val="en-US"/>
              </w:rPr>
            </w:pPr>
          </w:p>
        </w:tc>
        <w:tc>
          <w:tcPr>
            <w:tcW w:w="1205" w:type="dxa"/>
            <w:shd w:val="clear" w:color="auto" w:fill="EEECE1" w:themeFill="background2"/>
          </w:tcPr>
          <w:p w:rsidR="00D71E61" w:rsidRDefault="00D71E61" w:rsidP="000943E9">
            <w:pPr>
              <w:rPr>
                <w:sz w:val="22"/>
                <w:lang w:val="en-US"/>
              </w:rPr>
            </w:pPr>
          </w:p>
        </w:tc>
        <w:tc>
          <w:tcPr>
            <w:tcW w:w="1225" w:type="dxa"/>
            <w:shd w:val="clear" w:color="auto" w:fill="EEECE1" w:themeFill="background2"/>
          </w:tcPr>
          <w:p w:rsidR="00D71E61" w:rsidRDefault="00D71E61" w:rsidP="000943E9">
            <w:pPr>
              <w:jc w:val="center"/>
              <w:rPr>
                <w:sz w:val="22"/>
                <w:lang w:val="en-US"/>
              </w:rPr>
            </w:pPr>
          </w:p>
          <w:p w:rsidR="00D71E61" w:rsidRDefault="00D71E61" w:rsidP="000943E9">
            <w:pPr>
              <w:jc w:val="center"/>
              <w:rPr>
                <w:sz w:val="22"/>
                <w:lang w:val="en-US"/>
              </w:rPr>
            </w:pPr>
            <w:r>
              <w:rPr>
                <w:lang w:val="en-US"/>
              </w:rPr>
              <w:t>4</w:t>
            </w:r>
          </w:p>
        </w:tc>
        <w:tc>
          <w:tcPr>
            <w:tcW w:w="1350" w:type="dxa"/>
            <w:shd w:val="clear" w:color="auto" w:fill="EEECE1" w:themeFill="background2"/>
          </w:tcPr>
          <w:p w:rsidR="00D71E61" w:rsidRDefault="00D71E61" w:rsidP="000943E9">
            <w:pPr>
              <w:rPr>
                <w:sz w:val="22"/>
                <w:lang w:val="en-US"/>
              </w:rPr>
            </w:pPr>
          </w:p>
        </w:tc>
      </w:tr>
      <w:tr w:rsidR="00D71E61" w:rsidTr="00FF26C2">
        <w:trPr>
          <w:trHeight w:val="783"/>
        </w:trPr>
        <w:tc>
          <w:tcPr>
            <w:tcW w:w="3528" w:type="dxa"/>
            <w:shd w:val="clear" w:color="auto" w:fill="EEECE1" w:themeFill="background2"/>
          </w:tcPr>
          <w:p w:rsidR="00D71E61" w:rsidRDefault="00D71E61" w:rsidP="000943E9">
            <w:pPr>
              <w:rPr>
                <w:b/>
                <w:sz w:val="14"/>
                <w:lang w:val="en-US"/>
              </w:rPr>
            </w:pPr>
          </w:p>
          <w:p w:rsidR="00D71E61" w:rsidRDefault="00D71E61" w:rsidP="000943E9">
            <w:pPr>
              <w:rPr>
                <w:sz w:val="22"/>
                <w:lang w:val="en-US"/>
              </w:rPr>
            </w:pPr>
            <w:r>
              <w:rPr>
                <w:b/>
                <w:lang w:val="en-US"/>
              </w:rPr>
              <w:t>Trinidad &amp; Tobago 2006-2007</w:t>
            </w:r>
          </w:p>
          <w:p w:rsidR="00D71E61" w:rsidRDefault="00D71E61" w:rsidP="000943E9">
            <w:pPr>
              <w:rPr>
                <w:sz w:val="22"/>
                <w:lang w:val="en-US"/>
              </w:rPr>
            </w:pPr>
            <w:r>
              <w:rPr>
                <w:sz w:val="18"/>
                <w:lang w:val="en-US"/>
              </w:rPr>
              <w:t>“no” collaboration with GWHN</w:t>
            </w:r>
          </w:p>
        </w:tc>
        <w:tc>
          <w:tcPr>
            <w:tcW w:w="1080" w:type="dxa"/>
            <w:shd w:val="clear" w:color="auto" w:fill="EEECE1" w:themeFill="background2"/>
          </w:tcPr>
          <w:p w:rsidR="00D71E61" w:rsidRDefault="00D71E61" w:rsidP="000943E9">
            <w:pPr>
              <w:rPr>
                <w:sz w:val="22"/>
                <w:lang w:val="en-US"/>
              </w:rPr>
            </w:pPr>
          </w:p>
          <w:p w:rsidR="00D71E61" w:rsidRDefault="00D71E61" w:rsidP="000943E9">
            <w:pPr>
              <w:rPr>
                <w:sz w:val="22"/>
                <w:lang w:val="en-US"/>
              </w:rPr>
            </w:pPr>
          </w:p>
        </w:tc>
        <w:tc>
          <w:tcPr>
            <w:tcW w:w="1205" w:type="dxa"/>
            <w:shd w:val="clear" w:color="auto" w:fill="EEECE1" w:themeFill="background2"/>
          </w:tcPr>
          <w:p w:rsidR="00D71E61" w:rsidRDefault="00D71E61" w:rsidP="000943E9">
            <w:pPr>
              <w:rPr>
                <w:sz w:val="22"/>
                <w:lang w:val="en-US"/>
              </w:rPr>
            </w:pPr>
          </w:p>
        </w:tc>
        <w:tc>
          <w:tcPr>
            <w:tcW w:w="1225" w:type="dxa"/>
            <w:shd w:val="clear" w:color="auto" w:fill="EEECE1" w:themeFill="background2"/>
          </w:tcPr>
          <w:p w:rsidR="00D71E61" w:rsidRDefault="00D71E61" w:rsidP="000943E9">
            <w:pPr>
              <w:jc w:val="center"/>
              <w:rPr>
                <w:sz w:val="22"/>
                <w:lang w:val="en-US"/>
              </w:rPr>
            </w:pPr>
          </w:p>
          <w:p w:rsidR="00D71E61" w:rsidRDefault="00D71E61" w:rsidP="000943E9">
            <w:pPr>
              <w:jc w:val="center"/>
              <w:rPr>
                <w:sz w:val="22"/>
                <w:lang w:val="en-US"/>
              </w:rPr>
            </w:pPr>
            <w:r>
              <w:rPr>
                <w:lang w:val="en-US"/>
              </w:rPr>
              <w:t>4</w:t>
            </w:r>
          </w:p>
        </w:tc>
        <w:tc>
          <w:tcPr>
            <w:tcW w:w="1350" w:type="dxa"/>
            <w:shd w:val="clear" w:color="auto" w:fill="EEECE1" w:themeFill="background2"/>
          </w:tcPr>
          <w:p w:rsidR="00D71E61" w:rsidRDefault="00D71E61" w:rsidP="000943E9">
            <w:pPr>
              <w:rPr>
                <w:sz w:val="22"/>
                <w:lang w:val="en-US"/>
              </w:rPr>
            </w:pPr>
          </w:p>
        </w:tc>
      </w:tr>
    </w:tbl>
    <w:p w:rsidR="009571FA" w:rsidRPr="00296CDC" w:rsidRDefault="009571FA" w:rsidP="00796A80">
      <w:pPr>
        <w:ind w:left="1080"/>
        <w:rPr>
          <w:b/>
          <w:bCs/>
          <w:sz w:val="14"/>
        </w:rPr>
      </w:pPr>
    </w:p>
    <w:p w:rsidR="002F70DC" w:rsidRPr="002F70DC" w:rsidRDefault="002F70DC" w:rsidP="00C4766C">
      <w:pPr>
        <w:rPr>
          <w:bCs/>
          <w:sz w:val="16"/>
        </w:rPr>
      </w:pPr>
    </w:p>
    <w:p w:rsidR="00C4766C" w:rsidRPr="00796A80" w:rsidRDefault="003E3C4D" w:rsidP="00C4766C">
      <w:pPr>
        <w:rPr>
          <w:bCs/>
        </w:rPr>
      </w:pPr>
      <w:r>
        <w:rPr>
          <w:bCs/>
          <w:sz w:val="22"/>
        </w:rPr>
        <w:t>T</w:t>
      </w:r>
      <w:r w:rsidR="00C4766C">
        <w:rPr>
          <w:bCs/>
          <w:sz w:val="22"/>
        </w:rPr>
        <w:t xml:space="preserve">he gender integration </w:t>
      </w:r>
      <w:r>
        <w:rPr>
          <w:bCs/>
          <w:sz w:val="22"/>
        </w:rPr>
        <w:t xml:space="preserve">scores </w:t>
      </w:r>
      <w:r w:rsidR="00C4766C">
        <w:rPr>
          <w:bCs/>
          <w:sz w:val="22"/>
        </w:rPr>
        <w:t xml:space="preserve">for the CCS and work plans of both countries fell in the </w:t>
      </w:r>
      <w:r w:rsidR="004C01B3" w:rsidRPr="002F70DC">
        <w:rPr>
          <w:b/>
          <w:bCs/>
          <w:sz w:val="22"/>
        </w:rPr>
        <w:t xml:space="preserve">higher </w:t>
      </w:r>
      <w:r w:rsidR="009F6C75">
        <w:rPr>
          <w:b/>
          <w:bCs/>
          <w:sz w:val="22"/>
        </w:rPr>
        <w:t xml:space="preserve">range </w:t>
      </w:r>
      <w:r w:rsidR="004C01B3" w:rsidRPr="004C01B3">
        <w:rPr>
          <w:b/>
          <w:bCs/>
          <w:sz w:val="22"/>
        </w:rPr>
        <w:t xml:space="preserve">of the </w:t>
      </w:r>
      <w:r w:rsidR="00C4766C" w:rsidRPr="004C01B3">
        <w:rPr>
          <w:b/>
          <w:bCs/>
          <w:sz w:val="22"/>
        </w:rPr>
        <w:t xml:space="preserve">medium </w:t>
      </w:r>
      <w:r w:rsidR="009F6C75">
        <w:rPr>
          <w:b/>
          <w:bCs/>
          <w:sz w:val="22"/>
        </w:rPr>
        <w:t>score</w:t>
      </w:r>
      <w:r w:rsidR="00C4766C" w:rsidRPr="004C01B3">
        <w:rPr>
          <w:b/>
          <w:bCs/>
          <w:sz w:val="22"/>
        </w:rPr>
        <w:t>.</w:t>
      </w:r>
      <w:r w:rsidR="00C4766C">
        <w:rPr>
          <w:bCs/>
          <w:sz w:val="22"/>
        </w:rPr>
        <w:t xml:space="preserve"> </w:t>
      </w:r>
      <w:r w:rsidR="00C4766C" w:rsidRPr="00E7310E">
        <w:rPr>
          <w:bCs/>
          <w:sz w:val="22"/>
        </w:rPr>
        <w:t xml:space="preserve">In a scale of </w:t>
      </w:r>
      <w:r>
        <w:rPr>
          <w:bCs/>
          <w:sz w:val="22"/>
        </w:rPr>
        <w:t>0</w:t>
      </w:r>
      <w:r w:rsidR="00C4766C">
        <w:rPr>
          <w:bCs/>
          <w:sz w:val="22"/>
        </w:rPr>
        <w:t xml:space="preserve"> to 9</w:t>
      </w:r>
      <w:r w:rsidR="00C4766C" w:rsidRPr="00E7310E">
        <w:rPr>
          <w:bCs/>
          <w:sz w:val="22"/>
        </w:rPr>
        <w:t xml:space="preserve"> the score</w:t>
      </w:r>
      <w:r w:rsidR="00C4766C">
        <w:rPr>
          <w:bCs/>
          <w:sz w:val="22"/>
        </w:rPr>
        <w:t xml:space="preserve">s were </w:t>
      </w:r>
      <w:r w:rsidR="00C4766C" w:rsidRPr="00E7310E">
        <w:rPr>
          <w:bCs/>
          <w:sz w:val="22"/>
        </w:rPr>
        <w:t xml:space="preserve">6 </w:t>
      </w:r>
      <w:r w:rsidR="00C4766C">
        <w:rPr>
          <w:bCs/>
          <w:sz w:val="22"/>
        </w:rPr>
        <w:t xml:space="preserve">for the CCS, and </w:t>
      </w:r>
      <w:r w:rsidR="002F70DC">
        <w:rPr>
          <w:bCs/>
          <w:sz w:val="22"/>
        </w:rPr>
        <w:t xml:space="preserve">on a scale of 0 to 6, the scores were 4 </w:t>
      </w:r>
      <w:r w:rsidR="00C4766C">
        <w:rPr>
          <w:bCs/>
          <w:sz w:val="22"/>
        </w:rPr>
        <w:t>for the work plans in both countries.</w:t>
      </w:r>
      <w:r w:rsidR="00C4766C" w:rsidRPr="00E7310E">
        <w:rPr>
          <w:bCs/>
          <w:sz w:val="22"/>
        </w:rPr>
        <w:t xml:space="preserve"> </w:t>
      </w:r>
      <w:r w:rsidR="00C4766C">
        <w:rPr>
          <w:bCs/>
          <w:sz w:val="22"/>
        </w:rPr>
        <w:t xml:space="preserve">No quantitative difference in </w:t>
      </w:r>
      <w:r w:rsidR="002F70DC">
        <w:rPr>
          <w:bCs/>
          <w:sz w:val="22"/>
        </w:rPr>
        <w:t xml:space="preserve">the </w:t>
      </w:r>
      <w:r w:rsidR="00C4766C">
        <w:rPr>
          <w:bCs/>
          <w:sz w:val="22"/>
        </w:rPr>
        <w:t xml:space="preserve">scores was associated with the presence of collaboration with the </w:t>
      </w:r>
      <w:r w:rsidR="002F70DC">
        <w:rPr>
          <w:bCs/>
          <w:sz w:val="22"/>
        </w:rPr>
        <w:t>PAHO/</w:t>
      </w:r>
      <w:r w:rsidR="00C4766C">
        <w:rPr>
          <w:bCs/>
          <w:sz w:val="22"/>
        </w:rPr>
        <w:t xml:space="preserve">GE network. </w:t>
      </w:r>
    </w:p>
    <w:p w:rsidR="00376C70" w:rsidRDefault="00376C70" w:rsidP="00AB0DC6">
      <w:pPr>
        <w:rPr>
          <w:b/>
          <w:bCs/>
          <w:sz w:val="22"/>
        </w:rPr>
      </w:pPr>
    </w:p>
    <w:p w:rsidR="009571FA" w:rsidRPr="00AA274C" w:rsidRDefault="0099745A" w:rsidP="00AB0DC6">
      <w:pPr>
        <w:rPr>
          <w:rFonts w:cs="Arial"/>
          <w:color w:val="0000FF"/>
          <w:sz w:val="22"/>
          <w:szCs w:val="20"/>
        </w:rPr>
      </w:pPr>
      <w:r>
        <w:rPr>
          <w:b/>
          <w:bCs/>
          <w:sz w:val="22"/>
        </w:rPr>
        <w:t xml:space="preserve">Characteristics </w:t>
      </w:r>
      <w:r w:rsidR="00433E33">
        <w:rPr>
          <w:b/>
          <w:bCs/>
          <w:sz w:val="22"/>
        </w:rPr>
        <w:t>of the sample</w:t>
      </w:r>
      <w:r w:rsidR="004B35AE">
        <w:rPr>
          <w:b/>
          <w:bCs/>
          <w:sz w:val="22"/>
        </w:rPr>
        <w:t xml:space="preserve">: </w:t>
      </w:r>
      <w:r w:rsidR="004B35AE" w:rsidRPr="004B35AE">
        <w:rPr>
          <w:bCs/>
          <w:sz w:val="22"/>
        </w:rPr>
        <w:t>Honduras and Trinidad and Tobago</w:t>
      </w:r>
      <w:r w:rsidR="004B35AE">
        <w:rPr>
          <w:b/>
          <w:bCs/>
          <w:sz w:val="22"/>
        </w:rPr>
        <w:t xml:space="preserve"> </w:t>
      </w:r>
      <w:r w:rsidR="00C170D1" w:rsidRPr="00AA274C">
        <w:rPr>
          <w:sz w:val="22"/>
          <w:lang w:val="en-US"/>
        </w:rPr>
        <w:t>are located in the Central American and English Caribbean sub regions</w:t>
      </w:r>
      <w:r w:rsidR="004B35AE">
        <w:rPr>
          <w:sz w:val="22"/>
          <w:lang w:val="en-US"/>
        </w:rPr>
        <w:t>,</w:t>
      </w:r>
      <w:r w:rsidR="00C4766C" w:rsidRPr="00C4766C">
        <w:rPr>
          <w:sz w:val="22"/>
          <w:lang w:val="en-US"/>
        </w:rPr>
        <w:t xml:space="preserve"> </w:t>
      </w:r>
      <w:r w:rsidR="00C4766C" w:rsidRPr="00AA274C">
        <w:rPr>
          <w:sz w:val="22"/>
          <w:lang w:val="en-US"/>
        </w:rPr>
        <w:t>respectively</w:t>
      </w:r>
      <w:r w:rsidR="00C170D1" w:rsidRPr="00AA274C">
        <w:rPr>
          <w:sz w:val="22"/>
          <w:lang w:val="en-US"/>
        </w:rPr>
        <w:t>. Spanish is the official la</w:t>
      </w:r>
      <w:r w:rsidR="004B35AE">
        <w:rPr>
          <w:sz w:val="22"/>
          <w:lang w:val="en-US"/>
        </w:rPr>
        <w:t xml:space="preserve">nguage in Honduras, and English, </w:t>
      </w:r>
      <w:r w:rsidR="00C170D1" w:rsidRPr="00AA274C">
        <w:rPr>
          <w:sz w:val="22"/>
          <w:lang w:val="en-US"/>
        </w:rPr>
        <w:t xml:space="preserve">in Trinidad &amp; Tobago. Honduras is one of the priority countries for the PAHO/WHO Gender and Ethnicity Unit (GE) technical cooperation. Together with several other countries in Central America, it has been a focus of GE continued actions since 1990. Trinidad &amp; Tobago, on the other hand, has had only sporadic contact with GE through these years.  </w:t>
      </w:r>
    </w:p>
    <w:p w:rsidR="009571FA" w:rsidRPr="00F313A9" w:rsidRDefault="009571FA" w:rsidP="00AB0DC6">
      <w:pPr>
        <w:rPr>
          <w:rFonts w:cs="Arial"/>
          <w:color w:val="0000FF"/>
          <w:sz w:val="10"/>
          <w:szCs w:val="20"/>
        </w:rPr>
      </w:pPr>
    </w:p>
    <w:p w:rsidR="009571FA" w:rsidRPr="00F313A9" w:rsidRDefault="009571FA" w:rsidP="00AB0DC6">
      <w:pPr>
        <w:rPr>
          <w:b/>
          <w:bCs/>
          <w:i/>
          <w:sz w:val="18"/>
        </w:rPr>
      </w:pPr>
    </w:p>
    <w:p w:rsidR="009571FA" w:rsidRDefault="009571FA" w:rsidP="003E3C4D">
      <w:pPr>
        <w:rPr>
          <w:b/>
          <w:bCs/>
          <w:sz w:val="24"/>
        </w:rPr>
      </w:pPr>
      <w:r w:rsidRPr="00DD09B5">
        <w:rPr>
          <w:b/>
          <w:bCs/>
          <w:sz w:val="24"/>
        </w:rPr>
        <w:t>1. Country Cooperation Strategies (CCS)</w:t>
      </w:r>
    </w:p>
    <w:p w:rsidR="009571FA" w:rsidRDefault="009571FA" w:rsidP="008E5687">
      <w:pPr>
        <w:rPr>
          <w:bCs/>
          <w:sz w:val="22"/>
          <w:szCs w:val="22"/>
        </w:rPr>
      </w:pPr>
    </w:p>
    <w:p w:rsidR="009571FA" w:rsidRPr="00E7310E" w:rsidRDefault="009571FA" w:rsidP="00796A80">
      <w:pPr>
        <w:rPr>
          <w:bCs/>
          <w:sz w:val="22"/>
        </w:rPr>
      </w:pPr>
      <w:r>
        <w:rPr>
          <w:bCs/>
          <w:sz w:val="22"/>
          <w:szCs w:val="22"/>
        </w:rPr>
        <w:t xml:space="preserve">The agreed upon </w:t>
      </w:r>
      <w:r w:rsidRPr="00DD09B5">
        <w:rPr>
          <w:bCs/>
          <w:sz w:val="22"/>
          <w:szCs w:val="22"/>
        </w:rPr>
        <w:t>content analysis criteria</w:t>
      </w:r>
      <w:r>
        <w:rPr>
          <w:bCs/>
          <w:sz w:val="22"/>
          <w:szCs w:val="22"/>
        </w:rPr>
        <w:t xml:space="preserve"> revealed the </w:t>
      </w:r>
      <w:r w:rsidRPr="00DD09B5">
        <w:rPr>
          <w:bCs/>
          <w:sz w:val="22"/>
          <w:szCs w:val="22"/>
        </w:rPr>
        <w:t xml:space="preserve">following </w:t>
      </w:r>
      <w:r>
        <w:rPr>
          <w:bCs/>
          <w:sz w:val="22"/>
          <w:szCs w:val="22"/>
        </w:rPr>
        <w:t xml:space="preserve">gender </w:t>
      </w:r>
      <w:r w:rsidRPr="00DD09B5">
        <w:rPr>
          <w:bCs/>
          <w:sz w:val="22"/>
          <w:szCs w:val="22"/>
        </w:rPr>
        <w:t>integration traits</w:t>
      </w:r>
      <w:r>
        <w:rPr>
          <w:bCs/>
          <w:sz w:val="22"/>
          <w:szCs w:val="22"/>
        </w:rPr>
        <w:t xml:space="preserve"> in the CCS of the two sampled countries: </w:t>
      </w:r>
      <w:r w:rsidRPr="00E7310E">
        <w:rPr>
          <w:bCs/>
          <w:sz w:val="22"/>
        </w:rPr>
        <w:t>(See w</w:t>
      </w:r>
      <w:r>
        <w:rPr>
          <w:bCs/>
          <w:sz w:val="22"/>
        </w:rPr>
        <w:t>orking tables in the Appendix).</w:t>
      </w:r>
      <w:r w:rsidRPr="00E7310E">
        <w:rPr>
          <w:bCs/>
          <w:sz w:val="22"/>
        </w:rPr>
        <w:t xml:space="preserve">    </w:t>
      </w:r>
    </w:p>
    <w:p w:rsidR="009571FA" w:rsidRPr="00E7310E" w:rsidRDefault="009571FA" w:rsidP="00796A80">
      <w:pPr>
        <w:ind w:left="456"/>
        <w:rPr>
          <w:bCs/>
          <w:sz w:val="22"/>
        </w:rPr>
      </w:pPr>
    </w:p>
    <w:p w:rsidR="009571FA" w:rsidRPr="00E7310E" w:rsidRDefault="009571FA" w:rsidP="00796A80">
      <w:pPr>
        <w:rPr>
          <w:bCs/>
          <w:sz w:val="22"/>
        </w:rPr>
      </w:pPr>
      <w:r w:rsidRPr="00E7310E">
        <w:rPr>
          <w:b/>
          <w:bCs/>
          <w:sz w:val="22"/>
        </w:rPr>
        <w:t>a.  Gender referencing</w:t>
      </w:r>
      <w:r w:rsidRPr="00E7310E">
        <w:rPr>
          <w:bCs/>
          <w:sz w:val="22"/>
        </w:rPr>
        <w:t xml:space="preserve">: Gender- related references appeared throughout the text in both CCSs documents, slightly more frequently in the case of Honduras. In </w:t>
      </w:r>
      <w:r w:rsidRPr="00E7310E">
        <w:rPr>
          <w:b/>
          <w:bCs/>
          <w:sz w:val="22"/>
        </w:rPr>
        <w:t>Honduras,</w:t>
      </w:r>
      <w:r w:rsidRPr="00E7310E">
        <w:rPr>
          <w:bCs/>
          <w:sz w:val="22"/>
        </w:rPr>
        <w:t xml:space="preserve"> these mentions dealt mainly with a </w:t>
      </w:r>
      <w:r w:rsidRPr="00E7310E">
        <w:rPr>
          <w:b/>
          <w:bCs/>
          <w:sz w:val="22"/>
        </w:rPr>
        <w:t>gender equity</w:t>
      </w:r>
      <w:r w:rsidRPr="00E7310E">
        <w:rPr>
          <w:bCs/>
          <w:sz w:val="22"/>
        </w:rPr>
        <w:t xml:space="preserve"> approach to policies and programs within a framework of </w:t>
      </w:r>
      <w:r w:rsidRPr="009F6C75">
        <w:rPr>
          <w:b/>
          <w:bCs/>
          <w:sz w:val="22"/>
        </w:rPr>
        <w:t>health determinants,</w:t>
      </w:r>
      <w:r w:rsidRPr="00E7310E">
        <w:rPr>
          <w:bCs/>
          <w:sz w:val="22"/>
        </w:rPr>
        <w:t xml:space="preserve"> and with issues such as access barriers for health care services, gender-based violence, MDG3, and sex-differentiated health needs. In </w:t>
      </w:r>
      <w:r w:rsidRPr="00E7310E">
        <w:rPr>
          <w:b/>
          <w:bCs/>
          <w:sz w:val="22"/>
        </w:rPr>
        <w:t>Trinidad and Tobago</w:t>
      </w:r>
      <w:r w:rsidRPr="00E7310E">
        <w:rPr>
          <w:bCs/>
          <w:sz w:val="22"/>
        </w:rPr>
        <w:t xml:space="preserve">, the references alluded to differentials regarding education, work, household headship, and political participation, also within a health determinants framework. Gender issues related to violence, women’s rights, gender discrimination, the MDG 3 and sex-differentiated health needs and outcomes were also mentioned. </w:t>
      </w:r>
    </w:p>
    <w:p w:rsidR="002F70DC" w:rsidRPr="002F70DC" w:rsidRDefault="002F70DC" w:rsidP="00686583">
      <w:pPr>
        <w:rPr>
          <w:bCs/>
          <w:sz w:val="8"/>
        </w:rPr>
      </w:pPr>
    </w:p>
    <w:p w:rsidR="009571FA" w:rsidRPr="00E7310E" w:rsidRDefault="009571FA" w:rsidP="00686583">
      <w:pPr>
        <w:rPr>
          <w:bCs/>
          <w:sz w:val="22"/>
        </w:rPr>
      </w:pPr>
      <w:r w:rsidRPr="00E7310E">
        <w:rPr>
          <w:bCs/>
          <w:sz w:val="22"/>
        </w:rPr>
        <w:t>Neither CCS, however, defined “</w:t>
      </w:r>
      <w:r w:rsidRPr="00E7310E">
        <w:rPr>
          <w:b/>
          <w:bCs/>
          <w:i/>
          <w:sz w:val="22"/>
        </w:rPr>
        <w:t xml:space="preserve">gender equality” </w:t>
      </w:r>
      <w:r w:rsidRPr="00E7310E">
        <w:rPr>
          <w:bCs/>
          <w:sz w:val="22"/>
        </w:rPr>
        <w:t>and</w:t>
      </w:r>
      <w:r w:rsidRPr="00E7310E">
        <w:rPr>
          <w:b/>
          <w:bCs/>
          <w:i/>
          <w:sz w:val="22"/>
        </w:rPr>
        <w:t xml:space="preserve"> “women’s empowerment</w:t>
      </w:r>
      <w:r w:rsidRPr="00E7310E">
        <w:rPr>
          <w:bCs/>
          <w:sz w:val="22"/>
        </w:rPr>
        <w:t xml:space="preserve">”, let alone made use of these concepts as diagnostic criteria or guidance elements for actions in the health arena. The references to these concepts were few and restricted to passing mentions of the MDGs or other normative frameworks--such as the WHO 11th GPW 2006-2015 in the case of Trinidad &amp; Tobago. No mention was made of the PAHO Gender Equality Policy. In general, neither CCS document adhered to the WHO gender guidelines, </w:t>
      </w:r>
      <w:r w:rsidR="00A45269">
        <w:rPr>
          <w:bCs/>
          <w:sz w:val="22"/>
        </w:rPr>
        <w:t xml:space="preserve">nor </w:t>
      </w:r>
      <w:r w:rsidRPr="00E7310E">
        <w:rPr>
          <w:bCs/>
          <w:sz w:val="22"/>
        </w:rPr>
        <w:t xml:space="preserve">transpired a sense of ownership regarding the PAHO Gender Equality Policy </w:t>
      </w:r>
      <w:r w:rsidR="00A45269">
        <w:rPr>
          <w:bCs/>
          <w:sz w:val="22"/>
        </w:rPr>
        <w:t xml:space="preserve">and </w:t>
      </w:r>
      <w:r w:rsidRPr="00E7310E">
        <w:rPr>
          <w:bCs/>
          <w:sz w:val="22"/>
        </w:rPr>
        <w:t>the MDG 3 (see Table</w:t>
      </w:r>
      <w:r w:rsidR="009F6C75">
        <w:rPr>
          <w:bCs/>
          <w:sz w:val="22"/>
        </w:rPr>
        <w:t>s</w:t>
      </w:r>
      <w:r w:rsidRPr="00E7310E">
        <w:rPr>
          <w:bCs/>
          <w:sz w:val="22"/>
        </w:rPr>
        <w:t xml:space="preserve"> 1.1 and 1.2 of the Appendix).</w:t>
      </w:r>
    </w:p>
    <w:p w:rsidR="009571FA" w:rsidRDefault="009571FA" w:rsidP="00AB0DC6">
      <w:pPr>
        <w:rPr>
          <w:bCs/>
        </w:rPr>
      </w:pPr>
    </w:p>
    <w:p w:rsidR="009571FA" w:rsidRPr="00E7310E" w:rsidRDefault="009571FA" w:rsidP="00734AF6">
      <w:pPr>
        <w:rPr>
          <w:bCs/>
          <w:sz w:val="22"/>
        </w:rPr>
      </w:pPr>
      <w:r w:rsidRPr="00E7310E">
        <w:rPr>
          <w:b/>
          <w:bCs/>
          <w:sz w:val="22"/>
        </w:rPr>
        <w:t>b.  C</w:t>
      </w:r>
      <w:r>
        <w:rPr>
          <w:b/>
          <w:bCs/>
          <w:sz w:val="22"/>
        </w:rPr>
        <w:t>onsultations</w:t>
      </w:r>
      <w:r w:rsidRPr="00E7310E">
        <w:rPr>
          <w:b/>
          <w:bCs/>
          <w:sz w:val="22"/>
        </w:rPr>
        <w:t xml:space="preserve"> and partnerships with gender advocates: </w:t>
      </w:r>
      <w:r w:rsidRPr="00E7310E">
        <w:rPr>
          <w:bCs/>
          <w:sz w:val="22"/>
        </w:rPr>
        <w:t>Both documents promoted this type of interaction with women’s groups</w:t>
      </w:r>
      <w:r w:rsidR="009F6C75">
        <w:rPr>
          <w:bCs/>
          <w:sz w:val="22"/>
        </w:rPr>
        <w:t xml:space="preserve">, </w:t>
      </w:r>
      <w:r w:rsidRPr="00D24B40">
        <w:rPr>
          <w:bCs/>
          <w:sz w:val="22"/>
        </w:rPr>
        <w:t xml:space="preserve">the Women’s Affairs Government Bureaus </w:t>
      </w:r>
      <w:r w:rsidR="009F6C75">
        <w:rPr>
          <w:bCs/>
          <w:sz w:val="22"/>
        </w:rPr>
        <w:t xml:space="preserve">and the </w:t>
      </w:r>
      <w:r w:rsidR="009F6C75" w:rsidRPr="00E7310E">
        <w:rPr>
          <w:bCs/>
          <w:sz w:val="22"/>
        </w:rPr>
        <w:t xml:space="preserve">UN </w:t>
      </w:r>
      <w:r w:rsidR="009F6C75">
        <w:rPr>
          <w:bCs/>
          <w:sz w:val="22"/>
        </w:rPr>
        <w:t xml:space="preserve">Gender </w:t>
      </w:r>
      <w:r w:rsidR="009F6C75" w:rsidRPr="00E7310E">
        <w:rPr>
          <w:bCs/>
          <w:sz w:val="22"/>
        </w:rPr>
        <w:t>Interagency Work Group</w:t>
      </w:r>
      <w:r w:rsidR="009F6C75" w:rsidRPr="00D24B40">
        <w:rPr>
          <w:bCs/>
          <w:sz w:val="22"/>
        </w:rPr>
        <w:t xml:space="preserve"> </w:t>
      </w:r>
      <w:r w:rsidRPr="00D24B40">
        <w:rPr>
          <w:bCs/>
          <w:sz w:val="22"/>
        </w:rPr>
        <w:t>for the purpose of advancing gender-specific ende</w:t>
      </w:r>
      <w:r w:rsidRPr="00E7310E">
        <w:rPr>
          <w:bCs/>
          <w:sz w:val="22"/>
        </w:rPr>
        <w:t xml:space="preserve">avours. </w:t>
      </w:r>
    </w:p>
    <w:p w:rsidR="009571FA" w:rsidRPr="00E7310E" w:rsidRDefault="009571FA" w:rsidP="00AB0DC6">
      <w:pPr>
        <w:pStyle w:val="ListParagraph"/>
        <w:ind w:left="0"/>
        <w:rPr>
          <w:bCs/>
          <w:sz w:val="22"/>
        </w:rPr>
      </w:pPr>
    </w:p>
    <w:p w:rsidR="009571FA" w:rsidRPr="00E7310E" w:rsidRDefault="009571FA" w:rsidP="00E7310E">
      <w:pPr>
        <w:rPr>
          <w:bCs/>
          <w:sz w:val="22"/>
        </w:rPr>
      </w:pPr>
      <w:r w:rsidRPr="00E7310E">
        <w:rPr>
          <w:b/>
          <w:bCs/>
          <w:sz w:val="22"/>
        </w:rPr>
        <w:t>c.  Promotion and use of sex-disaggregated data</w:t>
      </w:r>
      <w:r w:rsidRPr="00E7310E">
        <w:rPr>
          <w:bCs/>
          <w:sz w:val="22"/>
        </w:rPr>
        <w:t xml:space="preserve"> (SDD): Neither CCS include</w:t>
      </w:r>
      <w:r>
        <w:rPr>
          <w:bCs/>
          <w:sz w:val="22"/>
        </w:rPr>
        <w:t>d</w:t>
      </w:r>
      <w:r w:rsidRPr="00E7310E">
        <w:rPr>
          <w:bCs/>
          <w:sz w:val="22"/>
        </w:rPr>
        <w:t xml:space="preserve"> explicit recommendations or comments regarding the use of SDD. The </w:t>
      </w:r>
      <w:r>
        <w:rPr>
          <w:bCs/>
          <w:sz w:val="22"/>
        </w:rPr>
        <w:t xml:space="preserve">Honduras CCS </w:t>
      </w:r>
      <w:r w:rsidR="006F643D" w:rsidRPr="00E7310E">
        <w:rPr>
          <w:bCs/>
          <w:sz w:val="22"/>
        </w:rPr>
        <w:t>refer</w:t>
      </w:r>
      <w:r w:rsidR="006F643D">
        <w:rPr>
          <w:bCs/>
          <w:sz w:val="22"/>
        </w:rPr>
        <w:t>red</w:t>
      </w:r>
      <w:r w:rsidRPr="00E7310E">
        <w:rPr>
          <w:bCs/>
          <w:sz w:val="22"/>
        </w:rPr>
        <w:t xml:space="preserve"> </w:t>
      </w:r>
      <w:r>
        <w:rPr>
          <w:bCs/>
          <w:sz w:val="22"/>
        </w:rPr>
        <w:t xml:space="preserve">only implicitly </w:t>
      </w:r>
      <w:r w:rsidRPr="00E7310E">
        <w:rPr>
          <w:bCs/>
          <w:sz w:val="22"/>
        </w:rPr>
        <w:t xml:space="preserve">to </w:t>
      </w:r>
      <w:r>
        <w:rPr>
          <w:bCs/>
          <w:sz w:val="22"/>
        </w:rPr>
        <w:t>SDD</w:t>
      </w:r>
      <w:r w:rsidRPr="00E7310E">
        <w:rPr>
          <w:bCs/>
          <w:sz w:val="22"/>
        </w:rPr>
        <w:t xml:space="preserve"> by </w:t>
      </w:r>
      <w:r w:rsidR="009F6C75">
        <w:rPr>
          <w:bCs/>
          <w:sz w:val="22"/>
        </w:rPr>
        <w:t xml:space="preserve">designating </w:t>
      </w:r>
      <w:r w:rsidR="009F6C75" w:rsidRPr="00E7310E">
        <w:rPr>
          <w:bCs/>
          <w:sz w:val="22"/>
        </w:rPr>
        <w:t>the application of the gender appro</w:t>
      </w:r>
      <w:r w:rsidR="009F6C75">
        <w:rPr>
          <w:bCs/>
          <w:sz w:val="22"/>
        </w:rPr>
        <w:t>ach to epidemiological analysis</w:t>
      </w:r>
      <w:r w:rsidRPr="00E7310E">
        <w:rPr>
          <w:bCs/>
          <w:sz w:val="22"/>
        </w:rPr>
        <w:t xml:space="preserve"> as one of its technical cooperation priorities</w:t>
      </w:r>
      <w:r w:rsidR="006F643D">
        <w:rPr>
          <w:bCs/>
          <w:sz w:val="22"/>
        </w:rPr>
        <w:t>.</w:t>
      </w:r>
      <w:r w:rsidRPr="00E7310E">
        <w:rPr>
          <w:bCs/>
          <w:sz w:val="22"/>
        </w:rPr>
        <w:t xml:space="preserve"> The </w:t>
      </w:r>
      <w:r w:rsidRPr="00D24B40">
        <w:rPr>
          <w:b/>
          <w:bCs/>
          <w:sz w:val="22"/>
        </w:rPr>
        <w:t>use of SDD</w:t>
      </w:r>
      <w:r w:rsidRPr="00E7310E">
        <w:rPr>
          <w:bCs/>
          <w:sz w:val="22"/>
        </w:rPr>
        <w:t xml:space="preserve"> was rather sparse in the two CCS reports, particularly in Honduras. Both countries used SDD it in the demographic context and in relation to violence. Additional </w:t>
      </w:r>
      <w:r w:rsidR="009F6C75">
        <w:rPr>
          <w:bCs/>
          <w:sz w:val="22"/>
        </w:rPr>
        <w:t xml:space="preserve">SDD </w:t>
      </w:r>
      <w:r>
        <w:rPr>
          <w:bCs/>
          <w:sz w:val="22"/>
        </w:rPr>
        <w:t xml:space="preserve">use </w:t>
      </w:r>
      <w:r w:rsidRPr="00E7310E">
        <w:rPr>
          <w:bCs/>
          <w:sz w:val="22"/>
        </w:rPr>
        <w:t>appear</w:t>
      </w:r>
      <w:r>
        <w:rPr>
          <w:bCs/>
          <w:sz w:val="22"/>
        </w:rPr>
        <w:t>ed</w:t>
      </w:r>
      <w:r w:rsidRPr="00E7310E">
        <w:rPr>
          <w:bCs/>
          <w:sz w:val="22"/>
        </w:rPr>
        <w:t xml:space="preserve"> in the Trinidad and Tobago’s epidemiological profile, and in the Honduras’ description of PAHO’s Human Resources</w:t>
      </w:r>
      <w:r>
        <w:rPr>
          <w:bCs/>
          <w:sz w:val="22"/>
        </w:rPr>
        <w:t>.</w:t>
      </w:r>
      <w:r w:rsidRPr="00E7310E">
        <w:rPr>
          <w:bCs/>
          <w:sz w:val="22"/>
        </w:rPr>
        <w:t xml:space="preserve"> </w:t>
      </w:r>
    </w:p>
    <w:p w:rsidR="009571FA" w:rsidRPr="00E7310E" w:rsidRDefault="009571FA" w:rsidP="00AB0DC6">
      <w:pPr>
        <w:pStyle w:val="ListParagraph"/>
        <w:ind w:left="0"/>
        <w:rPr>
          <w:bCs/>
          <w:sz w:val="22"/>
        </w:rPr>
      </w:pPr>
    </w:p>
    <w:p w:rsidR="009571FA" w:rsidRPr="00E7310E" w:rsidRDefault="009571FA" w:rsidP="00E7310E">
      <w:pPr>
        <w:rPr>
          <w:bCs/>
          <w:sz w:val="22"/>
        </w:rPr>
      </w:pPr>
      <w:r w:rsidRPr="00E7310E">
        <w:rPr>
          <w:b/>
          <w:bCs/>
          <w:sz w:val="22"/>
        </w:rPr>
        <w:t>d.  Gender analysis</w:t>
      </w:r>
      <w:r w:rsidRPr="00E7310E">
        <w:rPr>
          <w:bCs/>
          <w:sz w:val="22"/>
        </w:rPr>
        <w:t xml:space="preserve">: Neither country showed strength in analyzing or interpreting differences between women and men in terms of determinants or outcomes </w:t>
      </w:r>
      <w:r w:rsidRPr="00E7310E">
        <w:rPr>
          <w:b/>
          <w:bCs/>
          <w:sz w:val="22"/>
        </w:rPr>
        <w:t>in relation to health.</w:t>
      </w:r>
      <w:r w:rsidRPr="00E7310E">
        <w:rPr>
          <w:bCs/>
          <w:sz w:val="22"/>
        </w:rPr>
        <w:t xml:space="preserve"> This type of analysis </w:t>
      </w:r>
      <w:r>
        <w:rPr>
          <w:bCs/>
          <w:sz w:val="22"/>
        </w:rPr>
        <w:t>was</w:t>
      </w:r>
      <w:r w:rsidRPr="00E7310E">
        <w:rPr>
          <w:bCs/>
          <w:sz w:val="22"/>
        </w:rPr>
        <w:t xml:space="preserve"> almost absent in the Honduras CCS, despite </w:t>
      </w:r>
      <w:r>
        <w:rPr>
          <w:bCs/>
          <w:sz w:val="22"/>
        </w:rPr>
        <w:t>the</w:t>
      </w:r>
      <w:r w:rsidRPr="00E7310E">
        <w:rPr>
          <w:bCs/>
          <w:sz w:val="22"/>
        </w:rPr>
        <w:t xml:space="preserve"> acknowledgement </w:t>
      </w:r>
      <w:r>
        <w:rPr>
          <w:bCs/>
          <w:sz w:val="22"/>
        </w:rPr>
        <w:t xml:space="preserve">made </w:t>
      </w:r>
      <w:r w:rsidRPr="00E7310E">
        <w:rPr>
          <w:bCs/>
          <w:sz w:val="22"/>
        </w:rPr>
        <w:t xml:space="preserve">of the existence and magnitude of gender-based violence. </w:t>
      </w:r>
      <w:r>
        <w:rPr>
          <w:bCs/>
          <w:sz w:val="22"/>
        </w:rPr>
        <w:t xml:space="preserve">The </w:t>
      </w:r>
      <w:r w:rsidRPr="00E7310E">
        <w:rPr>
          <w:bCs/>
          <w:sz w:val="22"/>
        </w:rPr>
        <w:t xml:space="preserve">Trinidad and Tobago CCS </w:t>
      </w:r>
      <w:r>
        <w:rPr>
          <w:bCs/>
          <w:sz w:val="22"/>
        </w:rPr>
        <w:t xml:space="preserve">did contain </w:t>
      </w:r>
      <w:r w:rsidRPr="00E7310E">
        <w:rPr>
          <w:bCs/>
          <w:sz w:val="22"/>
        </w:rPr>
        <w:t xml:space="preserve">short analytical comments regarding two issues: women’s </w:t>
      </w:r>
      <w:r>
        <w:rPr>
          <w:bCs/>
          <w:sz w:val="22"/>
        </w:rPr>
        <w:t xml:space="preserve">lower </w:t>
      </w:r>
      <w:r w:rsidRPr="00E7310E">
        <w:rPr>
          <w:bCs/>
          <w:sz w:val="22"/>
        </w:rPr>
        <w:t>remuneration level r</w:t>
      </w:r>
      <w:r>
        <w:rPr>
          <w:bCs/>
          <w:sz w:val="22"/>
        </w:rPr>
        <w:t xml:space="preserve">elative to men’s, </w:t>
      </w:r>
      <w:r w:rsidRPr="00E7310E">
        <w:rPr>
          <w:bCs/>
          <w:sz w:val="22"/>
        </w:rPr>
        <w:t>domestic violence’s disproportionate mortality impact on women</w:t>
      </w:r>
      <w:r>
        <w:rPr>
          <w:bCs/>
          <w:sz w:val="22"/>
        </w:rPr>
        <w:t>.</w:t>
      </w:r>
      <w:r w:rsidRPr="00E7310E">
        <w:rPr>
          <w:bCs/>
          <w:sz w:val="22"/>
        </w:rPr>
        <w:t xml:space="preserve"> </w:t>
      </w:r>
    </w:p>
    <w:p w:rsidR="009571FA" w:rsidRDefault="009571FA" w:rsidP="00AB0DC6">
      <w:pPr>
        <w:pStyle w:val="ListParagraph"/>
        <w:ind w:left="360"/>
        <w:rPr>
          <w:bCs/>
        </w:rPr>
      </w:pPr>
    </w:p>
    <w:p w:rsidR="009571FA" w:rsidRPr="00DD09B5" w:rsidRDefault="009571FA" w:rsidP="00DD09B5">
      <w:pPr>
        <w:rPr>
          <w:sz w:val="22"/>
          <w:szCs w:val="22"/>
          <w:lang w:val="en-US"/>
        </w:rPr>
      </w:pPr>
      <w:r w:rsidRPr="00DD09B5">
        <w:rPr>
          <w:b/>
          <w:bCs/>
          <w:sz w:val="22"/>
          <w:szCs w:val="22"/>
        </w:rPr>
        <w:t>e.  Promotion of actions to address gender themes</w:t>
      </w:r>
      <w:r w:rsidRPr="00DD09B5">
        <w:rPr>
          <w:bCs/>
          <w:sz w:val="22"/>
          <w:szCs w:val="22"/>
        </w:rPr>
        <w:t>: Both CCSs specify and promote related actions. I</w:t>
      </w:r>
      <w:r w:rsidRPr="00DD09B5">
        <w:rPr>
          <w:bCs/>
          <w:sz w:val="22"/>
          <w:szCs w:val="22"/>
          <w:lang w:val="en-US"/>
        </w:rPr>
        <w:t xml:space="preserve">n the case of </w:t>
      </w:r>
      <w:r w:rsidRPr="00DD09B5">
        <w:rPr>
          <w:b/>
          <w:bCs/>
          <w:sz w:val="22"/>
          <w:szCs w:val="22"/>
          <w:lang w:val="en-US"/>
        </w:rPr>
        <w:t>Honduras</w:t>
      </w:r>
      <w:r w:rsidRPr="00DD09B5">
        <w:rPr>
          <w:b/>
          <w:bCs/>
          <w:i/>
          <w:sz w:val="22"/>
          <w:szCs w:val="22"/>
          <w:lang w:val="en-US"/>
        </w:rPr>
        <w:t>,</w:t>
      </w:r>
      <w:r w:rsidRPr="00DD09B5">
        <w:rPr>
          <w:sz w:val="22"/>
          <w:szCs w:val="22"/>
          <w:lang w:val="en-US"/>
        </w:rPr>
        <w:t xml:space="preserve"> gender-specific actions are explicit components of the Strategic Cooperation Agenda within the </w:t>
      </w:r>
      <w:r w:rsidRPr="00DD09B5">
        <w:rPr>
          <w:rFonts w:cs="Arial"/>
          <w:bCs/>
          <w:sz w:val="22"/>
          <w:szCs w:val="22"/>
          <w:lang w:val="en-US"/>
        </w:rPr>
        <w:t xml:space="preserve">broader objective of addressing </w:t>
      </w:r>
      <w:r w:rsidRPr="00DD09B5">
        <w:rPr>
          <w:i/>
          <w:sz w:val="22"/>
          <w:szCs w:val="22"/>
          <w:lang w:val="en-US"/>
        </w:rPr>
        <w:t xml:space="preserve">the social and environmental determinants of health within the framework of health promotion and intra/inter sector coordination. These specific actions deal with (i) </w:t>
      </w:r>
      <w:r w:rsidRPr="00DD09B5">
        <w:rPr>
          <w:rFonts w:cs="Arial"/>
          <w:bCs/>
          <w:sz w:val="22"/>
          <w:szCs w:val="22"/>
          <w:lang w:val="en-US"/>
        </w:rPr>
        <w:t xml:space="preserve">ensuring the gender approach in health policies and programs by “ strengthening the staff’s capacities to develop the gender equity component in policies,  programs, and the National Health Plan, and by establishing coordination with other sectors and civil society”. (ii) </w:t>
      </w:r>
      <w:r w:rsidR="006F643D" w:rsidRPr="00DD09B5">
        <w:rPr>
          <w:sz w:val="22"/>
          <w:szCs w:val="22"/>
          <w:lang w:val="en-US"/>
        </w:rPr>
        <w:t>Guaranteeing</w:t>
      </w:r>
      <w:r w:rsidRPr="00DD09B5">
        <w:rPr>
          <w:sz w:val="22"/>
          <w:szCs w:val="22"/>
          <w:lang w:val="en-US"/>
        </w:rPr>
        <w:t xml:space="preserve"> the sustained participation of skilled staff in the process of addressing gender and gender-based violence themes.  </w:t>
      </w:r>
    </w:p>
    <w:p w:rsidR="009571FA" w:rsidRPr="00DD09B5" w:rsidRDefault="009571FA" w:rsidP="00AB0DC6">
      <w:pPr>
        <w:autoSpaceDE w:val="0"/>
        <w:autoSpaceDN w:val="0"/>
        <w:adjustRightInd w:val="0"/>
        <w:rPr>
          <w:i/>
          <w:sz w:val="22"/>
          <w:szCs w:val="22"/>
          <w:lang w:val="en-US"/>
        </w:rPr>
      </w:pPr>
      <w:r w:rsidRPr="00DD09B5">
        <w:rPr>
          <w:i/>
          <w:sz w:val="22"/>
          <w:szCs w:val="22"/>
          <w:lang w:val="en-US"/>
        </w:rPr>
        <w:t xml:space="preserve">(iii) </w:t>
      </w:r>
      <w:r w:rsidRPr="00DD09B5">
        <w:rPr>
          <w:sz w:val="22"/>
          <w:szCs w:val="22"/>
          <w:lang w:val="en-US"/>
        </w:rPr>
        <w:t>setting-up a Health Services Information System that incorporates intra-family violence.</w:t>
      </w:r>
    </w:p>
    <w:p w:rsidR="009571FA" w:rsidRPr="00DD09B5" w:rsidRDefault="009571FA" w:rsidP="00CB3BB1">
      <w:pPr>
        <w:autoSpaceDE w:val="0"/>
        <w:autoSpaceDN w:val="0"/>
        <w:adjustRightInd w:val="0"/>
        <w:rPr>
          <w:bCs/>
          <w:sz w:val="22"/>
          <w:szCs w:val="22"/>
        </w:rPr>
      </w:pPr>
      <w:r w:rsidRPr="00DD09B5">
        <w:rPr>
          <w:bCs/>
          <w:sz w:val="22"/>
          <w:szCs w:val="22"/>
        </w:rPr>
        <w:t xml:space="preserve">In </w:t>
      </w:r>
      <w:r w:rsidRPr="00DD09B5">
        <w:rPr>
          <w:b/>
          <w:bCs/>
          <w:sz w:val="22"/>
          <w:szCs w:val="22"/>
        </w:rPr>
        <w:t>Trinidad and Tobago,</w:t>
      </w:r>
      <w:r w:rsidRPr="00DD09B5">
        <w:rPr>
          <w:bCs/>
          <w:sz w:val="22"/>
          <w:szCs w:val="22"/>
        </w:rPr>
        <w:t xml:space="preserve"> gender-related actions are stated in a less explicit language, but they do aim at highly relevant gender issues within the Strategic Agenda. They refer to “Strengthening sexual and reproductive health (S&amp;RH) programmes that address teenage pregnancy, domestic violence, STIs, and reproductive organ cancer in both sexes, focusing on the implementation of the S&amp;RH Strategic Plan with Regional Health Authorities”, and with the collaboration of the Women’s Network. </w:t>
      </w:r>
    </w:p>
    <w:p w:rsidR="009571FA" w:rsidRPr="00DD09B5" w:rsidRDefault="009571FA" w:rsidP="00AB0DC6">
      <w:pPr>
        <w:pStyle w:val="ListParagraph"/>
        <w:ind w:left="360"/>
        <w:rPr>
          <w:bCs/>
          <w:sz w:val="22"/>
          <w:szCs w:val="22"/>
        </w:rPr>
      </w:pPr>
    </w:p>
    <w:p w:rsidR="009571FA" w:rsidRPr="00037D00" w:rsidRDefault="009571FA" w:rsidP="003E3C4D">
      <w:pPr>
        <w:rPr>
          <w:b/>
          <w:bCs/>
          <w:sz w:val="24"/>
        </w:rPr>
      </w:pPr>
      <w:r>
        <w:rPr>
          <w:b/>
          <w:bCs/>
          <w:sz w:val="24"/>
        </w:rPr>
        <w:t>2.</w:t>
      </w:r>
      <w:r w:rsidRPr="00037D00">
        <w:rPr>
          <w:b/>
          <w:bCs/>
          <w:sz w:val="24"/>
        </w:rPr>
        <w:t xml:space="preserve"> Country Work Plans</w:t>
      </w:r>
    </w:p>
    <w:p w:rsidR="009571FA" w:rsidRPr="008B6D20" w:rsidRDefault="009571FA" w:rsidP="00AB0DC6">
      <w:pPr>
        <w:rPr>
          <w:b/>
          <w:bCs/>
          <w:sz w:val="12"/>
        </w:rPr>
      </w:pPr>
    </w:p>
    <w:p w:rsidR="009571FA" w:rsidRDefault="009571FA" w:rsidP="00AB0DC6">
      <w:pPr>
        <w:rPr>
          <w:bCs/>
          <w:sz w:val="22"/>
        </w:rPr>
      </w:pPr>
      <w:r w:rsidRPr="00DD09B5">
        <w:rPr>
          <w:bCs/>
          <w:sz w:val="22"/>
          <w:szCs w:val="22"/>
        </w:rPr>
        <w:t>In comparison with the CCS</w:t>
      </w:r>
      <w:r>
        <w:rPr>
          <w:bCs/>
          <w:sz w:val="22"/>
          <w:szCs w:val="22"/>
        </w:rPr>
        <w:t>s</w:t>
      </w:r>
      <w:r w:rsidRPr="00DD09B5">
        <w:rPr>
          <w:bCs/>
          <w:sz w:val="22"/>
          <w:szCs w:val="22"/>
        </w:rPr>
        <w:t xml:space="preserve">, </w:t>
      </w:r>
      <w:r>
        <w:rPr>
          <w:bCs/>
          <w:sz w:val="22"/>
          <w:szCs w:val="22"/>
        </w:rPr>
        <w:t>the treatment of g</w:t>
      </w:r>
      <w:r w:rsidRPr="00DD09B5">
        <w:rPr>
          <w:bCs/>
          <w:sz w:val="22"/>
          <w:szCs w:val="22"/>
        </w:rPr>
        <w:t xml:space="preserve">ender </w:t>
      </w:r>
      <w:r w:rsidR="00A45269">
        <w:rPr>
          <w:bCs/>
          <w:sz w:val="22"/>
          <w:szCs w:val="22"/>
        </w:rPr>
        <w:t xml:space="preserve">in the country biennial work plans </w:t>
      </w:r>
      <w:r>
        <w:rPr>
          <w:bCs/>
          <w:sz w:val="22"/>
          <w:szCs w:val="22"/>
        </w:rPr>
        <w:t>was</w:t>
      </w:r>
      <w:r w:rsidRPr="00DD09B5">
        <w:rPr>
          <w:bCs/>
          <w:sz w:val="22"/>
          <w:szCs w:val="22"/>
        </w:rPr>
        <w:t xml:space="preserve"> </w:t>
      </w:r>
      <w:r>
        <w:rPr>
          <w:bCs/>
          <w:sz w:val="22"/>
          <w:szCs w:val="22"/>
        </w:rPr>
        <w:t xml:space="preserve">less crosscutting, more </w:t>
      </w:r>
      <w:r w:rsidR="009F6C75">
        <w:rPr>
          <w:bCs/>
          <w:sz w:val="22"/>
          <w:szCs w:val="22"/>
        </w:rPr>
        <w:t xml:space="preserve">restricted and </w:t>
      </w:r>
      <w:r>
        <w:rPr>
          <w:bCs/>
          <w:sz w:val="22"/>
          <w:szCs w:val="22"/>
        </w:rPr>
        <w:t>branded. There were also important qualitative differences between the two countries in the way</w:t>
      </w:r>
      <w:r w:rsidR="009F6C75">
        <w:rPr>
          <w:bCs/>
          <w:sz w:val="22"/>
          <w:szCs w:val="22"/>
        </w:rPr>
        <w:t>s</w:t>
      </w:r>
      <w:r>
        <w:rPr>
          <w:bCs/>
          <w:sz w:val="22"/>
          <w:szCs w:val="22"/>
        </w:rPr>
        <w:t xml:space="preserve"> gender was integrated</w:t>
      </w:r>
      <w:r w:rsidR="00A45269">
        <w:rPr>
          <w:bCs/>
          <w:sz w:val="22"/>
          <w:szCs w:val="22"/>
        </w:rPr>
        <w:t>.</w:t>
      </w:r>
    </w:p>
    <w:p w:rsidR="009571FA" w:rsidRPr="008E5687" w:rsidRDefault="009571FA" w:rsidP="00AB0DC6">
      <w:pPr>
        <w:rPr>
          <w:bCs/>
          <w:sz w:val="18"/>
          <w:szCs w:val="22"/>
        </w:rPr>
      </w:pPr>
    </w:p>
    <w:p w:rsidR="009571FA" w:rsidRPr="00DD09B5" w:rsidRDefault="00CA2F2A" w:rsidP="00490494">
      <w:pPr>
        <w:rPr>
          <w:bCs/>
          <w:sz w:val="22"/>
          <w:szCs w:val="22"/>
        </w:rPr>
      </w:pPr>
      <w:r>
        <w:rPr>
          <w:b/>
          <w:bCs/>
          <w:sz w:val="22"/>
          <w:szCs w:val="22"/>
        </w:rPr>
        <w:t xml:space="preserve">    </w:t>
      </w:r>
      <w:r w:rsidR="009571FA" w:rsidRPr="008E5687">
        <w:rPr>
          <w:b/>
          <w:bCs/>
          <w:sz w:val="22"/>
          <w:szCs w:val="22"/>
        </w:rPr>
        <w:t>a)</w:t>
      </w:r>
      <w:r w:rsidR="009571FA">
        <w:rPr>
          <w:bCs/>
          <w:sz w:val="22"/>
          <w:szCs w:val="22"/>
        </w:rPr>
        <w:t xml:space="preserve">  </w:t>
      </w:r>
      <w:r w:rsidR="009571FA" w:rsidRPr="00DD09B5">
        <w:rPr>
          <w:bCs/>
          <w:sz w:val="22"/>
          <w:szCs w:val="22"/>
        </w:rPr>
        <w:t xml:space="preserve">Gender issues </w:t>
      </w:r>
      <w:r w:rsidR="00A45269">
        <w:rPr>
          <w:bCs/>
          <w:sz w:val="22"/>
          <w:szCs w:val="22"/>
        </w:rPr>
        <w:t xml:space="preserve">were not considered </w:t>
      </w:r>
      <w:r w:rsidR="009571FA">
        <w:rPr>
          <w:bCs/>
          <w:sz w:val="22"/>
          <w:szCs w:val="22"/>
        </w:rPr>
        <w:t>in</w:t>
      </w:r>
      <w:r w:rsidR="009571FA" w:rsidRPr="00DD09B5">
        <w:rPr>
          <w:bCs/>
          <w:sz w:val="22"/>
          <w:szCs w:val="22"/>
        </w:rPr>
        <w:t xml:space="preserve"> the </w:t>
      </w:r>
      <w:r w:rsidR="009571FA" w:rsidRPr="00DD09B5">
        <w:rPr>
          <w:b/>
          <w:bCs/>
          <w:sz w:val="22"/>
          <w:szCs w:val="22"/>
        </w:rPr>
        <w:t>situation analysis</w:t>
      </w:r>
      <w:r w:rsidR="009571FA" w:rsidRPr="00DD09B5">
        <w:rPr>
          <w:bCs/>
          <w:sz w:val="22"/>
          <w:szCs w:val="22"/>
        </w:rPr>
        <w:t xml:space="preserve"> </w:t>
      </w:r>
      <w:r w:rsidR="009571FA">
        <w:rPr>
          <w:bCs/>
          <w:sz w:val="22"/>
          <w:szCs w:val="22"/>
        </w:rPr>
        <w:t>that supported</w:t>
      </w:r>
      <w:r w:rsidR="009571FA" w:rsidRPr="00DD09B5">
        <w:rPr>
          <w:bCs/>
          <w:sz w:val="22"/>
          <w:szCs w:val="22"/>
        </w:rPr>
        <w:t xml:space="preserve"> the </w:t>
      </w:r>
      <w:r w:rsidR="009571FA">
        <w:rPr>
          <w:bCs/>
          <w:sz w:val="22"/>
          <w:szCs w:val="22"/>
        </w:rPr>
        <w:t xml:space="preserve">work </w:t>
      </w:r>
      <w:r w:rsidR="009571FA" w:rsidRPr="00DD09B5">
        <w:rPr>
          <w:bCs/>
          <w:sz w:val="22"/>
          <w:szCs w:val="22"/>
        </w:rPr>
        <w:t>plan in Honduras. They did surface in Trinidad &amp; Tobago’s situation analysis but only through references to women being more affected by poverty and discrimination</w:t>
      </w:r>
      <w:r w:rsidR="009571FA">
        <w:rPr>
          <w:bCs/>
          <w:sz w:val="22"/>
          <w:szCs w:val="22"/>
        </w:rPr>
        <w:t xml:space="preserve">, but without any further elaboration on the connection between these differentials and health. </w:t>
      </w:r>
      <w:r w:rsidR="009571FA" w:rsidRPr="00DD09B5">
        <w:rPr>
          <w:bCs/>
          <w:sz w:val="22"/>
          <w:szCs w:val="22"/>
        </w:rPr>
        <w:t xml:space="preserve">Honduras did not use any sex-disaggregated </w:t>
      </w:r>
      <w:r w:rsidR="009571FA" w:rsidRPr="00DD09B5">
        <w:rPr>
          <w:b/>
          <w:bCs/>
          <w:sz w:val="22"/>
          <w:szCs w:val="22"/>
        </w:rPr>
        <w:t>health data</w:t>
      </w:r>
      <w:r w:rsidR="009571FA" w:rsidRPr="00DD09B5">
        <w:rPr>
          <w:bCs/>
          <w:sz w:val="22"/>
          <w:szCs w:val="22"/>
        </w:rPr>
        <w:t xml:space="preserve"> in th</w:t>
      </w:r>
      <w:r w:rsidR="009571FA">
        <w:rPr>
          <w:bCs/>
          <w:sz w:val="22"/>
          <w:szCs w:val="22"/>
        </w:rPr>
        <w:t>e</w:t>
      </w:r>
      <w:r w:rsidR="009571FA" w:rsidRPr="00DD09B5">
        <w:rPr>
          <w:bCs/>
          <w:sz w:val="22"/>
          <w:szCs w:val="22"/>
        </w:rPr>
        <w:t xml:space="preserve"> analysis, aside from </w:t>
      </w:r>
      <w:r w:rsidR="009571FA">
        <w:rPr>
          <w:bCs/>
          <w:sz w:val="22"/>
          <w:szCs w:val="22"/>
        </w:rPr>
        <w:t>the women-</w:t>
      </w:r>
      <w:r w:rsidR="009571FA" w:rsidRPr="00DD09B5">
        <w:rPr>
          <w:bCs/>
          <w:sz w:val="22"/>
          <w:szCs w:val="22"/>
        </w:rPr>
        <w:t xml:space="preserve">exclusive data on reproductive health. </w:t>
      </w:r>
      <w:r w:rsidR="00C028D4">
        <w:rPr>
          <w:bCs/>
          <w:sz w:val="22"/>
          <w:szCs w:val="22"/>
        </w:rPr>
        <w:t xml:space="preserve">However, </w:t>
      </w:r>
      <w:r w:rsidR="00C028D4" w:rsidRPr="00DD09B5">
        <w:rPr>
          <w:bCs/>
          <w:sz w:val="22"/>
          <w:szCs w:val="22"/>
        </w:rPr>
        <w:t xml:space="preserve">Gender Mainstreaming </w:t>
      </w:r>
      <w:r w:rsidR="009571FA" w:rsidRPr="00DD09B5">
        <w:rPr>
          <w:bCs/>
          <w:sz w:val="22"/>
          <w:szCs w:val="22"/>
        </w:rPr>
        <w:t xml:space="preserve">became a separately funded </w:t>
      </w:r>
      <w:r w:rsidR="00C028D4">
        <w:rPr>
          <w:bCs/>
          <w:sz w:val="22"/>
          <w:szCs w:val="22"/>
        </w:rPr>
        <w:t>Office Specific Expected Result (</w:t>
      </w:r>
      <w:r w:rsidR="009571FA">
        <w:rPr>
          <w:bCs/>
          <w:sz w:val="22"/>
          <w:szCs w:val="22"/>
        </w:rPr>
        <w:t>OSER</w:t>
      </w:r>
      <w:r w:rsidR="00C028D4">
        <w:rPr>
          <w:bCs/>
          <w:sz w:val="22"/>
          <w:szCs w:val="22"/>
        </w:rPr>
        <w:t>)</w:t>
      </w:r>
      <w:r>
        <w:rPr>
          <w:bCs/>
          <w:sz w:val="22"/>
          <w:szCs w:val="22"/>
        </w:rPr>
        <w:t xml:space="preserve"> in its </w:t>
      </w:r>
      <w:r w:rsidR="009571FA" w:rsidRPr="00DD09B5">
        <w:rPr>
          <w:bCs/>
          <w:sz w:val="22"/>
          <w:szCs w:val="22"/>
        </w:rPr>
        <w:t xml:space="preserve">work plan. </w:t>
      </w:r>
    </w:p>
    <w:p w:rsidR="00CA2F2A" w:rsidRPr="00CA2F2A" w:rsidRDefault="00CA2F2A" w:rsidP="00CA2F2A">
      <w:pPr>
        <w:rPr>
          <w:bCs/>
          <w:sz w:val="16"/>
          <w:szCs w:val="22"/>
        </w:rPr>
      </w:pPr>
    </w:p>
    <w:p w:rsidR="00CA2F2A" w:rsidRDefault="00CA2F2A" w:rsidP="003B1942">
      <w:pPr>
        <w:rPr>
          <w:b/>
          <w:bCs/>
          <w:sz w:val="22"/>
          <w:szCs w:val="22"/>
        </w:rPr>
      </w:pPr>
      <w:r>
        <w:rPr>
          <w:b/>
          <w:bCs/>
          <w:sz w:val="22"/>
          <w:szCs w:val="22"/>
        </w:rPr>
        <w:t xml:space="preserve">    </w:t>
      </w:r>
      <w:r w:rsidRPr="00CA2F2A">
        <w:rPr>
          <w:b/>
          <w:bCs/>
          <w:sz w:val="22"/>
          <w:szCs w:val="22"/>
        </w:rPr>
        <w:t>b</w:t>
      </w:r>
      <w:r>
        <w:rPr>
          <w:bCs/>
          <w:sz w:val="22"/>
          <w:szCs w:val="22"/>
        </w:rPr>
        <w:t>) B</w:t>
      </w:r>
      <w:r w:rsidRPr="004D0BC4">
        <w:rPr>
          <w:bCs/>
          <w:sz w:val="22"/>
          <w:szCs w:val="22"/>
        </w:rPr>
        <w:t>oth</w:t>
      </w:r>
      <w:r w:rsidRPr="003B1942">
        <w:rPr>
          <w:bCs/>
          <w:sz w:val="22"/>
          <w:szCs w:val="22"/>
        </w:rPr>
        <w:t xml:space="preserve"> plans had activities and tasks involving collection, promotion and use of </w:t>
      </w:r>
      <w:r>
        <w:rPr>
          <w:bCs/>
          <w:sz w:val="22"/>
          <w:szCs w:val="22"/>
        </w:rPr>
        <w:t>SDD</w:t>
      </w:r>
      <w:r w:rsidRPr="003B1942">
        <w:rPr>
          <w:b/>
          <w:bCs/>
          <w:sz w:val="22"/>
          <w:szCs w:val="22"/>
        </w:rPr>
        <w:t>.</w:t>
      </w:r>
      <w:r>
        <w:rPr>
          <w:b/>
          <w:bCs/>
          <w:sz w:val="22"/>
          <w:szCs w:val="22"/>
        </w:rPr>
        <w:t xml:space="preserve"> </w:t>
      </w:r>
    </w:p>
    <w:p w:rsidR="00CA2F2A" w:rsidRPr="00CA2F2A" w:rsidRDefault="00CA2F2A" w:rsidP="003B1942">
      <w:pPr>
        <w:rPr>
          <w:b/>
          <w:bCs/>
          <w:sz w:val="12"/>
          <w:szCs w:val="22"/>
        </w:rPr>
      </w:pPr>
    </w:p>
    <w:p w:rsidR="00CA2F2A" w:rsidRPr="00CA2F2A" w:rsidRDefault="00CA2F2A" w:rsidP="003B1942">
      <w:pPr>
        <w:rPr>
          <w:b/>
          <w:bCs/>
          <w:sz w:val="22"/>
          <w:szCs w:val="22"/>
        </w:rPr>
      </w:pPr>
      <w:r>
        <w:rPr>
          <w:b/>
          <w:bCs/>
          <w:sz w:val="22"/>
          <w:szCs w:val="22"/>
        </w:rPr>
        <w:t xml:space="preserve">    c</w:t>
      </w:r>
      <w:r w:rsidR="009571FA" w:rsidRPr="008E5687">
        <w:rPr>
          <w:b/>
          <w:bCs/>
          <w:sz w:val="22"/>
          <w:szCs w:val="22"/>
        </w:rPr>
        <w:t>)</w:t>
      </w:r>
      <w:r w:rsidR="009571FA">
        <w:rPr>
          <w:bCs/>
          <w:sz w:val="22"/>
          <w:szCs w:val="22"/>
        </w:rPr>
        <w:t xml:space="preserve">  </w:t>
      </w:r>
      <w:r>
        <w:rPr>
          <w:bCs/>
          <w:sz w:val="22"/>
          <w:szCs w:val="22"/>
        </w:rPr>
        <w:t xml:space="preserve">Both </w:t>
      </w:r>
      <w:r w:rsidR="009571FA" w:rsidRPr="00DD09B5">
        <w:rPr>
          <w:bCs/>
          <w:sz w:val="22"/>
          <w:szCs w:val="22"/>
        </w:rPr>
        <w:t>plan</w:t>
      </w:r>
      <w:r>
        <w:rPr>
          <w:bCs/>
          <w:sz w:val="22"/>
          <w:szCs w:val="22"/>
        </w:rPr>
        <w:t>s</w:t>
      </w:r>
      <w:r w:rsidR="009571FA" w:rsidRPr="00DD09B5">
        <w:rPr>
          <w:bCs/>
          <w:sz w:val="22"/>
          <w:szCs w:val="22"/>
        </w:rPr>
        <w:t xml:space="preserve"> specified activities or tasks involving </w:t>
      </w:r>
      <w:r w:rsidR="009571FA" w:rsidRPr="00DD09B5">
        <w:rPr>
          <w:b/>
          <w:bCs/>
          <w:sz w:val="22"/>
          <w:szCs w:val="22"/>
        </w:rPr>
        <w:t>collaboration with women’s groups</w:t>
      </w:r>
      <w:r w:rsidR="009571FA" w:rsidRPr="004D0BC4">
        <w:rPr>
          <w:bCs/>
          <w:sz w:val="22"/>
          <w:szCs w:val="22"/>
        </w:rPr>
        <w:t xml:space="preserve"> </w:t>
      </w:r>
    </w:p>
    <w:p w:rsidR="009571FA" w:rsidRPr="008E5687" w:rsidRDefault="009571FA" w:rsidP="003B1942">
      <w:pPr>
        <w:rPr>
          <w:bCs/>
          <w:sz w:val="14"/>
          <w:szCs w:val="22"/>
        </w:rPr>
      </w:pPr>
    </w:p>
    <w:p w:rsidR="009571FA" w:rsidRPr="00DD09B5" w:rsidRDefault="00CA2F2A" w:rsidP="00C513B3">
      <w:pPr>
        <w:rPr>
          <w:bCs/>
          <w:sz w:val="22"/>
          <w:szCs w:val="22"/>
        </w:rPr>
      </w:pPr>
      <w:r>
        <w:rPr>
          <w:b/>
          <w:bCs/>
          <w:sz w:val="22"/>
          <w:szCs w:val="22"/>
        </w:rPr>
        <w:t xml:space="preserve">    d</w:t>
      </w:r>
      <w:r w:rsidR="009571FA" w:rsidRPr="008E5687">
        <w:rPr>
          <w:b/>
          <w:bCs/>
          <w:sz w:val="22"/>
          <w:szCs w:val="22"/>
        </w:rPr>
        <w:t>)</w:t>
      </w:r>
      <w:r w:rsidR="009571FA">
        <w:rPr>
          <w:bCs/>
          <w:sz w:val="22"/>
          <w:szCs w:val="22"/>
        </w:rPr>
        <w:t xml:space="preserve">  </w:t>
      </w:r>
      <w:r w:rsidR="009571FA" w:rsidRPr="003B1942">
        <w:rPr>
          <w:bCs/>
          <w:sz w:val="22"/>
          <w:szCs w:val="22"/>
        </w:rPr>
        <w:t>OSER</w:t>
      </w:r>
      <w:r w:rsidR="009571FA">
        <w:rPr>
          <w:bCs/>
          <w:sz w:val="22"/>
          <w:szCs w:val="22"/>
        </w:rPr>
        <w:t xml:space="preserve"> indicators </w:t>
      </w:r>
      <w:r w:rsidR="009571FA" w:rsidRPr="003B1942">
        <w:rPr>
          <w:bCs/>
          <w:sz w:val="22"/>
          <w:szCs w:val="22"/>
        </w:rPr>
        <w:t>were not disaggregated</w:t>
      </w:r>
      <w:r w:rsidR="009571FA" w:rsidRPr="003B1942">
        <w:rPr>
          <w:b/>
          <w:bCs/>
          <w:sz w:val="22"/>
          <w:szCs w:val="22"/>
        </w:rPr>
        <w:t xml:space="preserve"> by sex </w:t>
      </w:r>
      <w:r w:rsidR="009571FA" w:rsidRPr="003B1942">
        <w:rPr>
          <w:bCs/>
          <w:sz w:val="22"/>
          <w:szCs w:val="22"/>
        </w:rPr>
        <w:t xml:space="preserve">in either country. </w:t>
      </w:r>
      <w:r w:rsidR="009571FA">
        <w:rPr>
          <w:bCs/>
          <w:sz w:val="22"/>
          <w:szCs w:val="22"/>
        </w:rPr>
        <w:t>However, t</w:t>
      </w:r>
      <w:r w:rsidR="009571FA" w:rsidRPr="003B1942">
        <w:rPr>
          <w:bCs/>
          <w:sz w:val="22"/>
          <w:szCs w:val="22"/>
        </w:rPr>
        <w:t>here were numerous gender-expl</w:t>
      </w:r>
      <w:r w:rsidR="009571FA">
        <w:rPr>
          <w:bCs/>
          <w:sz w:val="22"/>
          <w:szCs w:val="22"/>
        </w:rPr>
        <w:t xml:space="preserve">icit indicators of OSERs in the </w:t>
      </w:r>
      <w:r w:rsidR="009571FA" w:rsidRPr="003B1942">
        <w:rPr>
          <w:bCs/>
          <w:sz w:val="22"/>
          <w:szCs w:val="22"/>
        </w:rPr>
        <w:t xml:space="preserve">Honduras </w:t>
      </w:r>
      <w:r w:rsidR="009571FA">
        <w:rPr>
          <w:bCs/>
          <w:sz w:val="22"/>
          <w:szCs w:val="22"/>
        </w:rPr>
        <w:t xml:space="preserve">plan </w:t>
      </w:r>
      <w:r w:rsidR="009571FA" w:rsidRPr="003B1942">
        <w:rPr>
          <w:bCs/>
          <w:sz w:val="22"/>
          <w:szCs w:val="22"/>
        </w:rPr>
        <w:t>and a fe</w:t>
      </w:r>
      <w:r w:rsidR="009571FA">
        <w:rPr>
          <w:bCs/>
          <w:sz w:val="22"/>
          <w:szCs w:val="22"/>
        </w:rPr>
        <w:t>w gender-related actions in the</w:t>
      </w:r>
      <w:r w:rsidR="009571FA" w:rsidRPr="003B1942">
        <w:rPr>
          <w:bCs/>
          <w:sz w:val="22"/>
          <w:szCs w:val="22"/>
        </w:rPr>
        <w:t xml:space="preserve"> Trinidad &amp; Tobago</w:t>
      </w:r>
      <w:r w:rsidR="009571FA">
        <w:rPr>
          <w:bCs/>
          <w:sz w:val="22"/>
          <w:szCs w:val="22"/>
        </w:rPr>
        <w:t xml:space="preserve">’s. </w:t>
      </w:r>
      <w:r w:rsidR="009571FA" w:rsidRPr="00DD09B5">
        <w:rPr>
          <w:bCs/>
          <w:sz w:val="22"/>
          <w:szCs w:val="22"/>
        </w:rPr>
        <w:t xml:space="preserve">Both plans had </w:t>
      </w:r>
      <w:r w:rsidR="009571FA" w:rsidRPr="00DD09B5">
        <w:rPr>
          <w:b/>
          <w:bCs/>
          <w:sz w:val="22"/>
          <w:szCs w:val="22"/>
        </w:rPr>
        <w:t>at least one OSER or product or activity that specifically addressed gender</w:t>
      </w:r>
      <w:r w:rsidR="009571FA">
        <w:rPr>
          <w:b/>
          <w:bCs/>
          <w:sz w:val="22"/>
          <w:szCs w:val="22"/>
        </w:rPr>
        <w:t xml:space="preserve">, </w:t>
      </w:r>
      <w:r w:rsidR="009571FA" w:rsidRPr="004D0BC4">
        <w:rPr>
          <w:bCs/>
          <w:sz w:val="22"/>
          <w:szCs w:val="22"/>
        </w:rPr>
        <w:t>but the differences between the two countries were significant</w:t>
      </w:r>
      <w:r w:rsidR="009571FA">
        <w:rPr>
          <w:b/>
          <w:bCs/>
          <w:sz w:val="22"/>
          <w:szCs w:val="22"/>
        </w:rPr>
        <w:t xml:space="preserve">:  </w:t>
      </w:r>
      <w:r w:rsidR="009571FA" w:rsidRPr="00DD09B5">
        <w:rPr>
          <w:bCs/>
          <w:sz w:val="22"/>
          <w:szCs w:val="22"/>
        </w:rPr>
        <w:t xml:space="preserve">In </w:t>
      </w:r>
      <w:r w:rsidR="009571FA" w:rsidRPr="00DD09B5">
        <w:rPr>
          <w:b/>
          <w:bCs/>
          <w:sz w:val="22"/>
          <w:szCs w:val="22"/>
        </w:rPr>
        <w:t>Honduras,</w:t>
      </w:r>
      <w:r w:rsidR="009571FA" w:rsidRPr="00DD09B5">
        <w:rPr>
          <w:bCs/>
          <w:sz w:val="22"/>
          <w:szCs w:val="22"/>
        </w:rPr>
        <w:t xml:space="preserve"> three OSERs addressed gender</w:t>
      </w:r>
      <w:r w:rsidR="009571FA">
        <w:rPr>
          <w:bCs/>
          <w:sz w:val="22"/>
          <w:szCs w:val="22"/>
        </w:rPr>
        <w:t>; t</w:t>
      </w:r>
      <w:r w:rsidR="009571FA" w:rsidRPr="00DD09B5">
        <w:rPr>
          <w:bCs/>
          <w:sz w:val="22"/>
          <w:szCs w:val="22"/>
        </w:rPr>
        <w:t>w</w:t>
      </w:r>
      <w:r w:rsidR="009571FA">
        <w:rPr>
          <w:bCs/>
          <w:sz w:val="22"/>
          <w:szCs w:val="22"/>
        </w:rPr>
        <w:t xml:space="preserve">o of these dealt with gender-specific issues: </w:t>
      </w:r>
      <w:r w:rsidR="009571FA" w:rsidRPr="00DD09B5">
        <w:rPr>
          <w:bCs/>
          <w:sz w:val="22"/>
          <w:szCs w:val="22"/>
        </w:rPr>
        <w:t>gender-based violence</w:t>
      </w:r>
      <w:r w:rsidR="009571FA">
        <w:rPr>
          <w:bCs/>
          <w:sz w:val="22"/>
          <w:szCs w:val="22"/>
        </w:rPr>
        <w:t xml:space="preserve">; </w:t>
      </w:r>
      <w:r w:rsidR="009571FA" w:rsidRPr="00DD09B5">
        <w:rPr>
          <w:bCs/>
          <w:sz w:val="22"/>
          <w:szCs w:val="22"/>
        </w:rPr>
        <w:t xml:space="preserve">and  gender mainstreaming in policies and programs within the Health Sector, the Women’s Affairs Ministry, and PAHO Country Office. The third one also dealt with gender-based violence, but within the broader context </w:t>
      </w:r>
      <w:r w:rsidR="009571FA">
        <w:rPr>
          <w:bCs/>
          <w:sz w:val="22"/>
          <w:szCs w:val="22"/>
        </w:rPr>
        <w:t>of a project on Human Security. I</w:t>
      </w:r>
      <w:r w:rsidR="009571FA" w:rsidRPr="00DD09B5">
        <w:rPr>
          <w:bCs/>
          <w:sz w:val="22"/>
          <w:szCs w:val="22"/>
        </w:rPr>
        <w:t xml:space="preserve">n budgetary terms this meant a total of 10 broad “activities” and nearly 80 “tasks” with financial resources allocated. In </w:t>
      </w:r>
      <w:r w:rsidR="009571FA">
        <w:rPr>
          <w:bCs/>
          <w:sz w:val="22"/>
          <w:szCs w:val="22"/>
        </w:rPr>
        <w:t xml:space="preserve">contrast, the </w:t>
      </w:r>
      <w:r w:rsidR="009571FA" w:rsidRPr="00DD09B5">
        <w:rPr>
          <w:b/>
          <w:bCs/>
          <w:sz w:val="22"/>
          <w:szCs w:val="22"/>
        </w:rPr>
        <w:t>Trinidad &amp; Tobago</w:t>
      </w:r>
      <w:r w:rsidR="009571FA">
        <w:rPr>
          <w:b/>
          <w:bCs/>
          <w:sz w:val="22"/>
          <w:szCs w:val="22"/>
        </w:rPr>
        <w:t xml:space="preserve"> </w:t>
      </w:r>
      <w:r w:rsidR="009571FA" w:rsidRPr="004D0BC4">
        <w:rPr>
          <w:bCs/>
          <w:sz w:val="22"/>
          <w:szCs w:val="22"/>
        </w:rPr>
        <w:t xml:space="preserve">plan did not have </w:t>
      </w:r>
      <w:r w:rsidR="009571FA" w:rsidRPr="00C513B3">
        <w:rPr>
          <w:bCs/>
          <w:sz w:val="22"/>
          <w:szCs w:val="22"/>
        </w:rPr>
        <w:t>a</w:t>
      </w:r>
      <w:r>
        <w:rPr>
          <w:bCs/>
          <w:sz w:val="22"/>
          <w:szCs w:val="22"/>
        </w:rPr>
        <w:t>ny</w:t>
      </w:r>
      <w:r w:rsidR="009571FA" w:rsidRPr="00C513B3">
        <w:rPr>
          <w:bCs/>
          <w:sz w:val="22"/>
          <w:szCs w:val="22"/>
        </w:rPr>
        <w:t xml:space="preserve"> gender-specific OSER,</w:t>
      </w:r>
      <w:r w:rsidR="009571FA">
        <w:rPr>
          <w:bCs/>
          <w:sz w:val="22"/>
          <w:szCs w:val="22"/>
        </w:rPr>
        <w:t xml:space="preserve"> </w:t>
      </w:r>
      <w:r>
        <w:rPr>
          <w:bCs/>
          <w:sz w:val="22"/>
          <w:szCs w:val="22"/>
        </w:rPr>
        <w:t>although it</w:t>
      </w:r>
      <w:r w:rsidR="009571FA" w:rsidRPr="00DD09B5">
        <w:rPr>
          <w:bCs/>
          <w:sz w:val="22"/>
          <w:szCs w:val="22"/>
        </w:rPr>
        <w:t xml:space="preserve"> explicitly addressed the integration of </w:t>
      </w:r>
      <w:r>
        <w:rPr>
          <w:bCs/>
          <w:sz w:val="22"/>
          <w:szCs w:val="22"/>
        </w:rPr>
        <w:t xml:space="preserve">SDD </w:t>
      </w:r>
      <w:r w:rsidR="009571FA" w:rsidRPr="00DD09B5">
        <w:rPr>
          <w:bCs/>
          <w:sz w:val="22"/>
          <w:szCs w:val="22"/>
        </w:rPr>
        <w:t xml:space="preserve">regarding sexual and reproductive health, gender-based violence variables and other gender-sensitive data, in national and local Information Surveillance Systems. </w:t>
      </w:r>
    </w:p>
    <w:p w:rsidR="009571FA" w:rsidRDefault="009571FA" w:rsidP="008B6D20">
      <w:pPr>
        <w:ind w:left="1080"/>
        <w:rPr>
          <w:b/>
          <w:bCs/>
          <w:sz w:val="22"/>
          <w:szCs w:val="22"/>
        </w:rPr>
      </w:pPr>
    </w:p>
    <w:p w:rsidR="009571FA" w:rsidRPr="00DD09B5" w:rsidRDefault="009571FA" w:rsidP="003E3C4D">
      <w:pPr>
        <w:rPr>
          <w:b/>
          <w:bCs/>
          <w:sz w:val="22"/>
          <w:szCs w:val="22"/>
        </w:rPr>
      </w:pPr>
      <w:r w:rsidRPr="00DD09B5">
        <w:rPr>
          <w:b/>
          <w:bCs/>
          <w:sz w:val="22"/>
          <w:szCs w:val="22"/>
        </w:rPr>
        <w:t>3.</w:t>
      </w:r>
      <w:r>
        <w:rPr>
          <w:b/>
          <w:bCs/>
          <w:sz w:val="22"/>
          <w:szCs w:val="22"/>
        </w:rPr>
        <w:t xml:space="preserve"> </w:t>
      </w:r>
      <w:r w:rsidRPr="00DD09B5">
        <w:rPr>
          <w:b/>
          <w:bCs/>
          <w:sz w:val="22"/>
          <w:szCs w:val="22"/>
        </w:rPr>
        <w:t xml:space="preserve"> Differences associated with PAHO/GE collaboration</w:t>
      </w:r>
    </w:p>
    <w:p w:rsidR="009571FA" w:rsidRPr="008E5687" w:rsidRDefault="009571FA" w:rsidP="00AB0DC6">
      <w:pPr>
        <w:ind w:left="405"/>
        <w:rPr>
          <w:b/>
          <w:bCs/>
          <w:sz w:val="12"/>
          <w:szCs w:val="22"/>
        </w:rPr>
      </w:pPr>
    </w:p>
    <w:p w:rsidR="009571FA" w:rsidRDefault="009571FA" w:rsidP="00AB0DC6">
      <w:pPr>
        <w:rPr>
          <w:bCs/>
          <w:sz w:val="22"/>
          <w:szCs w:val="22"/>
        </w:rPr>
      </w:pPr>
      <w:r w:rsidRPr="00DD09B5">
        <w:rPr>
          <w:bCs/>
          <w:sz w:val="22"/>
          <w:szCs w:val="22"/>
        </w:rPr>
        <w:t xml:space="preserve">Judging by the identical scores earned by the two countries, it would appear that a sustained collaboration between GE and a country office—such as that occurred in Honduras-- did not have a significant effect on the gender integration process. </w:t>
      </w:r>
      <w:r>
        <w:rPr>
          <w:bCs/>
          <w:sz w:val="22"/>
          <w:szCs w:val="22"/>
        </w:rPr>
        <w:t>However, t</w:t>
      </w:r>
      <w:r w:rsidRPr="00DD09B5">
        <w:rPr>
          <w:bCs/>
          <w:sz w:val="22"/>
          <w:szCs w:val="22"/>
        </w:rPr>
        <w:t xml:space="preserve">o answer </w:t>
      </w:r>
      <w:r>
        <w:rPr>
          <w:bCs/>
          <w:sz w:val="22"/>
          <w:szCs w:val="22"/>
        </w:rPr>
        <w:t xml:space="preserve">this question, </w:t>
      </w:r>
      <w:r w:rsidRPr="00DD09B5">
        <w:rPr>
          <w:bCs/>
          <w:sz w:val="22"/>
          <w:szCs w:val="22"/>
        </w:rPr>
        <w:t xml:space="preserve">it would be necessary to introduce additional elements of </w:t>
      </w:r>
      <w:r w:rsidRPr="00DD09B5">
        <w:rPr>
          <w:b/>
          <w:bCs/>
          <w:sz w:val="22"/>
          <w:szCs w:val="22"/>
        </w:rPr>
        <w:t>quantity, quality,</w:t>
      </w:r>
      <w:r w:rsidRPr="00DD09B5">
        <w:rPr>
          <w:bCs/>
          <w:sz w:val="22"/>
          <w:szCs w:val="22"/>
        </w:rPr>
        <w:t xml:space="preserve"> and</w:t>
      </w:r>
      <w:r w:rsidRPr="00DD09B5">
        <w:rPr>
          <w:b/>
          <w:bCs/>
          <w:sz w:val="22"/>
          <w:szCs w:val="22"/>
        </w:rPr>
        <w:t xml:space="preserve"> resourcing</w:t>
      </w:r>
      <w:r w:rsidRPr="00DD09B5">
        <w:rPr>
          <w:bCs/>
          <w:sz w:val="22"/>
          <w:szCs w:val="22"/>
        </w:rPr>
        <w:t xml:space="preserve"> both in the analysis criteria and in the scoring of results. The following comments </w:t>
      </w:r>
      <w:r w:rsidR="00CA2F2A">
        <w:rPr>
          <w:bCs/>
          <w:sz w:val="22"/>
          <w:szCs w:val="22"/>
        </w:rPr>
        <w:t xml:space="preserve">are pertinent: </w:t>
      </w:r>
    </w:p>
    <w:p w:rsidR="00CA2F2A" w:rsidRPr="008E5687" w:rsidRDefault="00CA2F2A" w:rsidP="00AB0DC6">
      <w:pPr>
        <w:rPr>
          <w:bCs/>
          <w:sz w:val="16"/>
          <w:szCs w:val="22"/>
        </w:rPr>
      </w:pPr>
    </w:p>
    <w:p w:rsidR="009571FA" w:rsidRPr="00DD09B5" w:rsidRDefault="009571FA" w:rsidP="00AB0DC6">
      <w:pPr>
        <w:rPr>
          <w:bCs/>
          <w:sz w:val="22"/>
          <w:szCs w:val="22"/>
          <w:highlight w:val="yellow"/>
        </w:rPr>
      </w:pPr>
      <w:r w:rsidRPr="00DD09B5">
        <w:rPr>
          <w:bCs/>
          <w:sz w:val="22"/>
          <w:szCs w:val="22"/>
        </w:rPr>
        <w:t xml:space="preserve">Regarding quantity and resourcing, for instance,  the fifth and seventh content analysis criteria for the work plans allow only  a Yes/No answer to the questions </w:t>
      </w:r>
      <w:r w:rsidRPr="00DD09B5">
        <w:rPr>
          <w:bCs/>
          <w:i/>
          <w:sz w:val="22"/>
          <w:szCs w:val="22"/>
        </w:rPr>
        <w:t>“Does the country work plan have at least one OSER or product or activity or service that specifically mentions addressing gender?”</w:t>
      </w:r>
      <w:r w:rsidRPr="00DD09B5">
        <w:rPr>
          <w:bCs/>
          <w:sz w:val="22"/>
          <w:szCs w:val="22"/>
        </w:rPr>
        <w:t xml:space="preserve">. </w:t>
      </w:r>
      <w:r w:rsidRPr="00DD09B5">
        <w:rPr>
          <w:bCs/>
          <w:i/>
          <w:sz w:val="22"/>
          <w:szCs w:val="22"/>
        </w:rPr>
        <w:t>“Does the document specify actions to address gender?</w:t>
      </w:r>
      <w:r w:rsidRPr="00DD09B5">
        <w:rPr>
          <w:bCs/>
          <w:sz w:val="22"/>
          <w:szCs w:val="22"/>
        </w:rPr>
        <w:t xml:space="preserve">” The answer was YES to both questions on both countries, and the score was 1 irrespective of the number of planned actions that mentioned and addressed gender issues. However, as already noted the difference between the two plans was substantial regarding the extent and funding of the planned interventions in each country. </w:t>
      </w:r>
    </w:p>
    <w:p w:rsidR="009571FA" w:rsidRPr="00DD09B5" w:rsidRDefault="009571FA" w:rsidP="00AB0DC6">
      <w:pPr>
        <w:ind w:left="360"/>
        <w:rPr>
          <w:bCs/>
          <w:sz w:val="22"/>
          <w:szCs w:val="22"/>
          <w:highlight w:val="yellow"/>
        </w:rPr>
      </w:pPr>
      <w:r w:rsidRPr="00DD09B5">
        <w:rPr>
          <w:bCs/>
          <w:sz w:val="22"/>
          <w:szCs w:val="22"/>
        </w:rPr>
        <w:t xml:space="preserve"> </w:t>
      </w:r>
    </w:p>
    <w:p w:rsidR="009571FA" w:rsidRPr="00DD09B5" w:rsidRDefault="009571FA" w:rsidP="00AB0DC6">
      <w:pPr>
        <w:rPr>
          <w:bCs/>
          <w:sz w:val="22"/>
          <w:szCs w:val="22"/>
        </w:rPr>
      </w:pPr>
      <w:r w:rsidRPr="00DD09B5">
        <w:rPr>
          <w:bCs/>
          <w:sz w:val="22"/>
          <w:szCs w:val="22"/>
        </w:rPr>
        <w:t xml:space="preserve">Beyond quantity and resourcing of actions, it is important to examine both the existence of gender-specific interventions and the extent to which gender actions aim to penetrate or have indeed penetrated the various components of the CCS and the work plan. </w:t>
      </w:r>
      <w:r w:rsidR="00EB6282">
        <w:rPr>
          <w:bCs/>
          <w:sz w:val="22"/>
          <w:szCs w:val="22"/>
        </w:rPr>
        <w:t>Elements to be examined are, f</w:t>
      </w:r>
      <w:r w:rsidRPr="00DD09B5">
        <w:rPr>
          <w:bCs/>
          <w:sz w:val="22"/>
          <w:szCs w:val="22"/>
        </w:rPr>
        <w:t xml:space="preserve">or instance, the situation analysis </w:t>
      </w:r>
      <w:r w:rsidR="00EB6282">
        <w:rPr>
          <w:bCs/>
          <w:sz w:val="22"/>
          <w:szCs w:val="22"/>
        </w:rPr>
        <w:t xml:space="preserve">in the CCS and the BWP </w:t>
      </w:r>
      <w:r w:rsidRPr="00DD09B5">
        <w:rPr>
          <w:bCs/>
          <w:sz w:val="22"/>
          <w:szCs w:val="22"/>
        </w:rPr>
        <w:t xml:space="preserve">that informs future actions. Others have to do with the way this analysis translates in the wording and content of the objectives and indicators, the degree of sex-parity among the office’s staff, the inclusion of gender experts in the team, and the establishment of relevant internal and external </w:t>
      </w:r>
      <w:r w:rsidR="00EB6282">
        <w:rPr>
          <w:bCs/>
          <w:sz w:val="22"/>
          <w:szCs w:val="22"/>
        </w:rPr>
        <w:t xml:space="preserve">alliances and </w:t>
      </w:r>
      <w:r w:rsidRPr="00DD09B5">
        <w:rPr>
          <w:bCs/>
          <w:sz w:val="22"/>
          <w:szCs w:val="22"/>
        </w:rPr>
        <w:t xml:space="preserve">partnerships. Some but not all of these elements are currently identified by </w:t>
      </w:r>
      <w:r w:rsidR="00EB6282">
        <w:rPr>
          <w:bCs/>
          <w:sz w:val="22"/>
          <w:szCs w:val="22"/>
        </w:rPr>
        <w:t xml:space="preserve">the </w:t>
      </w:r>
      <w:r w:rsidRPr="00DD09B5">
        <w:rPr>
          <w:bCs/>
          <w:sz w:val="22"/>
          <w:szCs w:val="22"/>
        </w:rPr>
        <w:t>content analysis criteria</w:t>
      </w:r>
      <w:r w:rsidR="00EB6282">
        <w:rPr>
          <w:bCs/>
          <w:sz w:val="22"/>
          <w:szCs w:val="22"/>
        </w:rPr>
        <w:t xml:space="preserve"> for this project</w:t>
      </w:r>
      <w:r w:rsidRPr="00DD09B5">
        <w:rPr>
          <w:bCs/>
          <w:sz w:val="22"/>
          <w:szCs w:val="22"/>
        </w:rPr>
        <w:t>.</w:t>
      </w:r>
    </w:p>
    <w:p w:rsidR="009571FA" w:rsidRDefault="009571FA" w:rsidP="00AB0DC6">
      <w:pPr>
        <w:rPr>
          <w:bCs/>
          <w:sz w:val="18"/>
        </w:rPr>
      </w:pPr>
    </w:p>
    <w:p w:rsidR="009571FA" w:rsidRPr="008E5687" w:rsidRDefault="009571FA" w:rsidP="003E3C4D">
      <w:pPr>
        <w:rPr>
          <w:b/>
          <w:bCs/>
          <w:sz w:val="24"/>
        </w:rPr>
      </w:pPr>
      <w:r>
        <w:rPr>
          <w:b/>
          <w:bCs/>
          <w:sz w:val="22"/>
        </w:rPr>
        <w:t>4.</w:t>
      </w:r>
      <w:r w:rsidRPr="008E5687">
        <w:rPr>
          <w:b/>
          <w:bCs/>
          <w:sz w:val="22"/>
        </w:rPr>
        <w:t xml:space="preserve"> Limitations of the findings </w:t>
      </w:r>
      <w:r w:rsidR="005B56B4">
        <w:rPr>
          <w:b/>
          <w:bCs/>
          <w:sz w:val="22"/>
        </w:rPr>
        <w:t xml:space="preserve">      </w:t>
      </w:r>
    </w:p>
    <w:p w:rsidR="009571FA" w:rsidRPr="00296CDC" w:rsidRDefault="009571FA" w:rsidP="00AB0DC6">
      <w:pPr>
        <w:rPr>
          <w:b/>
          <w:bCs/>
          <w:sz w:val="10"/>
        </w:rPr>
      </w:pPr>
    </w:p>
    <w:p w:rsidR="009571FA" w:rsidRDefault="009571FA" w:rsidP="00AB0DC6">
      <w:pPr>
        <w:rPr>
          <w:bCs/>
          <w:sz w:val="22"/>
        </w:rPr>
      </w:pPr>
      <w:r w:rsidRPr="00DD09B5">
        <w:rPr>
          <w:bCs/>
          <w:sz w:val="22"/>
        </w:rPr>
        <w:t xml:space="preserve">The reader must be warned about the unlikely representativeness of the CCS findings for the PAHO Region as a composite of 46 countries and territories, or at least, for the 34 that </w:t>
      </w:r>
      <w:r w:rsidR="005B56B4">
        <w:rPr>
          <w:bCs/>
          <w:sz w:val="22"/>
        </w:rPr>
        <w:t>h</w:t>
      </w:r>
      <w:r w:rsidRPr="00DD09B5">
        <w:rPr>
          <w:bCs/>
          <w:sz w:val="22"/>
        </w:rPr>
        <w:t xml:space="preserve">ave completed or are completing the midterm planning process. This assertion regarding representativeness finds some empirical backing in the next section regarding gender integration into the country profiles of the Region produced by the respective Country Offices. Nevertheless, the results here documented do illustrate very interesting instances of similarities and differences in gender mainstreaming within the planning processes of two countries with quite different geographical, economic, cultural, linguistic, and ethnic backgrounds.  </w:t>
      </w:r>
    </w:p>
    <w:p w:rsidR="005B56B4" w:rsidRPr="001049E5" w:rsidRDefault="005B56B4" w:rsidP="00AB0DC6">
      <w:pPr>
        <w:rPr>
          <w:bCs/>
          <w:sz w:val="16"/>
        </w:rPr>
      </w:pPr>
    </w:p>
    <w:p w:rsidR="005B56B4" w:rsidRPr="00DD09B5" w:rsidRDefault="005B56B4" w:rsidP="00AB0DC6">
      <w:pPr>
        <w:rPr>
          <w:bCs/>
          <w:sz w:val="24"/>
        </w:rPr>
      </w:pPr>
      <w:r>
        <w:rPr>
          <w:bCs/>
          <w:sz w:val="22"/>
        </w:rPr>
        <w:t xml:space="preserve">As just noted in the previous section, the tool to measure gender integration in the CCS and country work plans </w:t>
      </w:r>
      <w:r w:rsidR="001049E5">
        <w:rPr>
          <w:bCs/>
          <w:sz w:val="22"/>
        </w:rPr>
        <w:t>resulted</w:t>
      </w:r>
      <w:r>
        <w:rPr>
          <w:bCs/>
          <w:sz w:val="22"/>
        </w:rPr>
        <w:t xml:space="preserve"> weak in terms of </w:t>
      </w:r>
      <w:r w:rsidR="001049E5">
        <w:rPr>
          <w:bCs/>
          <w:sz w:val="22"/>
        </w:rPr>
        <w:t xml:space="preserve">its ability to </w:t>
      </w:r>
      <w:r>
        <w:rPr>
          <w:bCs/>
          <w:sz w:val="22"/>
        </w:rPr>
        <w:t>captur</w:t>
      </w:r>
      <w:r w:rsidR="001049E5">
        <w:rPr>
          <w:bCs/>
          <w:sz w:val="22"/>
        </w:rPr>
        <w:t xml:space="preserve">e some important quantitative and qualitative differences between countries. </w:t>
      </w:r>
      <w:r>
        <w:rPr>
          <w:bCs/>
          <w:sz w:val="22"/>
        </w:rPr>
        <w:t xml:space="preserve">The Yes/No responses attached to </w:t>
      </w:r>
      <w:r w:rsidR="001049E5">
        <w:rPr>
          <w:bCs/>
          <w:sz w:val="22"/>
        </w:rPr>
        <w:t xml:space="preserve">the </w:t>
      </w:r>
      <w:r>
        <w:rPr>
          <w:bCs/>
          <w:sz w:val="22"/>
        </w:rPr>
        <w:t>analysis criteria</w:t>
      </w:r>
      <w:r w:rsidR="001049E5">
        <w:rPr>
          <w:bCs/>
          <w:sz w:val="22"/>
        </w:rPr>
        <w:t>,</w:t>
      </w:r>
      <w:r>
        <w:rPr>
          <w:bCs/>
          <w:sz w:val="22"/>
        </w:rPr>
        <w:t xml:space="preserve"> that otherwise covered </w:t>
      </w:r>
      <w:r w:rsidR="001049E5">
        <w:rPr>
          <w:bCs/>
          <w:sz w:val="22"/>
        </w:rPr>
        <w:t xml:space="preserve">an </w:t>
      </w:r>
      <w:r>
        <w:rPr>
          <w:bCs/>
          <w:sz w:val="22"/>
        </w:rPr>
        <w:t>appropriate range of issues</w:t>
      </w:r>
      <w:r w:rsidR="001049E5">
        <w:rPr>
          <w:bCs/>
          <w:sz w:val="22"/>
        </w:rPr>
        <w:t>,</w:t>
      </w:r>
      <w:r>
        <w:rPr>
          <w:bCs/>
          <w:sz w:val="22"/>
        </w:rPr>
        <w:t xml:space="preserve"> were too restrictive</w:t>
      </w:r>
      <w:r w:rsidR="001049E5">
        <w:rPr>
          <w:bCs/>
          <w:sz w:val="22"/>
        </w:rPr>
        <w:t xml:space="preserve"> </w:t>
      </w:r>
      <w:r>
        <w:rPr>
          <w:bCs/>
          <w:sz w:val="22"/>
        </w:rPr>
        <w:t>imped</w:t>
      </w:r>
      <w:r w:rsidR="001049E5">
        <w:rPr>
          <w:bCs/>
          <w:sz w:val="22"/>
        </w:rPr>
        <w:t xml:space="preserve">ing to measure significant differences of degree. </w:t>
      </w:r>
      <w:r>
        <w:rPr>
          <w:bCs/>
          <w:sz w:val="22"/>
        </w:rPr>
        <w:t xml:space="preserve">   </w:t>
      </w:r>
    </w:p>
    <w:p w:rsidR="009571FA" w:rsidRPr="008E5687" w:rsidRDefault="009571FA" w:rsidP="00AB0DC6">
      <w:pPr>
        <w:rPr>
          <w:bCs/>
          <w:sz w:val="12"/>
        </w:rPr>
      </w:pPr>
    </w:p>
    <w:p w:rsidR="004B35AE" w:rsidRDefault="001049E5">
      <w:pPr>
        <w:rPr>
          <w:bCs/>
          <w:sz w:val="22"/>
        </w:rPr>
      </w:pPr>
      <w:r>
        <w:rPr>
          <w:bCs/>
          <w:sz w:val="22"/>
        </w:rPr>
        <w:t xml:space="preserve">It is </w:t>
      </w:r>
      <w:r w:rsidR="009571FA" w:rsidRPr="00DD09B5">
        <w:rPr>
          <w:bCs/>
          <w:sz w:val="22"/>
        </w:rPr>
        <w:t>worth noting that the preparatory work that went into effect for the development of both these CCS and work plans began to take shape simultaneously with-- or immediately after-- the issuing of the “</w:t>
      </w:r>
      <w:r w:rsidR="009571FA" w:rsidRPr="00DD09B5">
        <w:rPr>
          <w:bCs/>
          <w:i/>
          <w:sz w:val="22"/>
        </w:rPr>
        <w:t xml:space="preserve">WHO </w:t>
      </w:r>
      <w:r w:rsidR="009571FA" w:rsidRPr="00DD09B5">
        <w:rPr>
          <w:bCs/>
          <w:i/>
          <w:iCs/>
          <w:sz w:val="22"/>
        </w:rPr>
        <w:t>Guiding Framework</w:t>
      </w:r>
      <w:r w:rsidR="009571FA" w:rsidRPr="00DD09B5">
        <w:rPr>
          <w:bCs/>
          <w:i/>
          <w:sz w:val="22"/>
        </w:rPr>
        <w:t xml:space="preserve"> (2005) for CCS”</w:t>
      </w:r>
      <w:r w:rsidR="009571FA" w:rsidRPr="00DD09B5">
        <w:rPr>
          <w:rStyle w:val="FootnoteReference"/>
          <w:bCs/>
          <w:i/>
          <w:sz w:val="22"/>
        </w:rPr>
        <w:t xml:space="preserve"> </w:t>
      </w:r>
      <w:r w:rsidR="009571FA" w:rsidRPr="00DD09B5">
        <w:rPr>
          <w:rStyle w:val="FootnoteReference"/>
          <w:bCs/>
          <w:i/>
          <w:sz w:val="22"/>
        </w:rPr>
        <w:footnoteReference w:id="12"/>
      </w:r>
      <w:r w:rsidR="009571FA" w:rsidRPr="00DD09B5">
        <w:rPr>
          <w:bCs/>
          <w:i/>
          <w:sz w:val="22"/>
        </w:rPr>
        <w:t xml:space="preserve">, </w:t>
      </w:r>
      <w:r w:rsidR="009571FA" w:rsidRPr="00DD09B5">
        <w:rPr>
          <w:bCs/>
          <w:sz w:val="22"/>
        </w:rPr>
        <w:t>and also the approval of the  “</w:t>
      </w:r>
      <w:r w:rsidR="009571FA" w:rsidRPr="00DD09B5">
        <w:rPr>
          <w:bCs/>
          <w:i/>
          <w:sz w:val="22"/>
        </w:rPr>
        <w:t xml:space="preserve">PAHO Gender Equality Policy”. </w:t>
      </w:r>
      <w:r w:rsidR="009571FA" w:rsidRPr="00DD09B5">
        <w:rPr>
          <w:bCs/>
          <w:sz w:val="22"/>
        </w:rPr>
        <w:t>The short time (if any) elapsed between the latter and the planning and programming processes was mentioned by some planning officers during the</w:t>
      </w:r>
      <w:r w:rsidR="009571FA" w:rsidRPr="00DD09B5">
        <w:rPr>
          <w:bCs/>
          <w:i/>
          <w:sz w:val="22"/>
        </w:rPr>
        <w:t xml:space="preserve"> </w:t>
      </w:r>
      <w:r w:rsidR="009571FA" w:rsidRPr="00DD09B5">
        <w:rPr>
          <w:bCs/>
          <w:sz w:val="22"/>
        </w:rPr>
        <w:t>interviews as a hindrance for having come in contact, digested and incorporated the policy into their work plans (see planners interviews).</w:t>
      </w:r>
      <w:r w:rsidR="009571FA" w:rsidRPr="00DD09B5">
        <w:rPr>
          <w:bCs/>
          <w:i/>
          <w:sz w:val="22"/>
        </w:rPr>
        <w:t xml:space="preserve"> </w:t>
      </w:r>
      <w:r w:rsidR="009571FA" w:rsidRPr="00DD09B5">
        <w:rPr>
          <w:bCs/>
          <w:sz w:val="22"/>
        </w:rPr>
        <w:t xml:space="preserve">Therefore, the reflection of either two instruments on the planning process could not be fairly appraised for the convened reference period.  </w:t>
      </w:r>
      <w:r w:rsidR="004B35AE">
        <w:rPr>
          <w:bCs/>
          <w:sz w:val="22"/>
        </w:rPr>
        <w:br w:type="page"/>
      </w:r>
    </w:p>
    <w:p w:rsidR="009571FA" w:rsidRPr="00D26585" w:rsidRDefault="00E205AB" w:rsidP="00E205AB">
      <w:r>
        <w:rPr>
          <w:b/>
          <w:sz w:val="24"/>
          <w:szCs w:val="32"/>
        </w:rPr>
        <w:t xml:space="preserve">C.  </w:t>
      </w:r>
      <w:r w:rsidR="009571FA" w:rsidRPr="00E205AB">
        <w:rPr>
          <w:b/>
          <w:sz w:val="24"/>
          <w:szCs w:val="32"/>
        </w:rPr>
        <w:t>Sex Parity in Staffing</w:t>
      </w:r>
    </w:p>
    <w:p w:rsidR="009571FA" w:rsidRDefault="009571FA" w:rsidP="00573033">
      <w:pPr>
        <w:tabs>
          <w:tab w:val="left" w:pos="0"/>
        </w:tabs>
        <w:ind w:left="1890" w:hanging="1170"/>
        <w:rPr>
          <w:b/>
          <w:bCs/>
          <w:sz w:val="24"/>
        </w:rPr>
      </w:pPr>
    </w:p>
    <w:p w:rsidR="009571FA" w:rsidRPr="00CB6A03" w:rsidRDefault="009571FA" w:rsidP="00573033">
      <w:pPr>
        <w:ind w:hanging="1170"/>
        <w:rPr>
          <w:sz w:val="22"/>
        </w:rPr>
      </w:pPr>
      <w:r w:rsidRPr="002A7054">
        <w:rPr>
          <w:sz w:val="22"/>
        </w:rPr>
        <w:t xml:space="preserve">                  </w:t>
      </w:r>
      <w:r>
        <w:rPr>
          <w:sz w:val="22"/>
        </w:rPr>
        <w:t xml:space="preserve"> </w:t>
      </w:r>
      <w:r w:rsidRPr="002A7054">
        <w:rPr>
          <w:sz w:val="22"/>
        </w:rPr>
        <w:t>Sex parity in staffing –-i.e., equal number of women and men at each and all levels in the Organization-- is regarded as an important requisite for ensuring that the concerns of both sexes are considered in the work of WHO/PAHO.</w:t>
      </w:r>
      <w:r>
        <w:rPr>
          <w:sz w:val="22"/>
        </w:rPr>
        <w:t xml:space="preserve"> It constitutes the third measurement area for SD 2, </w:t>
      </w:r>
      <w:r w:rsidRPr="008C5DE3">
        <w:rPr>
          <w:rFonts w:cs="Arial"/>
          <w:i/>
          <w:sz w:val="22"/>
        </w:rPr>
        <w:t>Bringing gender into the mainstream of PAHO’s management</w:t>
      </w:r>
      <w:r w:rsidRPr="008C5DE3">
        <w:rPr>
          <w:bCs/>
          <w:i/>
          <w:sz w:val="18"/>
        </w:rPr>
        <w:t>.</w:t>
      </w:r>
      <w:r w:rsidR="00CB6A03">
        <w:rPr>
          <w:bCs/>
          <w:sz w:val="18"/>
        </w:rPr>
        <w:t xml:space="preserve"> </w:t>
      </w:r>
      <w:r w:rsidR="00CB6A03">
        <w:rPr>
          <w:bCs/>
          <w:sz w:val="22"/>
        </w:rPr>
        <w:t xml:space="preserve">Following </w:t>
      </w:r>
      <w:r w:rsidR="00C81949">
        <w:rPr>
          <w:bCs/>
          <w:sz w:val="22"/>
        </w:rPr>
        <w:t>are the definitions for the two</w:t>
      </w:r>
      <w:r w:rsidR="00CB6A03">
        <w:rPr>
          <w:bCs/>
          <w:sz w:val="22"/>
        </w:rPr>
        <w:t xml:space="preserve"> selected indicators </w:t>
      </w:r>
      <w:r w:rsidR="00C81949">
        <w:rPr>
          <w:bCs/>
          <w:sz w:val="22"/>
        </w:rPr>
        <w:t xml:space="preserve">in this </w:t>
      </w:r>
      <w:r w:rsidR="000E1B85">
        <w:rPr>
          <w:bCs/>
          <w:sz w:val="22"/>
        </w:rPr>
        <w:t xml:space="preserve">measurement </w:t>
      </w:r>
      <w:r w:rsidR="00C81949">
        <w:rPr>
          <w:bCs/>
          <w:sz w:val="22"/>
        </w:rPr>
        <w:t xml:space="preserve">area and </w:t>
      </w:r>
      <w:r w:rsidR="00CB6A03">
        <w:rPr>
          <w:bCs/>
          <w:sz w:val="22"/>
        </w:rPr>
        <w:t>two tabl</w:t>
      </w:r>
      <w:r w:rsidR="00C81949">
        <w:rPr>
          <w:bCs/>
          <w:sz w:val="22"/>
        </w:rPr>
        <w:t xml:space="preserve">es with the corresponding values for these </w:t>
      </w:r>
      <w:r w:rsidR="00CB6A03">
        <w:rPr>
          <w:bCs/>
          <w:sz w:val="22"/>
        </w:rPr>
        <w:t>indicators</w:t>
      </w:r>
      <w:r w:rsidR="00C81949">
        <w:rPr>
          <w:bCs/>
          <w:sz w:val="22"/>
        </w:rPr>
        <w:t>.</w:t>
      </w:r>
    </w:p>
    <w:p w:rsidR="009571FA" w:rsidRPr="00FF2731" w:rsidRDefault="009571FA" w:rsidP="00924C6A">
      <w:pPr>
        <w:pStyle w:val="ListParagraph"/>
        <w:ind w:left="0"/>
        <w:rPr>
          <w:b/>
          <w:sz w:val="18"/>
        </w:rPr>
      </w:pPr>
    </w:p>
    <w:p w:rsidR="009571FA" w:rsidRPr="002541F1" w:rsidRDefault="00376C70" w:rsidP="00433C1A">
      <w:pPr>
        <w:pStyle w:val="ListParagraph"/>
        <w:ind w:left="864"/>
        <w:rPr>
          <w:b/>
          <w:sz w:val="24"/>
        </w:rPr>
      </w:pPr>
      <w:r>
        <w:rPr>
          <w:b/>
          <w:sz w:val="24"/>
        </w:rPr>
        <w:t xml:space="preserve"> </w:t>
      </w:r>
      <w:r w:rsidR="009571FA" w:rsidRPr="002541F1">
        <w:rPr>
          <w:b/>
          <w:sz w:val="24"/>
        </w:rPr>
        <w:t xml:space="preserve">Indicators </w:t>
      </w:r>
    </w:p>
    <w:p w:rsidR="009571FA" w:rsidRPr="00EA3B53" w:rsidRDefault="009571FA" w:rsidP="00433C1A">
      <w:pPr>
        <w:pStyle w:val="ListParagraph"/>
        <w:ind w:left="504"/>
        <w:rPr>
          <w:b/>
          <w:sz w:val="2"/>
        </w:rPr>
      </w:pPr>
    </w:p>
    <w:p w:rsidR="009571FA" w:rsidRPr="00376C70" w:rsidRDefault="009571FA" w:rsidP="00581596">
      <w:pPr>
        <w:pStyle w:val="ListParagraph"/>
        <w:numPr>
          <w:ilvl w:val="0"/>
          <w:numId w:val="50"/>
        </w:numPr>
        <w:ind w:left="1224"/>
        <w:rPr>
          <w:rFonts w:cs="Arial"/>
          <w:sz w:val="24"/>
        </w:rPr>
      </w:pPr>
      <w:r w:rsidRPr="00376C70">
        <w:rPr>
          <w:rFonts w:cs="Arial"/>
          <w:sz w:val="22"/>
        </w:rPr>
        <w:t>Percentage of professional and administrative long- term and temporary posts, by   sex,  and grade (cumulative) until Dec 31 2007</w:t>
      </w:r>
    </w:p>
    <w:p w:rsidR="009571FA" w:rsidRPr="00376C70" w:rsidRDefault="009571FA" w:rsidP="00581596">
      <w:pPr>
        <w:pStyle w:val="ListParagraph"/>
        <w:numPr>
          <w:ilvl w:val="0"/>
          <w:numId w:val="50"/>
        </w:numPr>
        <w:ind w:left="1224"/>
        <w:rPr>
          <w:b/>
          <w:sz w:val="28"/>
        </w:rPr>
      </w:pPr>
      <w:r w:rsidRPr="00376C70">
        <w:rPr>
          <w:rFonts w:cs="Arial"/>
          <w:sz w:val="22"/>
        </w:rPr>
        <w:t xml:space="preserve">Percentage of long-term and temporary </w:t>
      </w:r>
      <w:r w:rsidRPr="00376C70">
        <w:rPr>
          <w:rFonts w:cs="Arial"/>
          <w:i/>
          <w:sz w:val="22"/>
        </w:rPr>
        <w:t>new appointments</w:t>
      </w:r>
      <w:r w:rsidRPr="00376C70">
        <w:rPr>
          <w:rFonts w:cs="Arial"/>
          <w:sz w:val="22"/>
        </w:rPr>
        <w:t xml:space="preserve"> in </w:t>
      </w:r>
      <w:r w:rsidR="000E1B85">
        <w:rPr>
          <w:rFonts w:cs="Arial"/>
          <w:sz w:val="22"/>
        </w:rPr>
        <w:t xml:space="preserve">2007 </w:t>
      </w:r>
      <w:r w:rsidRPr="00376C70">
        <w:rPr>
          <w:rFonts w:cs="Arial"/>
          <w:sz w:val="22"/>
        </w:rPr>
        <w:t>by sex and grade (P, G, NPO).</w:t>
      </w:r>
    </w:p>
    <w:p w:rsidR="00CB6A03" w:rsidRDefault="00CB6A03" w:rsidP="00CB6A03">
      <w:pPr>
        <w:ind w:left="1022"/>
        <w:rPr>
          <w:b/>
          <w:sz w:val="24"/>
        </w:rPr>
      </w:pPr>
    </w:p>
    <w:p w:rsidR="00CB6A03" w:rsidRPr="00C81949" w:rsidRDefault="00C81949" w:rsidP="00CB6A03">
      <w:pPr>
        <w:ind w:left="1022"/>
        <w:rPr>
          <w:b/>
          <w:sz w:val="24"/>
        </w:rPr>
      </w:pPr>
      <w:r w:rsidRPr="00C81949">
        <w:rPr>
          <w:b/>
          <w:sz w:val="24"/>
        </w:rPr>
        <w:t xml:space="preserve">Summary Results </w:t>
      </w:r>
      <w:r>
        <w:rPr>
          <w:b/>
          <w:sz w:val="24"/>
        </w:rPr>
        <w:t>for Indicators o</w:t>
      </w:r>
      <w:r w:rsidRPr="00C81949">
        <w:rPr>
          <w:b/>
          <w:sz w:val="24"/>
        </w:rPr>
        <w:t xml:space="preserve">f Sex Parity </w:t>
      </w:r>
      <w:r>
        <w:rPr>
          <w:b/>
          <w:sz w:val="24"/>
        </w:rPr>
        <w:t>i</w:t>
      </w:r>
      <w:r w:rsidRPr="00C81949">
        <w:rPr>
          <w:b/>
          <w:sz w:val="24"/>
        </w:rPr>
        <w:t>n Staff</w:t>
      </w:r>
    </w:p>
    <w:p w:rsidR="00CB6A03" w:rsidRDefault="00CB6A03" w:rsidP="00CB6A03">
      <w:pPr>
        <w:rPr>
          <w:rFonts w:cs="Arial"/>
          <w:szCs w:val="22"/>
        </w:rPr>
      </w:pPr>
      <w:r>
        <w:rPr>
          <w:rFonts w:cs="Arial"/>
          <w:szCs w:val="22"/>
        </w:rPr>
        <w:t xml:space="preserve"> </w:t>
      </w:r>
    </w:p>
    <w:p w:rsidR="00CB6A03" w:rsidRPr="007540F2" w:rsidRDefault="00CB6A03" w:rsidP="00C81949">
      <w:pPr>
        <w:ind w:left="864"/>
        <w:rPr>
          <w:rFonts w:cs="Arial"/>
          <w:sz w:val="22"/>
          <w:szCs w:val="22"/>
        </w:rPr>
      </w:pPr>
      <w:r w:rsidRPr="007540F2">
        <w:rPr>
          <w:rFonts w:cs="Arial"/>
          <w:b/>
          <w:sz w:val="22"/>
          <w:szCs w:val="22"/>
        </w:rPr>
        <w:t>Table 1</w:t>
      </w:r>
      <w:r w:rsidR="003D65A2">
        <w:rPr>
          <w:rFonts w:cs="Arial"/>
          <w:b/>
          <w:sz w:val="22"/>
          <w:szCs w:val="22"/>
        </w:rPr>
        <w:t>4</w:t>
      </w:r>
      <w:r w:rsidR="00D201FE">
        <w:rPr>
          <w:rFonts w:cs="Arial"/>
          <w:b/>
          <w:sz w:val="22"/>
          <w:szCs w:val="22"/>
        </w:rPr>
        <w:t>.</w:t>
      </w:r>
      <w:r w:rsidRPr="007540F2">
        <w:rPr>
          <w:rFonts w:cs="Arial"/>
          <w:b/>
          <w:sz w:val="22"/>
          <w:szCs w:val="22"/>
        </w:rPr>
        <w:t xml:space="preserve"> </w:t>
      </w:r>
      <w:r w:rsidRPr="007540F2">
        <w:rPr>
          <w:rFonts w:cs="Arial"/>
          <w:sz w:val="22"/>
          <w:szCs w:val="22"/>
        </w:rPr>
        <w:t>AMRO/</w:t>
      </w:r>
      <w:r w:rsidRPr="007540F2">
        <w:rPr>
          <w:rFonts w:cs="Arial"/>
          <w:b/>
          <w:sz w:val="22"/>
          <w:szCs w:val="22"/>
        </w:rPr>
        <w:t xml:space="preserve"> </w:t>
      </w:r>
      <w:r w:rsidRPr="007540F2">
        <w:rPr>
          <w:rFonts w:cs="Arial"/>
          <w:sz w:val="22"/>
          <w:szCs w:val="22"/>
        </w:rPr>
        <w:t xml:space="preserve">PAHO: Percentage of women among </w:t>
      </w:r>
      <w:r w:rsidRPr="00D201FE">
        <w:rPr>
          <w:rFonts w:cs="Arial"/>
          <w:b/>
          <w:sz w:val="22"/>
          <w:szCs w:val="22"/>
        </w:rPr>
        <w:t xml:space="preserve">all </w:t>
      </w:r>
      <w:r w:rsidR="00D201FE" w:rsidRPr="00D201FE">
        <w:rPr>
          <w:rFonts w:cs="Arial"/>
          <w:b/>
          <w:sz w:val="22"/>
          <w:szCs w:val="22"/>
        </w:rPr>
        <w:t>active</w:t>
      </w:r>
      <w:r w:rsidRPr="00D201FE">
        <w:rPr>
          <w:rFonts w:cs="Arial"/>
          <w:b/>
          <w:sz w:val="22"/>
          <w:szCs w:val="22"/>
        </w:rPr>
        <w:t xml:space="preserve"> staff,</w:t>
      </w:r>
      <w:r w:rsidRPr="007540F2">
        <w:rPr>
          <w:rFonts w:cs="Arial"/>
          <w:sz w:val="22"/>
          <w:szCs w:val="22"/>
        </w:rPr>
        <w:t xml:space="preserve"> </w:t>
      </w:r>
      <w:r w:rsidR="00D201FE">
        <w:rPr>
          <w:rFonts w:cs="Arial"/>
          <w:sz w:val="22"/>
          <w:szCs w:val="22"/>
        </w:rPr>
        <w:t xml:space="preserve">                           </w:t>
      </w:r>
      <w:r w:rsidRPr="007540F2">
        <w:rPr>
          <w:rFonts w:cs="Arial"/>
          <w:sz w:val="22"/>
          <w:szCs w:val="22"/>
        </w:rPr>
        <w:t>by grade, contract</w:t>
      </w:r>
      <w:r w:rsidR="00D201FE" w:rsidRPr="00D201FE">
        <w:rPr>
          <w:rFonts w:cs="Arial"/>
          <w:sz w:val="22"/>
          <w:szCs w:val="22"/>
        </w:rPr>
        <w:t xml:space="preserve"> </w:t>
      </w:r>
      <w:r w:rsidR="00D201FE" w:rsidRPr="007540F2">
        <w:rPr>
          <w:rFonts w:cs="Arial"/>
          <w:sz w:val="22"/>
          <w:szCs w:val="22"/>
        </w:rPr>
        <w:t>type</w:t>
      </w:r>
      <w:r w:rsidRPr="007540F2">
        <w:rPr>
          <w:rFonts w:cs="Arial"/>
          <w:sz w:val="22"/>
          <w:szCs w:val="22"/>
        </w:rPr>
        <w:t xml:space="preserve">, and location.  December 31, 2007. </w:t>
      </w:r>
    </w:p>
    <w:p w:rsidR="00CB6A03" w:rsidRDefault="00CB6A03" w:rsidP="00CB6A03">
      <w:pPr>
        <w:tabs>
          <w:tab w:val="left" w:pos="630"/>
        </w:tabs>
        <w:ind w:left="1382"/>
        <w:rPr>
          <w:rFonts w:cs="Arial"/>
          <w:sz w:val="10"/>
          <w:szCs w:val="22"/>
        </w:rPr>
      </w:pPr>
    </w:p>
    <w:tbl>
      <w:tblPr>
        <w:tblW w:w="6750" w:type="dxa"/>
        <w:tblInd w:w="1008" w:type="dxa"/>
        <w:tblLayout w:type="fixed"/>
        <w:tblLook w:val="00A0"/>
      </w:tblPr>
      <w:tblGrid>
        <w:gridCol w:w="1260"/>
        <w:gridCol w:w="810"/>
        <w:gridCol w:w="990"/>
        <w:gridCol w:w="1080"/>
        <w:gridCol w:w="990"/>
        <w:gridCol w:w="720"/>
        <w:gridCol w:w="900"/>
      </w:tblGrid>
      <w:tr w:rsidR="00023CB1" w:rsidTr="002A6067">
        <w:trPr>
          <w:trHeight w:val="255"/>
        </w:trPr>
        <w:tc>
          <w:tcPr>
            <w:tcW w:w="1260" w:type="dxa"/>
            <w:vMerge w:val="restart"/>
            <w:tcBorders>
              <w:top w:val="single" w:sz="4" w:space="0" w:color="auto"/>
              <w:left w:val="single" w:sz="4" w:space="0" w:color="auto"/>
              <w:right w:val="single" w:sz="4" w:space="0" w:color="auto"/>
            </w:tcBorders>
            <w:shd w:val="clear" w:color="auto" w:fill="FBD4B4" w:themeFill="accent6" w:themeFillTint="66"/>
            <w:vAlign w:val="center"/>
          </w:tcPr>
          <w:p w:rsidR="00023CB1" w:rsidRDefault="00023CB1" w:rsidP="000943E9">
            <w:pPr>
              <w:tabs>
                <w:tab w:val="left" w:pos="630"/>
              </w:tabs>
              <w:jc w:val="center"/>
              <w:rPr>
                <w:rFonts w:cs="Arial"/>
                <w:b/>
                <w:bCs/>
                <w:sz w:val="18"/>
                <w:szCs w:val="20"/>
              </w:rPr>
            </w:pPr>
            <w:r>
              <w:rPr>
                <w:rFonts w:cs="Arial"/>
                <w:b/>
                <w:bCs/>
                <w:sz w:val="18"/>
                <w:szCs w:val="20"/>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23CB1" w:rsidRDefault="00023CB1" w:rsidP="000943E9">
            <w:pPr>
              <w:tabs>
                <w:tab w:val="left" w:pos="630"/>
              </w:tabs>
              <w:jc w:val="center"/>
              <w:rPr>
                <w:rFonts w:cs="Arial"/>
                <w:b/>
                <w:bCs/>
                <w:sz w:val="18"/>
                <w:szCs w:val="20"/>
              </w:rPr>
            </w:pPr>
            <w:r>
              <w:rPr>
                <w:rFonts w:cs="Arial"/>
                <w:b/>
                <w:bCs/>
                <w:sz w:val="18"/>
                <w:szCs w:val="20"/>
              </w:rPr>
              <w:t xml:space="preserve">Total </w:t>
            </w:r>
          </w:p>
        </w:tc>
        <w:tc>
          <w:tcPr>
            <w:tcW w:w="2070" w:type="dxa"/>
            <w:gridSpan w:val="2"/>
            <w:tcBorders>
              <w:top w:val="single" w:sz="4" w:space="0" w:color="auto"/>
              <w:left w:val="nil"/>
              <w:bottom w:val="single" w:sz="4" w:space="0" w:color="auto"/>
              <w:right w:val="single" w:sz="4" w:space="0" w:color="auto"/>
            </w:tcBorders>
            <w:shd w:val="clear" w:color="auto" w:fill="FBD4B4" w:themeFill="accent6" w:themeFillTint="66"/>
            <w:noWrap/>
            <w:vAlign w:val="bottom"/>
          </w:tcPr>
          <w:p w:rsidR="00023CB1" w:rsidRDefault="00023CB1" w:rsidP="000943E9">
            <w:pPr>
              <w:tabs>
                <w:tab w:val="left" w:pos="630"/>
              </w:tabs>
              <w:jc w:val="center"/>
              <w:rPr>
                <w:rFonts w:cs="Arial"/>
                <w:b/>
                <w:bCs/>
                <w:sz w:val="18"/>
                <w:szCs w:val="20"/>
              </w:rPr>
            </w:pPr>
            <w:r>
              <w:rPr>
                <w:rFonts w:cs="Arial"/>
                <w:b/>
                <w:bCs/>
                <w:szCs w:val="20"/>
              </w:rPr>
              <w:t>Contract</w:t>
            </w:r>
            <w:r w:rsidR="002A6067">
              <w:rPr>
                <w:rFonts w:cs="Arial"/>
                <w:b/>
                <w:bCs/>
                <w:szCs w:val="20"/>
              </w:rPr>
              <w:t xml:space="preserve"> Type</w:t>
            </w:r>
          </w:p>
        </w:tc>
        <w:tc>
          <w:tcPr>
            <w:tcW w:w="1620" w:type="dxa"/>
            <w:gridSpan w:val="2"/>
            <w:tcBorders>
              <w:top w:val="single" w:sz="4" w:space="0" w:color="auto"/>
              <w:left w:val="nil"/>
              <w:bottom w:val="single" w:sz="4" w:space="0" w:color="auto"/>
              <w:right w:val="single" w:sz="4" w:space="0" w:color="auto"/>
            </w:tcBorders>
            <w:shd w:val="clear" w:color="auto" w:fill="FBD4B4" w:themeFill="accent6" w:themeFillTint="66"/>
            <w:noWrap/>
            <w:vAlign w:val="bottom"/>
          </w:tcPr>
          <w:p w:rsidR="00023CB1" w:rsidRDefault="00023CB1" w:rsidP="000943E9">
            <w:pPr>
              <w:tabs>
                <w:tab w:val="left" w:pos="630"/>
              </w:tabs>
              <w:jc w:val="center"/>
              <w:rPr>
                <w:rFonts w:cs="Arial"/>
                <w:b/>
                <w:bCs/>
                <w:sz w:val="18"/>
                <w:szCs w:val="20"/>
              </w:rPr>
            </w:pPr>
            <w:r>
              <w:rPr>
                <w:rFonts w:cs="Arial"/>
                <w:b/>
                <w:bCs/>
                <w:szCs w:val="20"/>
              </w:rPr>
              <w:t>Location</w:t>
            </w:r>
          </w:p>
        </w:tc>
      </w:tr>
      <w:tr w:rsidR="00023CB1" w:rsidTr="002A6067">
        <w:trPr>
          <w:trHeight w:val="483"/>
        </w:trPr>
        <w:tc>
          <w:tcPr>
            <w:tcW w:w="1260" w:type="dxa"/>
            <w:vMerge/>
            <w:tcBorders>
              <w:left w:val="single" w:sz="4" w:space="0" w:color="auto"/>
              <w:bottom w:val="single" w:sz="4" w:space="0" w:color="auto"/>
              <w:right w:val="single" w:sz="4" w:space="0" w:color="auto"/>
            </w:tcBorders>
            <w:shd w:val="clear" w:color="auto" w:fill="FBD4B4" w:themeFill="accent6" w:themeFillTint="66"/>
            <w:vAlign w:val="center"/>
          </w:tcPr>
          <w:p w:rsidR="00023CB1" w:rsidRDefault="00023CB1" w:rsidP="000943E9">
            <w:pPr>
              <w:rPr>
                <w:rFonts w:cs="Arial"/>
                <w:b/>
                <w:bCs/>
                <w:sz w:val="18"/>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2A6067" w:rsidRPr="002A6067" w:rsidRDefault="00023CB1" w:rsidP="002A6067">
            <w:pPr>
              <w:rPr>
                <w:rFonts w:cs="Arial"/>
                <w:b/>
                <w:bCs/>
                <w:szCs w:val="20"/>
              </w:rPr>
            </w:pPr>
            <w:r w:rsidRPr="00023CB1">
              <w:rPr>
                <w:rFonts w:cs="Arial"/>
                <w:b/>
                <w:bCs/>
                <w:sz w:val="18"/>
                <w:szCs w:val="20"/>
              </w:rPr>
              <w:t xml:space="preserve"> </w:t>
            </w:r>
          </w:p>
          <w:p w:rsidR="00023CB1" w:rsidRDefault="002A6067" w:rsidP="002A6067">
            <w:pPr>
              <w:rPr>
                <w:rFonts w:cs="Arial"/>
                <w:b/>
                <w:bCs/>
                <w:sz w:val="18"/>
                <w:szCs w:val="20"/>
              </w:rPr>
            </w:pPr>
            <w:r>
              <w:rPr>
                <w:rFonts w:cs="Arial"/>
                <w:b/>
                <w:bCs/>
                <w:sz w:val="18"/>
                <w:szCs w:val="20"/>
              </w:rPr>
              <w:t>#</w:t>
            </w:r>
            <w:r w:rsidR="00023CB1" w:rsidRPr="00023CB1">
              <w:rPr>
                <w:rFonts w:cs="Arial"/>
                <w:b/>
                <w:bCs/>
                <w:sz w:val="18"/>
                <w:szCs w:val="20"/>
              </w:rPr>
              <w:t xml:space="preserve"> staff</w:t>
            </w:r>
          </w:p>
        </w:tc>
        <w:tc>
          <w:tcPr>
            <w:tcW w:w="99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023CB1" w:rsidRDefault="00023CB1" w:rsidP="000943E9">
            <w:pPr>
              <w:rPr>
                <w:rFonts w:cs="Arial"/>
                <w:b/>
                <w:bCs/>
                <w:sz w:val="18"/>
                <w:szCs w:val="20"/>
              </w:rPr>
            </w:pPr>
            <w:r>
              <w:rPr>
                <w:rFonts w:cs="Arial"/>
                <w:b/>
                <w:bCs/>
                <w:sz w:val="18"/>
                <w:szCs w:val="20"/>
              </w:rPr>
              <w:t xml:space="preserve">     % women</w:t>
            </w:r>
          </w:p>
        </w:tc>
        <w:tc>
          <w:tcPr>
            <w:tcW w:w="1080" w:type="dxa"/>
            <w:tcBorders>
              <w:top w:val="nil"/>
              <w:left w:val="nil"/>
              <w:bottom w:val="single" w:sz="4" w:space="0" w:color="auto"/>
              <w:right w:val="single" w:sz="4" w:space="0" w:color="auto"/>
            </w:tcBorders>
            <w:shd w:val="clear" w:color="auto" w:fill="FBD4B4" w:themeFill="accent6" w:themeFillTint="66"/>
            <w:noWrap/>
            <w:vAlign w:val="bottom"/>
          </w:tcPr>
          <w:p w:rsidR="00023CB1" w:rsidRPr="002A6067" w:rsidRDefault="00023CB1" w:rsidP="000943E9">
            <w:pPr>
              <w:tabs>
                <w:tab w:val="left" w:pos="630"/>
              </w:tabs>
              <w:jc w:val="center"/>
              <w:rPr>
                <w:rFonts w:cs="Arial"/>
                <w:b/>
                <w:bCs/>
                <w:sz w:val="18"/>
                <w:szCs w:val="20"/>
              </w:rPr>
            </w:pPr>
            <w:r w:rsidRPr="002A6067">
              <w:rPr>
                <w:rFonts w:cs="Arial"/>
                <w:b/>
                <w:bCs/>
                <w:sz w:val="18"/>
                <w:szCs w:val="20"/>
              </w:rPr>
              <w:t>Long term</w:t>
            </w:r>
          </w:p>
        </w:tc>
        <w:tc>
          <w:tcPr>
            <w:tcW w:w="990" w:type="dxa"/>
            <w:tcBorders>
              <w:top w:val="nil"/>
              <w:left w:val="nil"/>
              <w:bottom w:val="single" w:sz="4" w:space="0" w:color="auto"/>
              <w:right w:val="single" w:sz="4" w:space="0" w:color="auto"/>
            </w:tcBorders>
            <w:shd w:val="clear" w:color="auto" w:fill="FBD4B4" w:themeFill="accent6" w:themeFillTint="66"/>
            <w:noWrap/>
            <w:vAlign w:val="bottom"/>
          </w:tcPr>
          <w:p w:rsidR="00023CB1" w:rsidRPr="002A6067" w:rsidRDefault="002A6067" w:rsidP="000943E9">
            <w:pPr>
              <w:tabs>
                <w:tab w:val="left" w:pos="630"/>
              </w:tabs>
              <w:rPr>
                <w:rFonts w:cs="Arial"/>
                <w:b/>
                <w:bCs/>
                <w:sz w:val="18"/>
                <w:szCs w:val="20"/>
              </w:rPr>
            </w:pPr>
            <w:r w:rsidRPr="002A6067">
              <w:rPr>
                <w:rFonts w:cs="Arial"/>
                <w:b/>
                <w:bCs/>
                <w:sz w:val="18"/>
                <w:szCs w:val="20"/>
              </w:rPr>
              <w:t>T</w:t>
            </w:r>
            <w:r w:rsidR="00023CB1" w:rsidRPr="002A6067">
              <w:rPr>
                <w:rFonts w:cs="Arial"/>
                <w:b/>
                <w:bCs/>
                <w:sz w:val="18"/>
                <w:szCs w:val="20"/>
              </w:rPr>
              <w:t>emp</w:t>
            </w:r>
          </w:p>
        </w:tc>
        <w:tc>
          <w:tcPr>
            <w:tcW w:w="720" w:type="dxa"/>
            <w:tcBorders>
              <w:top w:val="nil"/>
              <w:left w:val="nil"/>
              <w:bottom w:val="single" w:sz="4" w:space="0" w:color="auto"/>
              <w:right w:val="single" w:sz="4" w:space="0" w:color="auto"/>
            </w:tcBorders>
            <w:shd w:val="clear" w:color="auto" w:fill="FBD4B4" w:themeFill="accent6" w:themeFillTint="66"/>
            <w:noWrap/>
            <w:vAlign w:val="bottom"/>
          </w:tcPr>
          <w:p w:rsidR="00023CB1" w:rsidRDefault="00023CB1" w:rsidP="000943E9">
            <w:pPr>
              <w:tabs>
                <w:tab w:val="left" w:pos="630"/>
              </w:tabs>
              <w:jc w:val="center"/>
              <w:rPr>
                <w:rFonts w:cs="Arial"/>
                <w:b/>
                <w:bCs/>
                <w:sz w:val="18"/>
                <w:szCs w:val="20"/>
              </w:rPr>
            </w:pPr>
            <w:r>
              <w:rPr>
                <w:rFonts w:cs="Arial"/>
                <w:b/>
                <w:bCs/>
                <w:sz w:val="18"/>
                <w:szCs w:val="20"/>
              </w:rPr>
              <w:t>HQ</w:t>
            </w:r>
          </w:p>
        </w:tc>
        <w:tc>
          <w:tcPr>
            <w:tcW w:w="900" w:type="dxa"/>
            <w:tcBorders>
              <w:top w:val="nil"/>
              <w:left w:val="nil"/>
              <w:bottom w:val="single" w:sz="4" w:space="0" w:color="auto"/>
              <w:right w:val="single" w:sz="4" w:space="0" w:color="auto"/>
            </w:tcBorders>
            <w:shd w:val="clear" w:color="auto" w:fill="FBD4B4" w:themeFill="accent6" w:themeFillTint="66"/>
            <w:noWrap/>
            <w:vAlign w:val="bottom"/>
          </w:tcPr>
          <w:p w:rsidR="00023CB1" w:rsidRDefault="00023CB1" w:rsidP="000943E9">
            <w:pPr>
              <w:tabs>
                <w:tab w:val="left" w:pos="630"/>
              </w:tabs>
              <w:jc w:val="center"/>
              <w:rPr>
                <w:rFonts w:cs="Arial"/>
                <w:b/>
                <w:bCs/>
                <w:sz w:val="18"/>
                <w:szCs w:val="20"/>
              </w:rPr>
            </w:pPr>
            <w:r>
              <w:rPr>
                <w:rFonts w:cs="Arial"/>
                <w:b/>
                <w:bCs/>
                <w:sz w:val="18"/>
                <w:szCs w:val="20"/>
              </w:rPr>
              <w:t>CO</w:t>
            </w:r>
          </w:p>
        </w:tc>
      </w:tr>
      <w:tr w:rsidR="00CB6A03" w:rsidTr="002A6067">
        <w:trPr>
          <w:trHeight w:val="255"/>
        </w:trPr>
        <w:tc>
          <w:tcPr>
            <w:tcW w:w="1260" w:type="dxa"/>
            <w:tcBorders>
              <w:top w:val="nil"/>
              <w:left w:val="single" w:sz="4" w:space="0" w:color="000000"/>
              <w:bottom w:val="single" w:sz="4" w:space="0" w:color="000000"/>
              <w:right w:val="nil"/>
            </w:tcBorders>
            <w:shd w:val="clear" w:color="auto" w:fill="CCCCFF"/>
            <w:vAlign w:val="center"/>
          </w:tcPr>
          <w:p w:rsidR="00CB6A03" w:rsidRDefault="00CB6A03" w:rsidP="000943E9">
            <w:pPr>
              <w:tabs>
                <w:tab w:val="left" w:pos="630"/>
              </w:tabs>
              <w:rPr>
                <w:rFonts w:cs="Arial"/>
                <w:b/>
                <w:bCs/>
                <w:szCs w:val="20"/>
              </w:rPr>
            </w:pPr>
            <w:r>
              <w:rPr>
                <w:rFonts w:cs="Arial"/>
                <w:b/>
                <w:bCs/>
                <w:szCs w:val="20"/>
              </w:rPr>
              <w:t>Total Staff</w:t>
            </w:r>
          </w:p>
        </w:tc>
        <w:tc>
          <w:tcPr>
            <w:tcW w:w="810" w:type="dxa"/>
            <w:tcBorders>
              <w:top w:val="nil"/>
              <w:left w:val="single" w:sz="4" w:space="0" w:color="auto"/>
              <w:bottom w:val="single" w:sz="4" w:space="0" w:color="auto"/>
              <w:right w:val="single" w:sz="4" w:space="0" w:color="auto"/>
            </w:tcBorders>
            <w:shd w:val="clear" w:color="auto" w:fill="C6D9F1" w:themeFill="text2" w:themeFillTint="33"/>
          </w:tcPr>
          <w:p w:rsidR="00CB6A03" w:rsidRDefault="00CB6A03" w:rsidP="000943E9">
            <w:pPr>
              <w:tabs>
                <w:tab w:val="left" w:pos="630"/>
              </w:tabs>
              <w:jc w:val="center"/>
              <w:rPr>
                <w:rFonts w:cs="Arial"/>
                <w:b/>
                <w:bCs/>
                <w:szCs w:val="20"/>
              </w:rPr>
            </w:pPr>
            <w:r>
              <w:rPr>
                <w:rFonts w:cs="Arial"/>
                <w:b/>
                <w:bCs/>
                <w:szCs w:val="20"/>
              </w:rPr>
              <w:t>889</w:t>
            </w:r>
          </w:p>
        </w:tc>
        <w:tc>
          <w:tcPr>
            <w:tcW w:w="990" w:type="dxa"/>
            <w:tcBorders>
              <w:top w:val="nil"/>
              <w:left w:val="single" w:sz="4" w:space="0" w:color="auto"/>
              <w:bottom w:val="single" w:sz="4" w:space="0" w:color="auto"/>
              <w:right w:val="single" w:sz="4" w:space="0" w:color="auto"/>
            </w:tcBorders>
            <w:shd w:val="clear" w:color="auto" w:fill="CCCCFF"/>
            <w:noWrap/>
            <w:vAlign w:val="bottom"/>
          </w:tcPr>
          <w:p w:rsidR="00CB6A03" w:rsidRDefault="00CB6A03" w:rsidP="000943E9">
            <w:pPr>
              <w:tabs>
                <w:tab w:val="left" w:pos="630"/>
              </w:tabs>
              <w:jc w:val="center"/>
              <w:rPr>
                <w:rFonts w:cs="Arial"/>
                <w:b/>
                <w:bCs/>
                <w:szCs w:val="20"/>
              </w:rPr>
            </w:pPr>
            <w:r>
              <w:rPr>
                <w:rFonts w:cs="Arial"/>
                <w:b/>
                <w:bCs/>
                <w:szCs w:val="20"/>
              </w:rPr>
              <w:t>59.3</w:t>
            </w:r>
          </w:p>
        </w:tc>
        <w:tc>
          <w:tcPr>
            <w:tcW w:w="1080" w:type="dxa"/>
            <w:tcBorders>
              <w:top w:val="nil"/>
              <w:left w:val="nil"/>
              <w:bottom w:val="single" w:sz="4" w:space="0" w:color="auto"/>
              <w:right w:val="single" w:sz="4" w:space="0" w:color="auto"/>
            </w:tcBorders>
            <w:shd w:val="clear" w:color="auto" w:fill="CCCCFF"/>
            <w:noWrap/>
            <w:vAlign w:val="bottom"/>
          </w:tcPr>
          <w:p w:rsidR="00CB6A03" w:rsidRDefault="00CB6A03" w:rsidP="000943E9">
            <w:pPr>
              <w:tabs>
                <w:tab w:val="left" w:pos="630"/>
              </w:tabs>
              <w:jc w:val="center"/>
              <w:rPr>
                <w:rFonts w:cs="Arial"/>
                <w:b/>
                <w:bCs/>
                <w:szCs w:val="20"/>
              </w:rPr>
            </w:pPr>
            <w:r>
              <w:rPr>
                <w:rFonts w:cs="Arial"/>
                <w:b/>
                <w:bCs/>
                <w:szCs w:val="20"/>
              </w:rPr>
              <w:t>59.2</w:t>
            </w:r>
          </w:p>
        </w:tc>
        <w:tc>
          <w:tcPr>
            <w:tcW w:w="990" w:type="dxa"/>
            <w:tcBorders>
              <w:top w:val="nil"/>
              <w:left w:val="nil"/>
              <w:bottom w:val="single" w:sz="4" w:space="0" w:color="auto"/>
              <w:right w:val="single" w:sz="4" w:space="0" w:color="auto"/>
            </w:tcBorders>
            <w:shd w:val="clear" w:color="auto" w:fill="CCCCFF"/>
            <w:noWrap/>
            <w:vAlign w:val="bottom"/>
          </w:tcPr>
          <w:p w:rsidR="00CB6A03" w:rsidRDefault="00CB6A03" w:rsidP="000943E9">
            <w:pPr>
              <w:tabs>
                <w:tab w:val="left" w:pos="630"/>
              </w:tabs>
              <w:jc w:val="center"/>
              <w:rPr>
                <w:rFonts w:cs="Arial"/>
                <w:b/>
                <w:bCs/>
                <w:szCs w:val="20"/>
              </w:rPr>
            </w:pPr>
            <w:r>
              <w:rPr>
                <w:rFonts w:cs="Arial"/>
                <w:b/>
                <w:bCs/>
                <w:szCs w:val="20"/>
              </w:rPr>
              <w:t>60.2</w:t>
            </w:r>
          </w:p>
        </w:tc>
        <w:tc>
          <w:tcPr>
            <w:tcW w:w="720" w:type="dxa"/>
            <w:tcBorders>
              <w:top w:val="nil"/>
              <w:left w:val="nil"/>
              <w:bottom w:val="single" w:sz="4" w:space="0" w:color="auto"/>
              <w:right w:val="single" w:sz="4" w:space="0" w:color="auto"/>
            </w:tcBorders>
            <w:shd w:val="clear" w:color="auto" w:fill="CCCCFF"/>
            <w:noWrap/>
            <w:vAlign w:val="bottom"/>
          </w:tcPr>
          <w:p w:rsidR="00CB6A03" w:rsidRDefault="00CB6A03" w:rsidP="000943E9">
            <w:pPr>
              <w:tabs>
                <w:tab w:val="left" w:pos="630"/>
              </w:tabs>
              <w:jc w:val="center"/>
              <w:rPr>
                <w:rFonts w:cs="Arial"/>
                <w:b/>
                <w:bCs/>
                <w:szCs w:val="20"/>
              </w:rPr>
            </w:pPr>
            <w:r>
              <w:rPr>
                <w:rFonts w:cs="Arial"/>
                <w:b/>
                <w:bCs/>
                <w:szCs w:val="20"/>
              </w:rPr>
              <w:t>64.6</w:t>
            </w:r>
          </w:p>
        </w:tc>
        <w:tc>
          <w:tcPr>
            <w:tcW w:w="900" w:type="dxa"/>
            <w:tcBorders>
              <w:top w:val="nil"/>
              <w:left w:val="nil"/>
              <w:bottom w:val="single" w:sz="4" w:space="0" w:color="auto"/>
              <w:right w:val="single" w:sz="4" w:space="0" w:color="auto"/>
            </w:tcBorders>
            <w:shd w:val="clear" w:color="auto" w:fill="CCCCFF"/>
            <w:noWrap/>
            <w:vAlign w:val="bottom"/>
          </w:tcPr>
          <w:p w:rsidR="00CB6A03" w:rsidRDefault="00CB6A03" w:rsidP="000943E9">
            <w:pPr>
              <w:tabs>
                <w:tab w:val="left" w:pos="630"/>
              </w:tabs>
              <w:jc w:val="center"/>
              <w:rPr>
                <w:rFonts w:cs="Arial"/>
                <w:b/>
                <w:bCs/>
                <w:szCs w:val="20"/>
              </w:rPr>
            </w:pPr>
            <w:r>
              <w:rPr>
                <w:rFonts w:cs="Arial"/>
                <w:b/>
                <w:bCs/>
                <w:szCs w:val="20"/>
              </w:rPr>
              <w:t>52.9</w:t>
            </w:r>
          </w:p>
        </w:tc>
      </w:tr>
      <w:tr w:rsidR="00CB6A03" w:rsidTr="00273A55">
        <w:trPr>
          <w:trHeight w:val="255"/>
        </w:trPr>
        <w:tc>
          <w:tcPr>
            <w:tcW w:w="1260" w:type="dxa"/>
            <w:tcBorders>
              <w:top w:val="nil"/>
              <w:left w:val="single" w:sz="4" w:space="0" w:color="000000"/>
              <w:bottom w:val="single" w:sz="4" w:space="0" w:color="000000"/>
              <w:right w:val="nil"/>
            </w:tcBorders>
            <w:shd w:val="clear" w:color="auto" w:fill="CCFFFF"/>
            <w:vAlign w:val="center"/>
          </w:tcPr>
          <w:p w:rsidR="00CB6A03" w:rsidRDefault="00CB6A03" w:rsidP="000943E9">
            <w:pPr>
              <w:tabs>
                <w:tab w:val="left" w:pos="630"/>
              </w:tabs>
              <w:rPr>
                <w:rFonts w:cs="Arial"/>
                <w:b/>
                <w:bCs/>
                <w:szCs w:val="20"/>
              </w:rPr>
            </w:pPr>
            <w:r>
              <w:rPr>
                <w:rFonts w:cs="Arial"/>
                <w:b/>
                <w:bCs/>
                <w:szCs w:val="20"/>
              </w:rPr>
              <w:t>Total P</w:t>
            </w:r>
          </w:p>
        </w:tc>
        <w:tc>
          <w:tcPr>
            <w:tcW w:w="810" w:type="dxa"/>
            <w:tcBorders>
              <w:top w:val="nil"/>
              <w:left w:val="single" w:sz="4" w:space="0" w:color="auto"/>
              <w:bottom w:val="single" w:sz="4" w:space="0" w:color="auto"/>
              <w:right w:val="single" w:sz="4" w:space="0" w:color="auto"/>
            </w:tcBorders>
            <w:shd w:val="clear" w:color="auto" w:fill="CCFFFF"/>
          </w:tcPr>
          <w:p w:rsidR="00CB6A03" w:rsidRDefault="00CB6A03" w:rsidP="000943E9">
            <w:pPr>
              <w:tabs>
                <w:tab w:val="left" w:pos="630"/>
              </w:tabs>
              <w:jc w:val="center"/>
              <w:rPr>
                <w:rFonts w:cs="Arial"/>
                <w:b/>
                <w:bCs/>
                <w:szCs w:val="20"/>
              </w:rPr>
            </w:pPr>
            <w:r>
              <w:rPr>
                <w:rFonts w:cs="Arial"/>
                <w:b/>
                <w:bCs/>
                <w:szCs w:val="20"/>
              </w:rPr>
              <w:t>459</w:t>
            </w:r>
          </w:p>
        </w:tc>
        <w:tc>
          <w:tcPr>
            <w:tcW w:w="990" w:type="dxa"/>
            <w:tcBorders>
              <w:top w:val="nil"/>
              <w:left w:val="single" w:sz="4" w:space="0" w:color="auto"/>
              <w:bottom w:val="single" w:sz="4" w:space="0" w:color="auto"/>
              <w:right w:val="single" w:sz="4" w:space="0" w:color="auto"/>
            </w:tcBorders>
            <w:shd w:val="clear" w:color="auto" w:fill="CCFFFF"/>
            <w:noWrap/>
            <w:vAlign w:val="bottom"/>
          </w:tcPr>
          <w:p w:rsidR="00CB6A03" w:rsidRDefault="00CB6A03" w:rsidP="000943E9">
            <w:pPr>
              <w:tabs>
                <w:tab w:val="left" w:pos="630"/>
              </w:tabs>
              <w:jc w:val="center"/>
              <w:rPr>
                <w:rFonts w:cs="Arial"/>
                <w:b/>
                <w:bCs/>
                <w:szCs w:val="20"/>
              </w:rPr>
            </w:pPr>
            <w:r>
              <w:rPr>
                <w:rFonts w:cs="Arial"/>
                <w:b/>
                <w:bCs/>
                <w:szCs w:val="20"/>
              </w:rPr>
              <w:t>40.7</w:t>
            </w:r>
          </w:p>
        </w:tc>
        <w:tc>
          <w:tcPr>
            <w:tcW w:w="1080" w:type="dxa"/>
            <w:tcBorders>
              <w:top w:val="nil"/>
              <w:left w:val="nil"/>
              <w:bottom w:val="single" w:sz="4" w:space="0" w:color="auto"/>
              <w:right w:val="single" w:sz="4" w:space="0" w:color="auto"/>
            </w:tcBorders>
            <w:shd w:val="clear" w:color="auto" w:fill="CCFFFF"/>
            <w:noWrap/>
            <w:vAlign w:val="bottom"/>
          </w:tcPr>
          <w:p w:rsidR="00CB6A03" w:rsidRDefault="00CB6A03" w:rsidP="000943E9">
            <w:pPr>
              <w:tabs>
                <w:tab w:val="left" w:pos="630"/>
              </w:tabs>
              <w:jc w:val="center"/>
              <w:rPr>
                <w:rFonts w:cs="Arial"/>
                <w:b/>
                <w:bCs/>
                <w:szCs w:val="20"/>
              </w:rPr>
            </w:pPr>
            <w:r>
              <w:rPr>
                <w:rFonts w:cs="Arial"/>
                <w:b/>
                <w:bCs/>
                <w:szCs w:val="20"/>
              </w:rPr>
              <w:t>39.5</w:t>
            </w:r>
          </w:p>
        </w:tc>
        <w:tc>
          <w:tcPr>
            <w:tcW w:w="990" w:type="dxa"/>
            <w:tcBorders>
              <w:top w:val="nil"/>
              <w:left w:val="nil"/>
              <w:bottom w:val="single" w:sz="4" w:space="0" w:color="auto"/>
              <w:right w:val="single" w:sz="4" w:space="0" w:color="auto"/>
            </w:tcBorders>
            <w:shd w:val="clear" w:color="auto" w:fill="CCFFFF"/>
            <w:noWrap/>
            <w:vAlign w:val="bottom"/>
          </w:tcPr>
          <w:p w:rsidR="00CB6A03" w:rsidRDefault="00CB6A03" w:rsidP="000943E9">
            <w:pPr>
              <w:tabs>
                <w:tab w:val="left" w:pos="630"/>
              </w:tabs>
              <w:jc w:val="center"/>
              <w:rPr>
                <w:rFonts w:cs="Arial"/>
                <w:b/>
                <w:bCs/>
                <w:szCs w:val="20"/>
              </w:rPr>
            </w:pPr>
            <w:r>
              <w:rPr>
                <w:rFonts w:cs="Arial"/>
                <w:b/>
                <w:bCs/>
                <w:szCs w:val="20"/>
              </w:rPr>
              <w:t>50.0</w:t>
            </w:r>
          </w:p>
        </w:tc>
        <w:tc>
          <w:tcPr>
            <w:tcW w:w="720" w:type="dxa"/>
            <w:tcBorders>
              <w:top w:val="nil"/>
              <w:left w:val="nil"/>
              <w:bottom w:val="single" w:sz="4" w:space="0" w:color="auto"/>
              <w:right w:val="single" w:sz="4" w:space="0" w:color="auto"/>
            </w:tcBorders>
            <w:shd w:val="clear" w:color="auto" w:fill="CCFFFF"/>
            <w:noWrap/>
            <w:vAlign w:val="bottom"/>
          </w:tcPr>
          <w:p w:rsidR="00CB6A03" w:rsidRDefault="00CB6A03" w:rsidP="000943E9">
            <w:pPr>
              <w:tabs>
                <w:tab w:val="left" w:pos="630"/>
              </w:tabs>
              <w:jc w:val="center"/>
              <w:rPr>
                <w:rFonts w:cs="Arial"/>
                <w:b/>
                <w:bCs/>
                <w:szCs w:val="20"/>
              </w:rPr>
            </w:pPr>
            <w:r>
              <w:rPr>
                <w:rFonts w:cs="Arial"/>
                <w:b/>
                <w:bCs/>
                <w:szCs w:val="20"/>
              </w:rPr>
              <w:t>50.0</w:t>
            </w:r>
          </w:p>
        </w:tc>
        <w:tc>
          <w:tcPr>
            <w:tcW w:w="900" w:type="dxa"/>
            <w:tcBorders>
              <w:top w:val="nil"/>
              <w:left w:val="nil"/>
              <w:bottom w:val="single" w:sz="4" w:space="0" w:color="auto"/>
              <w:right w:val="single" w:sz="4" w:space="0" w:color="auto"/>
            </w:tcBorders>
            <w:shd w:val="clear" w:color="auto" w:fill="CCFFFF"/>
            <w:noWrap/>
            <w:vAlign w:val="bottom"/>
          </w:tcPr>
          <w:p w:rsidR="00CB6A03" w:rsidRDefault="00CB6A03" w:rsidP="000943E9">
            <w:pPr>
              <w:tabs>
                <w:tab w:val="left" w:pos="630"/>
              </w:tabs>
              <w:jc w:val="center"/>
              <w:rPr>
                <w:rFonts w:cs="Arial"/>
                <w:b/>
                <w:bCs/>
                <w:szCs w:val="20"/>
              </w:rPr>
            </w:pPr>
            <w:r>
              <w:rPr>
                <w:rFonts w:cs="Arial"/>
                <w:b/>
                <w:bCs/>
                <w:szCs w:val="20"/>
              </w:rPr>
              <w:t>30.0</w:t>
            </w:r>
          </w:p>
        </w:tc>
      </w:tr>
      <w:tr w:rsidR="00CB6A03" w:rsidTr="002A6067">
        <w:trPr>
          <w:trHeight w:val="255"/>
        </w:trPr>
        <w:tc>
          <w:tcPr>
            <w:tcW w:w="1260" w:type="dxa"/>
            <w:tcBorders>
              <w:top w:val="single" w:sz="4" w:space="0" w:color="000000"/>
              <w:left w:val="single" w:sz="4" w:space="0" w:color="000000"/>
              <w:bottom w:val="single" w:sz="4" w:space="0" w:color="000000"/>
              <w:right w:val="nil"/>
            </w:tcBorders>
            <w:shd w:val="clear" w:color="auto" w:fill="EEECE1" w:themeFill="background2"/>
            <w:noWrap/>
            <w:vAlign w:val="bottom"/>
          </w:tcPr>
          <w:p w:rsidR="00CB6A03" w:rsidRDefault="00CB6A03" w:rsidP="000943E9">
            <w:pPr>
              <w:tabs>
                <w:tab w:val="left" w:pos="630"/>
              </w:tabs>
              <w:rPr>
                <w:rFonts w:cs="Arial"/>
                <w:szCs w:val="20"/>
              </w:rPr>
            </w:pPr>
            <w:r>
              <w:rPr>
                <w:rFonts w:cs="Arial"/>
                <w:szCs w:val="20"/>
              </w:rPr>
              <w:t>P01</w:t>
            </w:r>
          </w:p>
        </w:tc>
        <w:tc>
          <w:tcPr>
            <w:tcW w:w="810" w:type="dxa"/>
            <w:tcBorders>
              <w:top w:val="nil"/>
              <w:left w:val="single" w:sz="4" w:space="0" w:color="auto"/>
              <w:bottom w:val="single" w:sz="4" w:space="0" w:color="auto"/>
              <w:right w:val="single" w:sz="4" w:space="0" w:color="auto"/>
            </w:tcBorders>
            <w:shd w:val="clear" w:color="auto" w:fill="C6D9F1" w:themeFill="text2" w:themeFillTint="33"/>
          </w:tcPr>
          <w:p w:rsidR="00CB6A03" w:rsidRDefault="00CB6A03" w:rsidP="000943E9">
            <w:pPr>
              <w:tabs>
                <w:tab w:val="left" w:pos="630"/>
              </w:tabs>
              <w:jc w:val="center"/>
              <w:rPr>
                <w:rFonts w:cs="Arial"/>
                <w:szCs w:val="20"/>
              </w:rPr>
            </w:pPr>
            <w:r>
              <w:rPr>
                <w:rFonts w:cs="Arial"/>
                <w:szCs w:val="20"/>
              </w:rPr>
              <w:t xml:space="preserve">  9</w:t>
            </w:r>
          </w:p>
        </w:tc>
        <w:tc>
          <w:tcPr>
            <w:tcW w:w="990" w:type="dxa"/>
            <w:tcBorders>
              <w:top w:val="nil"/>
              <w:left w:val="single" w:sz="4" w:space="0" w:color="auto"/>
              <w:bottom w:val="single" w:sz="4" w:space="0" w:color="auto"/>
              <w:right w:val="single" w:sz="4" w:space="0" w:color="auto"/>
            </w:tcBorders>
            <w:noWrap/>
            <w:vAlign w:val="bottom"/>
          </w:tcPr>
          <w:p w:rsidR="00CB6A03" w:rsidRDefault="00CB6A03" w:rsidP="000943E9">
            <w:pPr>
              <w:tabs>
                <w:tab w:val="left" w:pos="630"/>
              </w:tabs>
              <w:jc w:val="center"/>
              <w:rPr>
                <w:rFonts w:cs="Arial"/>
                <w:szCs w:val="20"/>
              </w:rPr>
            </w:pPr>
            <w:r>
              <w:rPr>
                <w:rFonts w:cs="Arial"/>
                <w:szCs w:val="20"/>
              </w:rPr>
              <w:t>77.8</w:t>
            </w:r>
          </w:p>
        </w:tc>
        <w:tc>
          <w:tcPr>
            <w:tcW w:w="1080" w:type="dxa"/>
            <w:tcBorders>
              <w:top w:val="nil"/>
              <w:left w:val="nil"/>
              <w:bottom w:val="single" w:sz="4" w:space="0" w:color="auto"/>
              <w:right w:val="single" w:sz="4" w:space="0" w:color="auto"/>
            </w:tcBorders>
            <w:shd w:val="clear" w:color="auto" w:fill="FFFFFF" w:themeFill="background1"/>
            <w:noWrap/>
            <w:vAlign w:val="bottom"/>
          </w:tcPr>
          <w:p w:rsidR="00CB6A03" w:rsidRDefault="00CB6A03" w:rsidP="000943E9">
            <w:pPr>
              <w:tabs>
                <w:tab w:val="left" w:pos="630"/>
              </w:tabs>
              <w:jc w:val="center"/>
              <w:rPr>
                <w:rFonts w:cs="Arial"/>
                <w:szCs w:val="20"/>
              </w:rPr>
            </w:pPr>
            <w:r>
              <w:rPr>
                <w:rFonts w:cs="Arial"/>
                <w:szCs w:val="20"/>
              </w:rPr>
              <w:t>66.7</w:t>
            </w:r>
          </w:p>
        </w:tc>
        <w:tc>
          <w:tcPr>
            <w:tcW w:w="990" w:type="dxa"/>
            <w:tcBorders>
              <w:top w:val="nil"/>
              <w:left w:val="nil"/>
              <w:bottom w:val="single" w:sz="4" w:space="0" w:color="auto"/>
              <w:right w:val="single" w:sz="4" w:space="0" w:color="auto"/>
            </w:tcBorders>
            <w:noWrap/>
            <w:vAlign w:val="bottom"/>
          </w:tcPr>
          <w:p w:rsidR="00CB6A03" w:rsidRDefault="00CB6A03" w:rsidP="000943E9">
            <w:pPr>
              <w:tabs>
                <w:tab w:val="left" w:pos="630"/>
              </w:tabs>
              <w:jc w:val="center"/>
              <w:rPr>
                <w:rFonts w:cs="Arial"/>
                <w:szCs w:val="20"/>
              </w:rPr>
            </w:pPr>
            <w:r>
              <w:rPr>
                <w:rFonts w:cs="Arial"/>
                <w:szCs w:val="20"/>
              </w:rPr>
              <w:t>83.3</w:t>
            </w:r>
          </w:p>
        </w:tc>
        <w:tc>
          <w:tcPr>
            <w:tcW w:w="720" w:type="dxa"/>
            <w:tcBorders>
              <w:top w:val="nil"/>
              <w:left w:val="nil"/>
              <w:bottom w:val="single" w:sz="4" w:space="0" w:color="auto"/>
              <w:right w:val="single" w:sz="4" w:space="0" w:color="auto"/>
            </w:tcBorders>
            <w:noWrap/>
            <w:vAlign w:val="bottom"/>
          </w:tcPr>
          <w:p w:rsidR="00CB6A03" w:rsidRDefault="00CB6A03" w:rsidP="000943E9">
            <w:pPr>
              <w:tabs>
                <w:tab w:val="left" w:pos="630"/>
              </w:tabs>
              <w:jc w:val="center"/>
              <w:rPr>
                <w:rFonts w:cs="Arial"/>
                <w:szCs w:val="20"/>
              </w:rPr>
            </w:pPr>
            <w:r>
              <w:rPr>
                <w:rFonts w:cs="Arial"/>
                <w:szCs w:val="20"/>
              </w:rPr>
              <w:t>75.0</w:t>
            </w:r>
          </w:p>
        </w:tc>
        <w:tc>
          <w:tcPr>
            <w:tcW w:w="900" w:type="dxa"/>
            <w:tcBorders>
              <w:top w:val="nil"/>
              <w:left w:val="nil"/>
              <w:bottom w:val="single" w:sz="4" w:space="0" w:color="auto"/>
              <w:right w:val="single" w:sz="4" w:space="0" w:color="auto"/>
            </w:tcBorders>
            <w:noWrap/>
            <w:vAlign w:val="bottom"/>
          </w:tcPr>
          <w:p w:rsidR="00CB6A03" w:rsidRDefault="00CB6A03" w:rsidP="000943E9">
            <w:pPr>
              <w:tabs>
                <w:tab w:val="left" w:pos="630"/>
              </w:tabs>
              <w:jc w:val="center"/>
              <w:rPr>
                <w:rFonts w:cs="Arial"/>
                <w:szCs w:val="20"/>
              </w:rPr>
            </w:pPr>
            <w:r>
              <w:rPr>
                <w:rFonts w:cs="Arial"/>
                <w:szCs w:val="20"/>
              </w:rPr>
              <w:t>100.0</w:t>
            </w:r>
          </w:p>
        </w:tc>
      </w:tr>
      <w:tr w:rsidR="00CB6A03" w:rsidTr="002A6067">
        <w:trPr>
          <w:trHeight w:val="255"/>
        </w:trPr>
        <w:tc>
          <w:tcPr>
            <w:tcW w:w="1260" w:type="dxa"/>
            <w:tcBorders>
              <w:top w:val="single" w:sz="4" w:space="0" w:color="000000"/>
              <w:left w:val="single" w:sz="4" w:space="0" w:color="000000"/>
              <w:bottom w:val="single" w:sz="4" w:space="0" w:color="000000"/>
              <w:right w:val="nil"/>
            </w:tcBorders>
            <w:shd w:val="clear" w:color="auto" w:fill="EEECE1" w:themeFill="background2"/>
            <w:noWrap/>
            <w:vAlign w:val="bottom"/>
          </w:tcPr>
          <w:p w:rsidR="00CB6A03" w:rsidRDefault="00CB6A03" w:rsidP="000943E9">
            <w:pPr>
              <w:tabs>
                <w:tab w:val="left" w:pos="630"/>
              </w:tabs>
              <w:rPr>
                <w:rFonts w:cs="Arial"/>
                <w:szCs w:val="20"/>
              </w:rPr>
            </w:pPr>
            <w:r>
              <w:rPr>
                <w:rFonts w:cs="Arial"/>
                <w:szCs w:val="20"/>
              </w:rPr>
              <w:t>P02</w:t>
            </w:r>
          </w:p>
        </w:tc>
        <w:tc>
          <w:tcPr>
            <w:tcW w:w="810" w:type="dxa"/>
            <w:tcBorders>
              <w:top w:val="nil"/>
              <w:left w:val="single" w:sz="4" w:space="0" w:color="auto"/>
              <w:bottom w:val="single" w:sz="4" w:space="0" w:color="auto"/>
              <w:right w:val="single" w:sz="4" w:space="0" w:color="auto"/>
            </w:tcBorders>
            <w:shd w:val="clear" w:color="auto" w:fill="C6D9F1" w:themeFill="text2" w:themeFillTint="33"/>
          </w:tcPr>
          <w:p w:rsidR="00CB6A03" w:rsidRDefault="00CB6A03" w:rsidP="000943E9">
            <w:pPr>
              <w:tabs>
                <w:tab w:val="left" w:pos="630"/>
              </w:tabs>
              <w:jc w:val="center"/>
              <w:rPr>
                <w:rFonts w:cs="Arial"/>
                <w:szCs w:val="20"/>
              </w:rPr>
            </w:pPr>
            <w:r>
              <w:rPr>
                <w:rFonts w:cs="Arial"/>
                <w:szCs w:val="20"/>
              </w:rPr>
              <w:t xml:space="preserve"> 44</w:t>
            </w:r>
          </w:p>
        </w:tc>
        <w:tc>
          <w:tcPr>
            <w:tcW w:w="990" w:type="dxa"/>
            <w:tcBorders>
              <w:top w:val="nil"/>
              <w:left w:val="single" w:sz="4" w:space="0" w:color="auto"/>
              <w:bottom w:val="single" w:sz="4" w:space="0" w:color="auto"/>
              <w:right w:val="single" w:sz="4" w:space="0" w:color="auto"/>
            </w:tcBorders>
            <w:noWrap/>
            <w:vAlign w:val="bottom"/>
          </w:tcPr>
          <w:p w:rsidR="00CB6A03" w:rsidRDefault="00CB6A03" w:rsidP="000943E9">
            <w:pPr>
              <w:tabs>
                <w:tab w:val="left" w:pos="630"/>
              </w:tabs>
              <w:jc w:val="center"/>
              <w:rPr>
                <w:rFonts w:cs="Arial"/>
                <w:szCs w:val="20"/>
              </w:rPr>
            </w:pPr>
            <w:r>
              <w:rPr>
                <w:rFonts w:cs="Arial"/>
                <w:szCs w:val="20"/>
              </w:rPr>
              <w:t>65.9</w:t>
            </w:r>
          </w:p>
        </w:tc>
        <w:tc>
          <w:tcPr>
            <w:tcW w:w="1080" w:type="dxa"/>
            <w:tcBorders>
              <w:top w:val="nil"/>
              <w:left w:val="nil"/>
              <w:bottom w:val="single" w:sz="4" w:space="0" w:color="auto"/>
              <w:right w:val="single" w:sz="4" w:space="0" w:color="auto"/>
            </w:tcBorders>
            <w:shd w:val="clear" w:color="auto" w:fill="FFFFFF" w:themeFill="background1"/>
            <w:noWrap/>
            <w:vAlign w:val="bottom"/>
          </w:tcPr>
          <w:p w:rsidR="00CB6A03" w:rsidRDefault="00CB6A03" w:rsidP="000943E9">
            <w:pPr>
              <w:tabs>
                <w:tab w:val="left" w:pos="630"/>
              </w:tabs>
              <w:jc w:val="center"/>
              <w:rPr>
                <w:rFonts w:cs="Arial"/>
                <w:szCs w:val="20"/>
              </w:rPr>
            </w:pPr>
            <w:r>
              <w:rPr>
                <w:rFonts w:cs="Arial"/>
                <w:szCs w:val="20"/>
              </w:rPr>
              <w:t>56.7</w:t>
            </w:r>
          </w:p>
        </w:tc>
        <w:tc>
          <w:tcPr>
            <w:tcW w:w="990" w:type="dxa"/>
            <w:tcBorders>
              <w:top w:val="nil"/>
              <w:left w:val="nil"/>
              <w:bottom w:val="single" w:sz="4" w:space="0" w:color="auto"/>
              <w:right w:val="single" w:sz="4" w:space="0" w:color="auto"/>
            </w:tcBorders>
            <w:noWrap/>
            <w:vAlign w:val="bottom"/>
          </w:tcPr>
          <w:p w:rsidR="00CB6A03" w:rsidRDefault="00CB6A03" w:rsidP="000943E9">
            <w:pPr>
              <w:tabs>
                <w:tab w:val="left" w:pos="630"/>
              </w:tabs>
              <w:jc w:val="center"/>
              <w:rPr>
                <w:rFonts w:cs="Arial"/>
                <w:szCs w:val="20"/>
              </w:rPr>
            </w:pPr>
            <w:r>
              <w:rPr>
                <w:rFonts w:cs="Arial"/>
                <w:szCs w:val="20"/>
              </w:rPr>
              <w:t>85.7</w:t>
            </w:r>
          </w:p>
        </w:tc>
        <w:tc>
          <w:tcPr>
            <w:tcW w:w="720" w:type="dxa"/>
            <w:tcBorders>
              <w:top w:val="nil"/>
              <w:left w:val="nil"/>
              <w:bottom w:val="single" w:sz="4" w:space="0" w:color="auto"/>
              <w:right w:val="single" w:sz="4" w:space="0" w:color="auto"/>
            </w:tcBorders>
            <w:noWrap/>
            <w:vAlign w:val="bottom"/>
          </w:tcPr>
          <w:p w:rsidR="00CB6A03" w:rsidRDefault="00CB6A03" w:rsidP="000943E9">
            <w:pPr>
              <w:tabs>
                <w:tab w:val="left" w:pos="630"/>
              </w:tabs>
              <w:jc w:val="center"/>
              <w:rPr>
                <w:rFonts w:cs="Arial"/>
                <w:szCs w:val="20"/>
              </w:rPr>
            </w:pPr>
            <w:r>
              <w:rPr>
                <w:rFonts w:cs="Arial"/>
                <w:szCs w:val="20"/>
              </w:rPr>
              <w:t>66.7</w:t>
            </w:r>
          </w:p>
        </w:tc>
        <w:tc>
          <w:tcPr>
            <w:tcW w:w="900" w:type="dxa"/>
            <w:tcBorders>
              <w:top w:val="nil"/>
              <w:left w:val="nil"/>
              <w:bottom w:val="single" w:sz="4" w:space="0" w:color="auto"/>
              <w:right w:val="single" w:sz="4" w:space="0" w:color="auto"/>
            </w:tcBorders>
            <w:noWrap/>
            <w:vAlign w:val="bottom"/>
          </w:tcPr>
          <w:p w:rsidR="00CB6A03" w:rsidRDefault="00CB6A03" w:rsidP="000943E9">
            <w:pPr>
              <w:tabs>
                <w:tab w:val="left" w:pos="630"/>
              </w:tabs>
              <w:jc w:val="center"/>
              <w:rPr>
                <w:rFonts w:cs="Arial"/>
                <w:szCs w:val="20"/>
              </w:rPr>
            </w:pPr>
            <w:r>
              <w:rPr>
                <w:rFonts w:cs="Arial"/>
                <w:szCs w:val="20"/>
              </w:rPr>
              <w:t>62.5</w:t>
            </w:r>
          </w:p>
        </w:tc>
      </w:tr>
      <w:tr w:rsidR="00CB6A03" w:rsidTr="002A6067">
        <w:trPr>
          <w:trHeight w:val="255"/>
        </w:trPr>
        <w:tc>
          <w:tcPr>
            <w:tcW w:w="1260" w:type="dxa"/>
            <w:tcBorders>
              <w:top w:val="single" w:sz="4" w:space="0" w:color="000000"/>
              <w:left w:val="single" w:sz="4" w:space="0" w:color="000000"/>
              <w:bottom w:val="single" w:sz="4" w:space="0" w:color="000000"/>
              <w:right w:val="nil"/>
            </w:tcBorders>
            <w:shd w:val="clear" w:color="auto" w:fill="EEECE1" w:themeFill="background2"/>
            <w:noWrap/>
            <w:vAlign w:val="bottom"/>
          </w:tcPr>
          <w:p w:rsidR="00CB6A03" w:rsidRDefault="00CB6A03" w:rsidP="000943E9">
            <w:pPr>
              <w:tabs>
                <w:tab w:val="left" w:pos="630"/>
              </w:tabs>
              <w:rPr>
                <w:rFonts w:cs="Arial"/>
                <w:szCs w:val="20"/>
              </w:rPr>
            </w:pPr>
            <w:r>
              <w:rPr>
                <w:rFonts w:cs="Arial"/>
                <w:szCs w:val="20"/>
              </w:rPr>
              <w:t>P03</w:t>
            </w:r>
          </w:p>
        </w:tc>
        <w:tc>
          <w:tcPr>
            <w:tcW w:w="810" w:type="dxa"/>
            <w:tcBorders>
              <w:top w:val="nil"/>
              <w:left w:val="single" w:sz="4" w:space="0" w:color="auto"/>
              <w:bottom w:val="single" w:sz="4" w:space="0" w:color="auto"/>
              <w:right w:val="single" w:sz="4" w:space="0" w:color="auto"/>
            </w:tcBorders>
            <w:shd w:val="clear" w:color="auto" w:fill="C6D9F1" w:themeFill="text2" w:themeFillTint="33"/>
          </w:tcPr>
          <w:p w:rsidR="00CB6A03" w:rsidRDefault="00CB6A03" w:rsidP="000943E9">
            <w:pPr>
              <w:tabs>
                <w:tab w:val="left" w:pos="630"/>
              </w:tabs>
              <w:jc w:val="center"/>
              <w:rPr>
                <w:rFonts w:cs="Arial"/>
                <w:szCs w:val="20"/>
              </w:rPr>
            </w:pPr>
            <w:r>
              <w:rPr>
                <w:rFonts w:cs="Arial"/>
                <w:szCs w:val="20"/>
              </w:rPr>
              <w:t xml:space="preserve"> 74</w:t>
            </w:r>
          </w:p>
        </w:tc>
        <w:tc>
          <w:tcPr>
            <w:tcW w:w="990" w:type="dxa"/>
            <w:tcBorders>
              <w:top w:val="nil"/>
              <w:left w:val="single" w:sz="4" w:space="0" w:color="auto"/>
              <w:bottom w:val="single" w:sz="4" w:space="0" w:color="auto"/>
              <w:right w:val="single" w:sz="4" w:space="0" w:color="auto"/>
            </w:tcBorders>
            <w:noWrap/>
            <w:vAlign w:val="bottom"/>
          </w:tcPr>
          <w:p w:rsidR="00CB6A03" w:rsidRDefault="00CB6A03" w:rsidP="000943E9">
            <w:pPr>
              <w:tabs>
                <w:tab w:val="left" w:pos="630"/>
              </w:tabs>
              <w:jc w:val="center"/>
              <w:rPr>
                <w:rFonts w:cs="Arial"/>
                <w:szCs w:val="20"/>
              </w:rPr>
            </w:pPr>
            <w:r>
              <w:rPr>
                <w:rFonts w:cs="Arial"/>
                <w:szCs w:val="20"/>
              </w:rPr>
              <w:t>41.9</w:t>
            </w:r>
          </w:p>
        </w:tc>
        <w:tc>
          <w:tcPr>
            <w:tcW w:w="1080" w:type="dxa"/>
            <w:tcBorders>
              <w:top w:val="nil"/>
              <w:left w:val="nil"/>
              <w:bottom w:val="single" w:sz="4" w:space="0" w:color="auto"/>
              <w:right w:val="single" w:sz="4" w:space="0" w:color="auto"/>
            </w:tcBorders>
            <w:shd w:val="clear" w:color="auto" w:fill="FFFFFF" w:themeFill="background1"/>
            <w:noWrap/>
            <w:vAlign w:val="bottom"/>
          </w:tcPr>
          <w:p w:rsidR="00CB6A03" w:rsidRDefault="00CB6A03" w:rsidP="000943E9">
            <w:pPr>
              <w:tabs>
                <w:tab w:val="left" w:pos="630"/>
              </w:tabs>
              <w:jc w:val="center"/>
              <w:rPr>
                <w:rFonts w:cs="Arial"/>
                <w:szCs w:val="20"/>
              </w:rPr>
            </w:pPr>
            <w:r>
              <w:rPr>
                <w:rFonts w:cs="Arial"/>
                <w:szCs w:val="20"/>
              </w:rPr>
              <w:t>46.6</w:t>
            </w:r>
          </w:p>
        </w:tc>
        <w:tc>
          <w:tcPr>
            <w:tcW w:w="990" w:type="dxa"/>
            <w:tcBorders>
              <w:top w:val="nil"/>
              <w:left w:val="nil"/>
              <w:bottom w:val="single" w:sz="4" w:space="0" w:color="auto"/>
              <w:right w:val="single" w:sz="4" w:space="0" w:color="auto"/>
            </w:tcBorders>
            <w:noWrap/>
            <w:vAlign w:val="bottom"/>
          </w:tcPr>
          <w:p w:rsidR="00CB6A03" w:rsidRDefault="00CB6A03" w:rsidP="000943E9">
            <w:pPr>
              <w:tabs>
                <w:tab w:val="left" w:pos="630"/>
              </w:tabs>
              <w:jc w:val="center"/>
              <w:rPr>
                <w:rFonts w:cs="Arial"/>
                <w:szCs w:val="20"/>
              </w:rPr>
            </w:pPr>
            <w:r>
              <w:rPr>
                <w:rFonts w:cs="Arial"/>
                <w:szCs w:val="20"/>
              </w:rPr>
              <w:t>25.0</w:t>
            </w:r>
          </w:p>
        </w:tc>
        <w:tc>
          <w:tcPr>
            <w:tcW w:w="720" w:type="dxa"/>
            <w:tcBorders>
              <w:top w:val="nil"/>
              <w:left w:val="nil"/>
              <w:bottom w:val="single" w:sz="4" w:space="0" w:color="auto"/>
              <w:right w:val="single" w:sz="4" w:space="0" w:color="auto"/>
            </w:tcBorders>
            <w:noWrap/>
            <w:vAlign w:val="bottom"/>
          </w:tcPr>
          <w:p w:rsidR="00CB6A03" w:rsidRDefault="00CB6A03" w:rsidP="000943E9">
            <w:pPr>
              <w:tabs>
                <w:tab w:val="left" w:pos="630"/>
              </w:tabs>
              <w:jc w:val="center"/>
              <w:rPr>
                <w:rFonts w:cs="Arial"/>
                <w:szCs w:val="20"/>
              </w:rPr>
            </w:pPr>
            <w:r>
              <w:rPr>
                <w:rFonts w:cs="Arial"/>
                <w:szCs w:val="20"/>
              </w:rPr>
              <w:t>50.9</w:t>
            </w:r>
          </w:p>
        </w:tc>
        <w:tc>
          <w:tcPr>
            <w:tcW w:w="900" w:type="dxa"/>
            <w:tcBorders>
              <w:top w:val="nil"/>
              <w:left w:val="nil"/>
              <w:bottom w:val="single" w:sz="4" w:space="0" w:color="auto"/>
              <w:right w:val="single" w:sz="4" w:space="0" w:color="auto"/>
            </w:tcBorders>
            <w:noWrap/>
            <w:vAlign w:val="bottom"/>
          </w:tcPr>
          <w:p w:rsidR="00CB6A03" w:rsidRDefault="00CB6A03" w:rsidP="000943E9">
            <w:pPr>
              <w:tabs>
                <w:tab w:val="left" w:pos="630"/>
              </w:tabs>
              <w:jc w:val="center"/>
              <w:rPr>
                <w:rFonts w:cs="Arial"/>
                <w:szCs w:val="20"/>
              </w:rPr>
            </w:pPr>
            <w:r>
              <w:rPr>
                <w:rFonts w:cs="Arial"/>
                <w:szCs w:val="20"/>
              </w:rPr>
              <w:t>11.8</w:t>
            </w:r>
          </w:p>
        </w:tc>
      </w:tr>
      <w:tr w:rsidR="00CB6A03" w:rsidTr="002A6067">
        <w:trPr>
          <w:trHeight w:val="255"/>
        </w:trPr>
        <w:tc>
          <w:tcPr>
            <w:tcW w:w="1260" w:type="dxa"/>
            <w:tcBorders>
              <w:top w:val="single" w:sz="4" w:space="0" w:color="000000"/>
              <w:left w:val="single" w:sz="4" w:space="0" w:color="000000"/>
              <w:bottom w:val="single" w:sz="4" w:space="0" w:color="000000"/>
              <w:right w:val="nil"/>
            </w:tcBorders>
            <w:shd w:val="clear" w:color="auto" w:fill="EEECE1" w:themeFill="background2"/>
            <w:noWrap/>
            <w:vAlign w:val="bottom"/>
          </w:tcPr>
          <w:p w:rsidR="00CB6A03" w:rsidRDefault="00CB6A03" w:rsidP="000943E9">
            <w:pPr>
              <w:tabs>
                <w:tab w:val="left" w:pos="630"/>
              </w:tabs>
              <w:rPr>
                <w:rFonts w:cs="Arial"/>
                <w:szCs w:val="20"/>
              </w:rPr>
            </w:pPr>
            <w:r>
              <w:rPr>
                <w:rFonts w:cs="Arial"/>
                <w:szCs w:val="20"/>
              </w:rPr>
              <w:t>P04</w:t>
            </w:r>
          </w:p>
        </w:tc>
        <w:tc>
          <w:tcPr>
            <w:tcW w:w="810" w:type="dxa"/>
            <w:tcBorders>
              <w:top w:val="nil"/>
              <w:left w:val="single" w:sz="4" w:space="0" w:color="auto"/>
              <w:bottom w:val="single" w:sz="4" w:space="0" w:color="auto"/>
              <w:right w:val="single" w:sz="4" w:space="0" w:color="auto"/>
            </w:tcBorders>
            <w:shd w:val="clear" w:color="auto" w:fill="C6D9F1" w:themeFill="text2" w:themeFillTint="33"/>
          </w:tcPr>
          <w:p w:rsidR="00CB6A03" w:rsidRDefault="00CB6A03" w:rsidP="000943E9">
            <w:pPr>
              <w:tabs>
                <w:tab w:val="left" w:pos="630"/>
              </w:tabs>
              <w:jc w:val="center"/>
              <w:rPr>
                <w:rFonts w:cs="Arial"/>
                <w:szCs w:val="20"/>
              </w:rPr>
            </w:pPr>
            <w:r>
              <w:rPr>
                <w:rFonts w:cs="Arial"/>
                <w:szCs w:val="20"/>
              </w:rPr>
              <w:t>223</w:t>
            </w:r>
          </w:p>
        </w:tc>
        <w:tc>
          <w:tcPr>
            <w:tcW w:w="990" w:type="dxa"/>
            <w:tcBorders>
              <w:top w:val="nil"/>
              <w:left w:val="single" w:sz="4" w:space="0" w:color="auto"/>
              <w:bottom w:val="single" w:sz="4" w:space="0" w:color="auto"/>
              <w:right w:val="single" w:sz="4" w:space="0" w:color="auto"/>
            </w:tcBorders>
            <w:noWrap/>
            <w:vAlign w:val="bottom"/>
          </w:tcPr>
          <w:p w:rsidR="00CB6A03" w:rsidRDefault="00CB6A03" w:rsidP="000943E9">
            <w:pPr>
              <w:tabs>
                <w:tab w:val="left" w:pos="630"/>
              </w:tabs>
              <w:jc w:val="center"/>
              <w:rPr>
                <w:rFonts w:cs="Arial"/>
                <w:szCs w:val="20"/>
              </w:rPr>
            </w:pPr>
            <w:r>
              <w:rPr>
                <w:rFonts w:cs="Arial"/>
                <w:szCs w:val="20"/>
              </w:rPr>
              <w:t>34.1</w:t>
            </w:r>
          </w:p>
        </w:tc>
        <w:tc>
          <w:tcPr>
            <w:tcW w:w="1080" w:type="dxa"/>
            <w:tcBorders>
              <w:top w:val="nil"/>
              <w:left w:val="nil"/>
              <w:bottom w:val="single" w:sz="4" w:space="0" w:color="auto"/>
              <w:right w:val="single" w:sz="4" w:space="0" w:color="auto"/>
            </w:tcBorders>
            <w:shd w:val="clear" w:color="auto" w:fill="FFFFFF" w:themeFill="background1"/>
            <w:noWrap/>
            <w:vAlign w:val="bottom"/>
          </w:tcPr>
          <w:p w:rsidR="00CB6A03" w:rsidRDefault="00CB6A03" w:rsidP="000943E9">
            <w:pPr>
              <w:tabs>
                <w:tab w:val="left" w:pos="630"/>
              </w:tabs>
              <w:jc w:val="center"/>
              <w:rPr>
                <w:rFonts w:cs="Arial"/>
                <w:szCs w:val="20"/>
              </w:rPr>
            </w:pPr>
            <w:r>
              <w:rPr>
                <w:rFonts w:cs="Arial"/>
                <w:szCs w:val="20"/>
              </w:rPr>
              <w:t>34.1</w:t>
            </w:r>
          </w:p>
        </w:tc>
        <w:tc>
          <w:tcPr>
            <w:tcW w:w="990" w:type="dxa"/>
            <w:tcBorders>
              <w:top w:val="nil"/>
              <w:left w:val="nil"/>
              <w:bottom w:val="single" w:sz="4" w:space="0" w:color="auto"/>
              <w:right w:val="single" w:sz="4" w:space="0" w:color="auto"/>
            </w:tcBorders>
            <w:noWrap/>
            <w:vAlign w:val="bottom"/>
          </w:tcPr>
          <w:p w:rsidR="00CB6A03" w:rsidRDefault="00CB6A03" w:rsidP="000943E9">
            <w:pPr>
              <w:tabs>
                <w:tab w:val="left" w:pos="630"/>
              </w:tabs>
              <w:jc w:val="center"/>
              <w:rPr>
                <w:rFonts w:cs="Arial"/>
                <w:szCs w:val="20"/>
              </w:rPr>
            </w:pPr>
            <w:r>
              <w:rPr>
                <w:rFonts w:cs="Arial"/>
                <w:szCs w:val="20"/>
              </w:rPr>
              <w:t>33.3</w:t>
            </w:r>
          </w:p>
        </w:tc>
        <w:tc>
          <w:tcPr>
            <w:tcW w:w="720" w:type="dxa"/>
            <w:tcBorders>
              <w:top w:val="nil"/>
              <w:left w:val="nil"/>
              <w:bottom w:val="single" w:sz="4" w:space="0" w:color="auto"/>
              <w:right w:val="single" w:sz="4" w:space="0" w:color="auto"/>
            </w:tcBorders>
            <w:noWrap/>
            <w:vAlign w:val="bottom"/>
          </w:tcPr>
          <w:p w:rsidR="00CB6A03" w:rsidRDefault="00CB6A03" w:rsidP="000943E9">
            <w:pPr>
              <w:tabs>
                <w:tab w:val="left" w:pos="630"/>
              </w:tabs>
              <w:jc w:val="center"/>
              <w:rPr>
                <w:rFonts w:cs="Arial"/>
                <w:szCs w:val="20"/>
              </w:rPr>
            </w:pPr>
            <w:r>
              <w:rPr>
                <w:rFonts w:cs="Arial"/>
                <w:szCs w:val="20"/>
              </w:rPr>
              <w:t>42.9</w:t>
            </w:r>
          </w:p>
        </w:tc>
        <w:tc>
          <w:tcPr>
            <w:tcW w:w="900" w:type="dxa"/>
            <w:tcBorders>
              <w:top w:val="nil"/>
              <w:left w:val="nil"/>
              <w:bottom w:val="single" w:sz="4" w:space="0" w:color="auto"/>
              <w:right w:val="single" w:sz="4" w:space="0" w:color="auto"/>
            </w:tcBorders>
            <w:noWrap/>
            <w:vAlign w:val="bottom"/>
          </w:tcPr>
          <w:p w:rsidR="00CB6A03" w:rsidRDefault="00CB6A03" w:rsidP="000943E9">
            <w:pPr>
              <w:tabs>
                <w:tab w:val="left" w:pos="630"/>
              </w:tabs>
              <w:jc w:val="center"/>
              <w:rPr>
                <w:rFonts w:cs="Arial"/>
                <w:szCs w:val="20"/>
              </w:rPr>
            </w:pPr>
            <w:r>
              <w:rPr>
                <w:rFonts w:cs="Arial"/>
                <w:szCs w:val="20"/>
              </w:rPr>
              <w:t>28.8</w:t>
            </w:r>
          </w:p>
        </w:tc>
      </w:tr>
      <w:tr w:rsidR="00CB6A03" w:rsidTr="002A6067">
        <w:trPr>
          <w:trHeight w:val="255"/>
        </w:trPr>
        <w:tc>
          <w:tcPr>
            <w:tcW w:w="1260" w:type="dxa"/>
            <w:tcBorders>
              <w:top w:val="single" w:sz="4" w:space="0" w:color="000000"/>
              <w:left w:val="single" w:sz="4" w:space="0" w:color="000000"/>
              <w:bottom w:val="single" w:sz="4" w:space="0" w:color="000000"/>
              <w:right w:val="nil"/>
            </w:tcBorders>
            <w:shd w:val="clear" w:color="auto" w:fill="EEECE1" w:themeFill="background2"/>
            <w:noWrap/>
            <w:vAlign w:val="bottom"/>
          </w:tcPr>
          <w:p w:rsidR="00CB6A03" w:rsidRDefault="00CB6A03" w:rsidP="000943E9">
            <w:pPr>
              <w:tabs>
                <w:tab w:val="left" w:pos="630"/>
              </w:tabs>
              <w:rPr>
                <w:rFonts w:cs="Arial"/>
                <w:szCs w:val="20"/>
              </w:rPr>
            </w:pPr>
            <w:r>
              <w:rPr>
                <w:rFonts w:cs="Arial"/>
                <w:szCs w:val="20"/>
              </w:rPr>
              <w:t>P05</w:t>
            </w:r>
          </w:p>
        </w:tc>
        <w:tc>
          <w:tcPr>
            <w:tcW w:w="810" w:type="dxa"/>
            <w:tcBorders>
              <w:top w:val="nil"/>
              <w:left w:val="single" w:sz="4" w:space="0" w:color="auto"/>
              <w:bottom w:val="single" w:sz="4" w:space="0" w:color="auto"/>
              <w:right w:val="single" w:sz="4" w:space="0" w:color="auto"/>
            </w:tcBorders>
            <w:shd w:val="clear" w:color="auto" w:fill="C6D9F1" w:themeFill="text2" w:themeFillTint="33"/>
          </w:tcPr>
          <w:p w:rsidR="00CB6A03" w:rsidRDefault="00CB6A03" w:rsidP="000943E9">
            <w:pPr>
              <w:tabs>
                <w:tab w:val="left" w:pos="630"/>
              </w:tabs>
              <w:jc w:val="center"/>
              <w:rPr>
                <w:rFonts w:cs="Arial"/>
                <w:szCs w:val="20"/>
              </w:rPr>
            </w:pPr>
            <w:r>
              <w:rPr>
                <w:rFonts w:cs="Arial"/>
                <w:szCs w:val="20"/>
              </w:rPr>
              <w:t xml:space="preserve"> 69</w:t>
            </w:r>
          </w:p>
        </w:tc>
        <w:tc>
          <w:tcPr>
            <w:tcW w:w="990" w:type="dxa"/>
            <w:tcBorders>
              <w:top w:val="nil"/>
              <w:left w:val="single" w:sz="4" w:space="0" w:color="auto"/>
              <w:bottom w:val="single" w:sz="4" w:space="0" w:color="auto"/>
              <w:right w:val="single" w:sz="4" w:space="0" w:color="auto"/>
            </w:tcBorders>
            <w:noWrap/>
            <w:vAlign w:val="bottom"/>
          </w:tcPr>
          <w:p w:rsidR="00CB6A03" w:rsidRDefault="00CB6A03" w:rsidP="000943E9">
            <w:pPr>
              <w:tabs>
                <w:tab w:val="left" w:pos="630"/>
              </w:tabs>
              <w:jc w:val="center"/>
              <w:rPr>
                <w:rFonts w:cs="Arial"/>
                <w:szCs w:val="20"/>
              </w:rPr>
            </w:pPr>
            <w:r>
              <w:rPr>
                <w:rFonts w:cs="Arial"/>
                <w:szCs w:val="20"/>
              </w:rPr>
              <w:t>39.1</w:t>
            </w:r>
          </w:p>
        </w:tc>
        <w:tc>
          <w:tcPr>
            <w:tcW w:w="1080" w:type="dxa"/>
            <w:tcBorders>
              <w:top w:val="nil"/>
              <w:left w:val="nil"/>
              <w:bottom w:val="single" w:sz="4" w:space="0" w:color="auto"/>
              <w:right w:val="single" w:sz="4" w:space="0" w:color="auto"/>
            </w:tcBorders>
            <w:shd w:val="clear" w:color="auto" w:fill="FFFFFF" w:themeFill="background1"/>
            <w:noWrap/>
            <w:vAlign w:val="bottom"/>
          </w:tcPr>
          <w:p w:rsidR="00CB6A03" w:rsidRDefault="00CB6A03" w:rsidP="000943E9">
            <w:pPr>
              <w:tabs>
                <w:tab w:val="left" w:pos="630"/>
              </w:tabs>
              <w:jc w:val="center"/>
              <w:rPr>
                <w:rFonts w:cs="Arial"/>
                <w:szCs w:val="20"/>
              </w:rPr>
            </w:pPr>
            <w:r>
              <w:rPr>
                <w:rFonts w:cs="Arial"/>
                <w:szCs w:val="20"/>
              </w:rPr>
              <w:t>38.8</w:t>
            </w:r>
          </w:p>
        </w:tc>
        <w:tc>
          <w:tcPr>
            <w:tcW w:w="990" w:type="dxa"/>
            <w:tcBorders>
              <w:top w:val="nil"/>
              <w:left w:val="nil"/>
              <w:bottom w:val="single" w:sz="4" w:space="0" w:color="auto"/>
              <w:right w:val="single" w:sz="4" w:space="0" w:color="auto"/>
            </w:tcBorders>
            <w:noWrap/>
            <w:vAlign w:val="bottom"/>
          </w:tcPr>
          <w:p w:rsidR="00CB6A03" w:rsidRDefault="00CB6A03" w:rsidP="000943E9">
            <w:pPr>
              <w:tabs>
                <w:tab w:val="left" w:pos="630"/>
              </w:tabs>
              <w:jc w:val="center"/>
              <w:rPr>
                <w:rFonts w:cs="Arial"/>
                <w:szCs w:val="20"/>
              </w:rPr>
            </w:pPr>
            <w:r>
              <w:rPr>
                <w:rFonts w:cs="Arial"/>
                <w:szCs w:val="20"/>
              </w:rPr>
              <w:t>50.0</w:t>
            </w:r>
          </w:p>
        </w:tc>
        <w:tc>
          <w:tcPr>
            <w:tcW w:w="720" w:type="dxa"/>
            <w:tcBorders>
              <w:top w:val="nil"/>
              <w:left w:val="nil"/>
              <w:bottom w:val="single" w:sz="4" w:space="0" w:color="auto"/>
              <w:right w:val="single" w:sz="4" w:space="0" w:color="auto"/>
            </w:tcBorders>
            <w:noWrap/>
            <w:vAlign w:val="bottom"/>
          </w:tcPr>
          <w:p w:rsidR="00CB6A03" w:rsidRDefault="00CB6A03" w:rsidP="000943E9">
            <w:pPr>
              <w:tabs>
                <w:tab w:val="left" w:pos="630"/>
              </w:tabs>
              <w:jc w:val="center"/>
              <w:rPr>
                <w:rFonts w:cs="Arial"/>
                <w:szCs w:val="20"/>
              </w:rPr>
            </w:pPr>
            <w:r>
              <w:rPr>
                <w:rFonts w:cs="Arial"/>
                <w:szCs w:val="20"/>
              </w:rPr>
              <w:t>43.9</w:t>
            </w:r>
          </w:p>
        </w:tc>
        <w:tc>
          <w:tcPr>
            <w:tcW w:w="900" w:type="dxa"/>
            <w:tcBorders>
              <w:top w:val="nil"/>
              <w:left w:val="nil"/>
              <w:bottom w:val="single" w:sz="4" w:space="0" w:color="auto"/>
              <w:right w:val="single" w:sz="4" w:space="0" w:color="auto"/>
            </w:tcBorders>
            <w:noWrap/>
            <w:vAlign w:val="bottom"/>
          </w:tcPr>
          <w:p w:rsidR="00CB6A03" w:rsidRDefault="00CB6A03" w:rsidP="000943E9">
            <w:pPr>
              <w:tabs>
                <w:tab w:val="left" w:pos="630"/>
              </w:tabs>
              <w:jc w:val="center"/>
              <w:rPr>
                <w:rFonts w:cs="Arial"/>
                <w:szCs w:val="20"/>
              </w:rPr>
            </w:pPr>
            <w:r>
              <w:rPr>
                <w:rFonts w:cs="Arial"/>
                <w:szCs w:val="20"/>
              </w:rPr>
              <w:t>32.1</w:t>
            </w:r>
          </w:p>
        </w:tc>
      </w:tr>
      <w:tr w:rsidR="00CB6A03" w:rsidTr="002A6067">
        <w:trPr>
          <w:trHeight w:val="255"/>
        </w:trPr>
        <w:tc>
          <w:tcPr>
            <w:tcW w:w="1260" w:type="dxa"/>
            <w:tcBorders>
              <w:top w:val="single" w:sz="4" w:space="0" w:color="000000"/>
              <w:left w:val="single" w:sz="4" w:space="0" w:color="000000"/>
              <w:bottom w:val="single" w:sz="4" w:space="0" w:color="000000"/>
              <w:right w:val="nil"/>
            </w:tcBorders>
            <w:shd w:val="clear" w:color="auto" w:fill="EEECE1" w:themeFill="background2"/>
            <w:noWrap/>
            <w:vAlign w:val="bottom"/>
          </w:tcPr>
          <w:p w:rsidR="00CB6A03" w:rsidRDefault="00CB6A03" w:rsidP="000943E9">
            <w:pPr>
              <w:tabs>
                <w:tab w:val="left" w:pos="630"/>
              </w:tabs>
              <w:rPr>
                <w:rFonts w:cs="Arial"/>
                <w:szCs w:val="20"/>
              </w:rPr>
            </w:pPr>
            <w:r>
              <w:rPr>
                <w:rFonts w:cs="Arial"/>
                <w:szCs w:val="20"/>
              </w:rPr>
              <w:t>P06/D01</w:t>
            </w:r>
          </w:p>
        </w:tc>
        <w:tc>
          <w:tcPr>
            <w:tcW w:w="810" w:type="dxa"/>
            <w:tcBorders>
              <w:top w:val="nil"/>
              <w:left w:val="single" w:sz="4" w:space="0" w:color="auto"/>
              <w:bottom w:val="single" w:sz="4" w:space="0" w:color="auto"/>
              <w:right w:val="single" w:sz="4" w:space="0" w:color="auto"/>
            </w:tcBorders>
            <w:shd w:val="clear" w:color="auto" w:fill="C6D9F1" w:themeFill="text2" w:themeFillTint="33"/>
          </w:tcPr>
          <w:p w:rsidR="00CB6A03" w:rsidRDefault="00CB6A03" w:rsidP="000943E9">
            <w:pPr>
              <w:tabs>
                <w:tab w:val="left" w:pos="630"/>
              </w:tabs>
              <w:jc w:val="center"/>
              <w:rPr>
                <w:rFonts w:cs="Arial"/>
                <w:szCs w:val="20"/>
              </w:rPr>
            </w:pPr>
            <w:r>
              <w:rPr>
                <w:rFonts w:cs="Arial"/>
                <w:szCs w:val="20"/>
              </w:rPr>
              <w:t xml:space="preserve"> 35</w:t>
            </w:r>
          </w:p>
        </w:tc>
        <w:tc>
          <w:tcPr>
            <w:tcW w:w="990" w:type="dxa"/>
            <w:tcBorders>
              <w:top w:val="nil"/>
              <w:left w:val="single" w:sz="4" w:space="0" w:color="auto"/>
              <w:bottom w:val="single" w:sz="4" w:space="0" w:color="auto"/>
              <w:right w:val="single" w:sz="4" w:space="0" w:color="auto"/>
            </w:tcBorders>
            <w:noWrap/>
            <w:vAlign w:val="bottom"/>
          </w:tcPr>
          <w:p w:rsidR="00CB6A03" w:rsidRDefault="00CB6A03" w:rsidP="000943E9">
            <w:pPr>
              <w:tabs>
                <w:tab w:val="left" w:pos="630"/>
              </w:tabs>
              <w:jc w:val="center"/>
              <w:rPr>
                <w:rFonts w:cs="Arial"/>
                <w:szCs w:val="20"/>
              </w:rPr>
            </w:pPr>
            <w:r>
              <w:rPr>
                <w:rFonts w:cs="Arial"/>
                <w:szCs w:val="20"/>
              </w:rPr>
              <w:t>38.9</w:t>
            </w:r>
          </w:p>
        </w:tc>
        <w:tc>
          <w:tcPr>
            <w:tcW w:w="1080" w:type="dxa"/>
            <w:tcBorders>
              <w:top w:val="nil"/>
              <w:left w:val="nil"/>
              <w:bottom w:val="single" w:sz="4" w:space="0" w:color="auto"/>
              <w:right w:val="single" w:sz="4" w:space="0" w:color="auto"/>
            </w:tcBorders>
            <w:shd w:val="clear" w:color="auto" w:fill="FFFFFF" w:themeFill="background1"/>
            <w:noWrap/>
            <w:vAlign w:val="bottom"/>
          </w:tcPr>
          <w:p w:rsidR="00CB6A03" w:rsidRDefault="00CB6A03" w:rsidP="000943E9">
            <w:pPr>
              <w:tabs>
                <w:tab w:val="left" w:pos="630"/>
              </w:tabs>
              <w:jc w:val="center"/>
              <w:rPr>
                <w:rFonts w:cs="Arial"/>
                <w:szCs w:val="20"/>
              </w:rPr>
            </w:pPr>
            <w:r>
              <w:rPr>
                <w:rFonts w:cs="Arial"/>
                <w:szCs w:val="20"/>
              </w:rPr>
              <w:t>38.9</w:t>
            </w:r>
          </w:p>
        </w:tc>
        <w:tc>
          <w:tcPr>
            <w:tcW w:w="990" w:type="dxa"/>
            <w:tcBorders>
              <w:top w:val="nil"/>
              <w:left w:val="nil"/>
              <w:bottom w:val="single" w:sz="4" w:space="0" w:color="auto"/>
              <w:right w:val="single" w:sz="4" w:space="0" w:color="auto"/>
            </w:tcBorders>
            <w:noWrap/>
            <w:vAlign w:val="bottom"/>
          </w:tcPr>
          <w:p w:rsidR="00CB6A03" w:rsidRDefault="00CB6A03" w:rsidP="000943E9">
            <w:pPr>
              <w:tabs>
                <w:tab w:val="left" w:pos="630"/>
              </w:tabs>
              <w:jc w:val="center"/>
              <w:rPr>
                <w:rFonts w:cs="Arial"/>
                <w:szCs w:val="20"/>
              </w:rPr>
            </w:pPr>
          </w:p>
        </w:tc>
        <w:tc>
          <w:tcPr>
            <w:tcW w:w="720" w:type="dxa"/>
            <w:tcBorders>
              <w:top w:val="nil"/>
              <w:left w:val="nil"/>
              <w:bottom w:val="single" w:sz="4" w:space="0" w:color="auto"/>
              <w:right w:val="single" w:sz="4" w:space="0" w:color="auto"/>
            </w:tcBorders>
            <w:noWrap/>
            <w:vAlign w:val="bottom"/>
          </w:tcPr>
          <w:p w:rsidR="00CB6A03" w:rsidRDefault="00CB6A03" w:rsidP="000943E9">
            <w:pPr>
              <w:tabs>
                <w:tab w:val="left" w:pos="630"/>
              </w:tabs>
              <w:jc w:val="center"/>
              <w:rPr>
                <w:rFonts w:cs="Arial"/>
                <w:szCs w:val="20"/>
              </w:rPr>
            </w:pPr>
            <w:r>
              <w:rPr>
                <w:rFonts w:cs="Arial"/>
                <w:szCs w:val="20"/>
              </w:rPr>
              <w:t>43.8</w:t>
            </w:r>
          </w:p>
        </w:tc>
        <w:tc>
          <w:tcPr>
            <w:tcW w:w="900" w:type="dxa"/>
            <w:tcBorders>
              <w:top w:val="nil"/>
              <w:left w:val="nil"/>
              <w:bottom w:val="single" w:sz="4" w:space="0" w:color="auto"/>
              <w:right w:val="single" w:sz="4" w:space="0" w:color="auto"/>
            </w:tcBorders>
            <w:noWrap/>
            <w:vAlign w:val="bottom"/>
          </w:tcPr>
          <w:p w:rsidR="00CB6A03" w:rsidRDefault="00CB6A03" w:rsidP="000943E9">
            <w:pPr>
              <w:tabs>
                <w:tab w:val="left" w:pos="630"/>
              </w:tabs>
              <w:jc w:val="center"/>
              <w:rPr>
                <w:rFonts w:cs="Arial"/>
                <w:szCs w:val="20"/>
              </w:rPr>
            </w:pPr>
            <w:r>
              <w:rPr>
                <w:rFonts w:cs="Arial"/>
                <w:szCs w:val="20"/>
              </w:rPr>
              <w:t>35.0</w:t>
            </w:r>
          </w:p>
        </w:tc>
      </w:tr>
      <w:tr w:rsidR="00CB6A03" w:rsidTr="002A6067">
        <w:trPr>
          <w:trHeight w:val="255"/>
        </w:trPr>
        <w:tc>
          <w:tcPr>
            <w:tcW w:w="1260" w:type="dxa"/>
            <w:tcBorders>
              <w:top w:val="single" w:sz="4" w:space="0" w:color="000000"/>
              <w:left w:val="single" w:sz="4" w:space="0" w:color="000000"/>
              <w:bottom w:val="single" w:sz="4" w:space="0" w:color="000000"/>
              <w:right w:val="nil"/>
            </w:tcBorders>
            <w:shd w:val="clear" w:color="auto" w:fill="EEECE1" w:themeFill="background2"/>
            <w:noWrap/>
            <w:vAlign w:val="bottom"/>
          </w:tcPr>
          <w:p w:rsidR="00CB6A03" w:rsidRDefault="00CB6A03" w:rsidP="000943E9">
            <w:pPr>
              <w:tabs>
                <w:tab w:val="left" w:pos="630"/>
              </w:tabs>
              <w:rPr>
                <w:rFonts w:cs="Arial"/>
                <w:szCs w:val="20"/>
              </w:rPr>
            </w:pPr>
            <w:r>
              <w:rPr>
                <w:rFonts w:cs="Arial"/>
                <w:szCs w:val="20"/>
              </w:rPr>
              <w:t>D02</w:t>
            </w:r>
          </w:p>
        </w:tc>
        <w:tc>
          <w:tcPr>
            <w:tcW w:w="810" w:type="dxa"/>
            <w:tcBorders>
              <w:top w:val="nil"/>
              <w:left w:val="single" w:sz="4" w:space="0" w:color="auto"/>
              <w:bottom w:val="single" w:sz="4" w:space="0" w:color="auto"/>
              <w:right w:val="single" w:sz="4" w:space="0" w:color="auto"/>
            </w:tcBorders>
            <w:shd w:val="clear" w:color="auto" w:fill="C6D9F1" w:themeFill="text2" w:themeFillTint="33"/>
          </w:tcPr>
          <w:p w:rsidR="00CB6A03" w:rsidRDefault="00CB6A03" w:rsidP="000943E9">
            <w:pPr>
              <w:tabs>
                <w:tab w:val="left" w:pos="630"/>
              </w:tabs>
              <w:jc w:val="center"/>
              <w:rPr>
                <w:rFonts w:cs="Arial"/>
                <w:szCs w:val="20"/>
              </w:rPr>
            </w:pPr>
            <w:r>
              <w:rPr>
                <w:rFonts w:cs="Arial"/>
                <w:szCs w:val="20"/>
              </w:rPr>
              <w:t xml:space="preserve">   1</w:t>
            </w:r>
          </w:p>
        </w:tc>
        <w:tc>
          <w:tcPr>
            <w:tcW w:w="990" w:type="dxa"/>
            <w:tcBorders>
              <w:top w:val="nil"/>
              <w:left w:val="single" w:sz="4" w:space="0" w:color="auto"/>
              <w:bottom w:val="single" w:sz="4" w:space="0" w:color="auto"/>
              <w:right w:val="single" w:sz="4" w:space="0" w:color="auto"/>
            </w:tcBorders>
            <w:noWrap/>
            <w:vAlign w:val="bottom"/>
          </w:tcPr>
          <w:p w:rsidR="00CB6A03" w:rsidRDefault="00CB6A03" w:rsidP="000943E9">
            <w:pPr>
              <w:tabs>
                <w:tab w:val="left" w:pos="630"/>
              </w:tabs>
              <w:jc w:val="center"/>
              <w:rPr>
                <w:rFonts w:cs="Arial"/>
                <w:szCs w:val="20"/>
              </w:rPr>
            </w:pPr>
            <w:r>
              <w:rPr>
                <w:rFonts w:cs="Arial"/>
                <w:szCs w:val="20"/>
              </w:rPr>
              <w:t xml:space="preserve"> 0.0</w:t>
            </w:r>
          </w:p>
        </w:tc>
        <w:tc>
          <w:tcPr>
            <w:tcW w:w="1080" w:type="dxa"/>
            <w:tcBorders>
              <w:top w:val="nil"/>
              <w:left w:val="nil"/>
              <w:bottom w:val="single" w:sz="4" w:space="0" w:color="auto"/>
              <w:right w:val="single" w:sz="4" w:space="0" w:color="auto"/>
            </w:tcBorders>
            <w:shd w:val="clear" w:color="auto" w:fill="FFFFFF" w:themeFill="background1"/>
            <w:noWrap/>
            <w:vAlign w:val="bottom"/>
          </w:tcPr>
          <w:p w:rsidR="00CB6A03" w:rsidRDefault="00CB6A03" w:rsidP="000943E9">
            <w:pPr>
              <w:tabs>
                <w:tab w:val="left" w:pos="630"/>
              </w:tabs>
              <w:jc w:val="center"/>
              <w:rPr>
                <w:rFonts w:cs="Arial"/>
                <w:szCs w:val="20"/>
              </w:rPr>
            </w:pPr>
            <w:r>
              <w:rPr>
                <w:rFonts w:cs="Arial"/>
                <w:szCs w:val="20"/>
              </w:rPr>
              <w:t>0.0</w:t>
            </w:r>
          </w:p>
        </w:tc>
        <w:tc>
          <w:tcPr>
            <w:tcW w:w="990" w:type="dxa"/>
            <w:tcBorders>
              <w:top w:val="nil"/>
              <w:left w:val="nil"/>
              <w:bottom w:val="single" w:sz="4" w:space="0" w:color="auto"/>
              <w:right w:val="single" w:sz="4" w:space="0" w:color="auto"/>
            </w:tcBorders>
            <w:noWrap/>
            <w:vAlign w:val="bottom"/>
          </w:tcPr>
          <w:p w:rsidR="00CB6A03" w:rsidRDefault="00CB6A03" w:rsidP="000943E9">
            <w:pPr>
              <w:tabs>
                <w:tab w:val="left" w:pos="630"/>
              </w:tabs>
              <w:jc w:val="center"/>
              <w:rPr>
                <w:rFonts w:cs="Arial"/>
                <w:szCs w:val="20"/>
              </w:rPr>
            </w:pPr>
          </w:p>
        </w:tc>
        <w:tc>
          <w:tcPr>
            <w:tcW w:w="720" w:type="dxa"/>
            <w:tcBorders>
              <w:top w:val="nil"/>
              <w:left w:val="nil"/>
              <w:bottom w:val="single" w:sz="4" w:space="0" w:color="auto"/>
              <w:right w:val="single" w:sz="4" w:space="0" w:color="auto"/>
            </w:tcBorders>
            <w:noWrap/>
            <w:vAlign w:val="bottom"/>
          </w:tcPr>
          <w:p w:rsidR="00CB6A03" w:rsidRDefault="00CB6A03" w:rsidP="000943E9">
            <w:pPr>
              <w:tabs>
                <w:tab w:val="left" w:pos="630"/>
              </w:tabs>
              <w:jc w:val="center"/>
              <w:rPr>
                <w:rFonts w:cs="Arial"/>
                <w:szCs w:val="20"/>
              </w:rPr>
            </w:pPr>
            <w:r>
              <w:rPr>
                <w:rFonts w:cs="Arial"/>
                <w:szCs w:val="20"/>
              </w:rPr>
              <w:t>0.0</w:t>
            </w:r>
          </w:p>
        </w:tc>
        <w:tc>
          <w:tcPr>
            <w:tcW w:w="900" w:type="dxa"/>
            <w:tcBorders>
              <w:top w:val="nil"/>
              <w:left w:val="nil"/>
              <w:bottom w:val="single" w:sz="4" w:space="0" w:color="auto"/>
              <w:right w:val="single" w:sz="4" w:space="0" w:color="auto"/>
            </w:tcBorders>
            <w:noWrap/>
            <w:vAlign w:val="bottom"/>
          </w:tcPr>
          <w:p w:rsidR="00CB6A03" w:rsidRDefault="00CB6A03" w:rsidP="000943E9">
            <w:pPr>
              <w:tabs>
                <w:tab w:val="left" w:pos="630"/>
              </w:tabs>
              <w:jc w:val="center"/>
              <w:rPr>
                <w:rFonts w:cs="Arial"/>
                <w:szCs w:val="20"/>
              </w:rPr>
            </w:pPr>
          </w:p>
        </w:tc>
      </w:tr>
      <w:tr w:rsidR="00CB6A03" w:rsidTr="002A6067">
        <w:trPr>
          <w:trHeight w:val="255"/>
        </w:trPr>
        <w:tc>
          <w:tcPr>
            <w:tcW w:w="1260" w:type="dxa"/>
            <w:tcBorders>
              <w:top w:val="single" w:sz="4" w:space="0" w:color="000000"/>
              <w:left w:val="single" w:sz="4" w:space="0" w:color="000000"/>
              <w:bottom w:val="single" w:sz="4" w:space="0" w:color="000000"/>
              <w:right w:val="nil"/>
            </w:tcBorders>
            <w:shd w:val="clear" w:color="auto" w:fill="EEECE1" w:themeFill="background2"/>
            <w:noWrap/>
            <w:vAlign w:val="bottom"/>
          </w:tcPr>
          <w:p w:rsidR="00CB6A03" w:rsidRDefault="00CB6A03" w:rsidP="000943E9">
            <w:pPr>
              <w:tabs>
                <w:tab w:val="left" w:pos="630"/>
              </w:tabs>
              <w:rPr>
                <w:rFonts w:cs="Arial"/>
                <w:szCs w:val="20"/>
              </w:rPr>
            </w:pPr>
            <w:r>
              <w:rPr>
                <w:rFonts w:cs="Arial"/>
                <w:szCs w:val="20"/>
              </w:rPr>
              <w:t>UG</w:t>
            </w:r>
          </w:p>
        </w:tc>
        <w:tc>
          <w:tcPr>
            <w:tcW w:w="810" w:type="dxa"/>
            <w:tcBorders>
              <w:top w:val="nil"/>
              <w:left w:val="single" w:sz="4" w:space="0" w:color="auto"/>
              <w:bottom w:val="single" w:sz="4" w:space="0" w:color="auto"/>
              <w:right w:val="single" w:sz="4" w:space="0" w:color="auto"/>
            </w:tcBorders>
            <w:shd w:val="clear" w:color="auto" w:fill="C6D9F1" w:themeFill="text2" w:themeFillTint="33"/>
          </w:tcPr>
          <w:p w:rsidR="00CB6A03" w:rsidRDefault="00CB6A03" w:rsidP="000943E9">
            <w:pPr>
              <w:tabs>
                <w:tab w:val="left" w:pos="630"/>
              </w:tabs>
              <w:jc w:val="center"/>
              <w:rPr>
                <w:rFonts w:cs="Arial"/>
                <w:szCs w:val="20"/>
              </w:rPr>
            </w:pPr>
            <w:r>
              <w:rPr>
                <w:rFonts w:cs="Arial"/>
                <w:szCs w:val="20"/>
              </w:rPr>
              <w:t xml:space="preserve">  3</w:t>
            </w:r>
          </w:p>
        </w:tc>
        <w:tc>
          <w:tcPr>
            <w:tcW w:w="990" w:type="dxa"/>
            <w:tcBorders>
              <w:top w:val="nil"/>
              <w:left w:val="single" w:sz="4" w:space="0" w:color="auto"/>
              <w:bottom w:val="single" w:sz="4" w:space="0" w:color="auto"/>
              <w:right w:val="single" w:sz="4" w:space="0" w:color="auto"/>
            </w:tcBorders>
            <w:noWrap/>
            <w:vAlign w:val="bottom"/>
          </w:tcPr>
          <w:p w:rsidR="00CB6A03" w:rsidRDefault="00CB6A03" w:rsidP="000943E9">
            <w:pPr>
              <w:tabs>
                <w:tab w:val="left" w:pos="630"/>
              </w:tabs>
              <w:jc w:val="center"/>
              <w:rPr>
                <w:rFonts w:cs="Arial"/>
                <w:szCs w:val="20"/>
              </w:rPr>
            </w:pPr>
            <w:r>
              <w:rPr>
                <w:rFonts w:cs="Arial"/>
                <w:szCs w:val="20"/>
              </w:rPr>
              <w:t>100.0</w:t>
            </w:r>
          </w:p>
        </w:tc>
        <w:tc>
          <w:tcPr>
            <w:tcW w:w="1080" w:type="dxa"/>
            <w:tcBorders>
              <w:top w:val="nil"/>
              <w:left w:val="nil"/>
              <w:bottom w:val="single" w:sz="4" w:space="0" w:color="auto"/>
              <w:right w:val="single" w:sz="4" w:space="0" w:color="auto"/>
            </w:tcBorders>
            <w:shd w:val="clear" w:color="auto" w:fill="FFFFFF" w:themeFill="background1"/>
            <w:noWrap/>
            <w:vAlign w:val="bottom"/>
          </w:tcPr>
          <w:p w:rsidR="00CB6A03" w:rsidRDefault="00CB6A03" w:rsidP="000943E9">
            <w:pPr>
              <w:tabs>
                <w:tab w:val="left" w:pos="630"/>
              </w:tabs>
              <w:jc w:val="center"/>
              <w:rPr>
                <w:rFonts w:cs="Arial"/>
                <w:szCs w:val="20"/>
              </w:rPr>
            </w:pPr>
            <w:r>
              <w:rPr>
                <w:rFonts w:cs="Arial"/>
                <w:szCs w:val="20"/>
              </w:rPr>
              <w:t>100.0</w:t>
            </w:r>
          </w:p>
        </w:tc>
        <w:tc>
          <w:tcPr>
            <w:tcW w:w="990" w:type="dxa"/>
            <w:tcBorders>
              <w:top w:val="nil"/>
              <w:left w:val="nil"/>
              <w:bottom w:val="single" w:sz="4" w:space="0" w:color="auto"/>
              <w:right w:val="single" w:sz="4" w:space="0" w:color="auto"/>
            </w:tcBorders>
            <w:noWrap/>
            <w:vAlign w:val="bottom"/>
          </w:tcPr>
          <w:p w:rsidR="00CB6A03" w:rsidRDefault="00CB6A03" w:rsidP="000943E9">
            <w:pPr>
              <w:tabs>
                <w:tab w:val="left" w:pos="630"/>
              </w:tabs>
              <w:jc w:val="center"/>
              <w:rPr>
                <w:rFonts w:cs="Arial"/>
                <w:szCs w:val="20"/>
              </w:rPr>
            </w:pPr>
          </w:p>
        </w:tc>
        <w:tc>
          <w:tcPr>
            <w:tcW w:w="720" w:type="dxa"/>
            <w:tcBorders>
              <w:top w:val="nil"/>
              <w:left w:val="nil"/>
              <w:bottom w:val="single" w:sz="4" w:space="0" w:color="auto"/>
              <w:right w:val="single" w:sz="4" w:space="0" w:color="auto"/>
            </w:tcBorders>
            <w:noWrap/>
            <w:vAlign w:val="bottom"/>
          </w:tcPr>
          <w:p w:rsidR="00CB6A03" w:rsidRDefault="00CB6A03" w:rsidP="000943E9">
            <w:pPr>
              <w:tabs>
                <w:tab w:val="left" w:pos="630"/>
              </w:tabs>
              <w:jc w:val="center"/>
              <w:rPr>
                <w:rFonts w:cs="Arial"/>
                <w:szCs w:val="20"/>
              </w:rPr>
            </w:pPr>
            <w:r>
              <w:rPr>
                <w:rFonts w:cs="Arial"/>
                <w:szCs w:val="20"/>
              </w:rPr>
              <w:t>100.0</w:t>
            </w:r>
          </w:p>
        </w:tc>
        <w:tc>
          <w:tcPr>
            <w:tcW w:w="900" w:type="dxa"/>
            <w:tcBorders>
              <w:top w:val="nil"/>
              <w:left w:val="nil"/>
              <w:bottom w:val="single" w:sz="4" w:space="0" w:color="auto"/>
              <w:right w:val="single" w:sz="4" w:space="0" w:color="auto"/>
            </w:tcBorders>
            <w:noWrap/>
            <w:vAlign w:val="bottom"/>
          </w:tcPr>
          <w:p w:rsidR="00CB6A03" w:rsidRDefault="00CB6A03" w:rsidP="000943E9">
            <w:pPr>
              <w:tabs>
                <w:tab w:val="left" w:pos="630"/>
              </w:tabs>
              <w:jc w:val="center"/>
              <w:rPr>
                <w:rFonts w:cs="Arial"/>
                <w:szCs w:val="20"/>
              </w:rPr>
            </w:pPr>
          </w:p>
        </w:tc>
      </w:tr>
      <w:tr w:rsidR="00CB6A03" w:rsidTr="00273A55">
        <w:trPr>
          <w:trHeight w:val="255"/>
        </w:trPr>
        <w:tc>
          <w:tcPr>
            <w:tcW w:w="1260" w:type="dxa"/>
            <w:tcBorders>
              <w:top w:val="nil"/>
              <w:left w:val="single" w:sz="4" w:space="0" w:color="000000"/>
              <w:bottom w:val="single" w:sz="4" w:space="0" w:color="000000"/>
              <w:right w:val="nil"/>
            </w:tcBorders>
            <w:shd w:val="clear" w:color="auto" w:fill="CCFFFF"/>
            <w:noWrap/>
            <w:vAlign w:val="bottom"/>
          </w:tcPr>
          <w:p w:rsidR="00CB6A03" w:rsidRDefault="00CB6A03" w:rsidP="000943E9">
            <w:pPr>
              <w:tabs>
                <w:tab w:val="left" w:pos="630"/>
              </w:tabs>
              <w:rPr>
                <w:rFonts w:cs="Arial"/>
                <w:b/>
                <w:bCs/>
                <w:color w:val="000000"/>
                <w:szCs w:val="20"/>
              </w:rPr>
            </w:pPr>
            <w:r>
              <w:rPr>
                <w:rFonts w:cs="Arial"/>
                <w:b/>
                <w:bCs/>
                <w:color w:val="000000"/>
                <w:szCs w:val="20"/>
              </w:rPr>
              <w:t>Total NPO</w:t>
            </w:r>
          </w:p>
        </w:tc>
        <w:tc>
          <w:tcPr>
            <w:tcW w:w="810" w:type="dxa"/>
            <w:tcBorders>
              <w:top w:val="nil"/>
              <w:left w:val="single" w:sz="4" w:space="0" w:color="auto"/>
              <w:bottom w:val="single" w:sz="4" w:space="0" w:color="auto"/>
              <w:right w:val="single" w:sz="4" w:space="0" w:color="auto"/>
            </w:tcBorders>
            <w:shd w:val="clear" w:color="auto" w:fill="CCFFFF"/>
          </w:tcPr>
          <w:p w:rsidR="00CB6A03" w:rsidRDefault="00CB6A03" w:rsidP="000943E9">
            <w:pPr>
              <w:tabs>
                <w:tab w:val="left" w:pos="630"/>
              </w:tabs>
              <w:jc w:val="center"/>
              <w:rPr>
                <w:rFonts w:cs="Arial"/>
                <w:b/>
                <w:bCs/>
                <w:szCs w:val="20"/>
              </w:rPr>
            </w:pPr>
            <w:r>
              <w:rPr>
                <w:rFonts w:cs="Arial"/>
                <w:b/>
                <w:bCs/>
                <w:szCs w:val="20"/>
              </w:rPr>
              <w:t>33</w:t>
            </w:r>
          </w:p>
        </w:tc>
        <w:tc>
          <w:tcPr>
            <w:tcW w:w="990" w:type="dxa"/>
            <w:tcBorders>
              <w:top w:val="nil"/>
              <w:left w:val="single" w:sz="4" w:space="0" w:color="auto"/>
              <w:bottom w:val="single" w:sz="4" w:space="0" w:color="auto"/>
              <w:right w:val="single" w:sz="4" w:space="0" w:color="auto"/>
            </w:tcBorders>
            <w:shd w:val="clear" w:color="auto" w:fill="CCFFFF"/>
            <w:noWrap/>
            <w:vAlign w:val="bottom"/>
          </w:tcPr>
          <w:p w:rsidR="00CB6A03" w:rsidRDefault="00CB6A03" w:rsidP="000943E9">
            <w:pPr>
              <w:tabs>
                <w:tab w:val="left" w:pos="630"/>
              </w:tabs>
              <w:jc w:val="center"/>
              <w:rPr>
                <w:rFonts w:cs="Arial"/>
                <w:b/>
                <w:bCs/>
                <w:szCs w:val="20"/>
              </w:rPr>
            </w:pPr>
            <w:r>
              <w:rPr>
                <w:rFonts w:cs="Arial"/>
                <w:b/>
                <w:bCs/>
                <w:szCs w:val="20"/>
              </w:rPr>
              <w:t>69.7</w:t>
            </w:r>
          </w:p>
        </w:tc>
        <w:tc>
          <w:tcPr>
            <w:tcW w:w="1080" w:type="dxa"/>
            <w:tcBorders>
              <w:top w:val="nil"/>
              <w:left w:val="nil"/>
              <w:bottom w:val="single" w:sz="4" w:space="0" w:color="auto"/>
              <w:right w:val="single" w:sz="4" w:space="0" w:color="auto"/>
            </w:tcBorders>
            <w:shd w:val="clear" w:color="auto" w:fill="CCFFFF"/>
            <w:noWrap/>
            <w:vAlign w:val="bottom"/>
          </w:tcPr>
          <w:p w:rsidR="00CB6A03" w:rsidRDefault="00CB6A03" w:rsidP="000943E9">
            <w:pPr>
              <w:tabs>
                <w:tab w:val="left" w:pos="630"/>
              </w:tabs>
              <w:jc w:val="center"/>
              <w:rPr>
                <w:rFonts w:cs="Arial"/>
                <w:b/>
                <w:bCs/>
                <w:szCs w:val="20"/>
              </w:rPr>
            </w:pPr>
            <w:r>
              <w:rPr>
                <w:rFonts w:cs="Arial"/>
                <w:b/>
                <w:bCs/>
                <w:szCs w:val="20"/>
              </w:rPr>
              <w:t>69.7</w:t>
            </w:r>
          </w:p>
        </w:tc>
        <w:tc>
          <w:tcPr>
            <w:tcW w:w="990" w:type="dxa"/>
            <w:tcBorders>
              <w:top w:val="nil"/>
              <w:left w:val="nil"/>
              <w:bottom w:val="single" w:sz="4" w:space="0" w:color="auto"/>
              <w:right w:val="single" w:sz="4" w:space="0" w:color="auto"/>
            </w:tcBorders>
            <w:shd w:val="clear" w:color="auto" w:fill="CCFFFF"/>
            <w:noWrap/>
            <w:vAlign w:val="bottom"/>
          </w:tcPr>
          <w:p w:rsidR="00CB6A03" w:rsidRDefault="00CB6A03" w:rsidP="000943E9">
            <w:pPr>
              <w:tabs>
                <w:tab w:val="left" w:pos="630"/>
              </w:tabs>
              <w:jc w:val="center"/>
              <w:rPr>
                <w:rFonts w:cs="Arial"/>
                <w:b/>
                <w:bCs/>
                <w:szCs w:val="20"/>
              </w:rPr>
            </w:pPr>
          </w:p>
        </w:tc>
        <w:tc>
          <w:tcPr>
            <w:tcW w:w="720" w:type="dxa"/>
            <w:tcBorders>
              <w:top w:val="nil"/>
              <w:left w:val="nil"/>
              <w:bottom w:val="single" w:sz="4" w:space="0" w:color="auto"/>
              <w:right w:val="single" w:sz="4" w:space="0" w:color="auto"/>
            </w:tcBorders>
            <w:shd w:val="clear" w:color="auto" w:fill="CCFFFF"/>
            <w:noWrap/>
            <w:vAlign w:val="bottom"/>
          </w:tcPr>
          <w:p w:rsidR="00CB6A03" w:rsidRDefault="00CB6A03" w:rsidP="000943E9">
            <w:pPr>
              <w:tabs>
                <w:tab w:val="left" w:pos="630"/>
              </w:tabs>
              <w:jc w:val="center"/>
              <w:rPr>
                <w:rFonts w:cs="Arial"/>
                <w:b/>
                <w:bCs/>
                <w:szCs w:val="20"/>
              </w:rPr>
            </w:pPr>
          </w:p>
        </w:tc>
        <w:tc>
          <w:tcPr>
            <w:tcW w:w="900" w:type="dxa"/>
            <w:tcBorders>
              <w:top w:val="nil"/>
              <w:left w:val="nil"/>
              <w:bottom w:val="single" w:sz="4" w:space="0" w:color="auto"/>
              <w:right w:val="single" w:sz="4" w:space="0" w:color="auto"/>
            </w:tcBorders>
            <w:shd w:val="clear" w:color="auto" w:fill="CCFFFF"/>
            <w:noWrap/>
            <w:vAlign w:val="bottom"/>
          </w:tcPr>
          <w:p w:rsidR="00CB6A03" w:rsidRDefault="00CB6A03" w:rsidP="000943E9">
            <w:pPr>
              <w:tabs>
                <w:tab w:val="left" w:pos="630"/>
              </w:tabs>
              <w:jc w:val="center"/>
              <w:rPr>
                <w:rFonts w:cs="Arial"/>
                <w:b/>
                <w:bCs/>
                <w:szCs w:val="20"/>
              </w:rPr>
            </w:pPr>
            <w:r>
              <w:rPr>
                <w:rFonts w:cs="Arial"/>
                <w:b/>
                <w:bCs/>
                <w:szCs w:val="20"/>
              </w:rPr>
              <w:t>69.7</w:t>
            </w:r>
          </w:p>
        </w:tc>
      </w:tr>
      <w:tr w:rsidR="00CB6A03" w:rsidTr="002A6067">
        <w:trPr>
          <w:trHeight w:val="255"/>
        </w:trPr>
        <w:tc>
          <w:tcPr>
            <w:tcW w:w="1260" w:type="dxa"/>
            <w:tcBorders>
              <w:top w:val="nil"/>
              <w:left w:val="single" w:sz="4" w:space="0" w:color="000000"/>
              <w:bottom w:val="single" w:sz="4" w:space="0" w:color="000000"/>
              <w:right w:val="nil"/>
            </w:tcBorders>
            <w:shd w:val="clear" w:color="auto" w:fill="EEECE1" w:themeFill="background2"/>
            <w:noWrap/>
            <w:vAlign w:val="bottom"/>
          </w:tcPr>
          <w:p w:rsidR="00CB6A03" w:rsidRDefault="00CB6A03" w:rsidP="000943E9">
            <w:pPr>
              <w:tabs>
                <w:tab w:val="left" w:pos="630"/>
              </w:tabs>
              <w:rPr>
                <w:rFonts w:cs="Arial"/>
                <w:szCs w:val="20"/>
              </w:rPr>
            </w:pPr>
            <w:r>
              <w:rPr>
                <w:rFonts w:cs="Arial"/>
                <w:szCs w:val="20"/>
              </w:rPr>
              <w:t>NOA</w:t>
            </w:r>
          </w:p>
        </w:tc>
        <w:tc>
          <w:tcPr>
            <w:tcW w:w="810" w:type="dxa"/>
            <w:tcBorders>
              <w:top w:val="nil"/>
              <w:left w:val="single" w:sz="4" w:space="0" w:color="auto"/>
              <w:bottom w:val="single" w:sz="4" w:space="0" w:color="auto"/>
              <w:right w:val="single" w:sz="4" w:space="0" w:color="auto"/>
            </w:tcBorders>
            <w:shd w:val="clear" w:color="auto" w:fill="C6D9F1" w:themeFill="text2" w:themeFillTint="33"/>
          </w:tcPr>
          <w:p w:rsidR="00CB6A03" w:rsidRDefault="00CB6A03" w:rsidP="000943E9">
            <w:pPr>
              <w:tabs>
                <w:tab w:val="left" w:pos="630"/>
              </w:tabs>
              <w:jc w:val="center"/>
              <w:rPr>
                <w:rFonts w:cs="Arial"/>
                <w:szCs w:val="20"/>
              </w:rPr>
            </w:pPr>
            <w:r>
              <w:rPr>
                <w:rFonts w:cs="Arial"/>
                <w:szCs w:val="20"/>
              </w:rPr>
              <w:t xml:space="preserve">  8</w:t>
            </w:r>
          </w:p>
        </w:tc>
        <w:tc>
          <w:tcPr>
            <w:tcW w:w="990" w:type="dxa"/>
            <w:tcBorders>
              <w:top w:val="nil"/>
              <w:left w:val="single" w:sz="4" w:space="0" w:color="auto"/>
              <w:bottom w:val="single" w:sz="4" w:space="0" w:color="auto"/>
              <w:right w:val="single" w:sz="4" w:space="0" w:color="auto"/>
            </w:tcBorders>
            <w:noWrap/>
            <w:vAlign w:val="bottom"/>
          </w:tcPr>
          <w:p w:rsidR="00CB6A03" w:rsidRDefault="00CB6A03" w:rsidP="000943E9">
            <w:pPr>
              <w:tabs>
                <w:tab w:val="left" w:pos="630"/>
              </w:tabs>
              <w:jc w:val="center"/>
              <w:rPr>
                <w:rFonts w:cs="Arial"/>
                <w:szCs w:val="20"/>
              </w:rPr>
            </w:pPr>
            <w:r>
              <w:rPr>
                <w:rFonts w:cs="Arial"/>
                <w:szCs w:val="20"/>
              </w:rPr>
              <w:t>75.0</w:t>
            </w:r>
          </w:p>
        </w:tc>
        <w:tc>
          <w:tcPr>
            <w:tcW w:w="1080" w:type="dxa"/>
            <w:tcBorders>
              <w:top w:val="nil"/>
              <w:left w:val="nil"/>
              <w:bottom w:val="single" w:sz="4" w:space="0" w:color="auto"/>
              <w:right w:val="single" w:sz="4" w:space="0" w:color="auto"/>
            </w:tcBorders>
            <w:shd w:val="clear" w:color="auto" w:fill="FFFFFF" w:themeFill="background1"/>
            <w:noWrap/>
            <w:vAlign w:val="bottom"/>
          </w:tcPr>
          <w:p w:rsidR="00CB6A03" w:rsidRDefault="00CB6A03" w:rsidP="000943E9">
            <w:pPr>
              <w:tabs>
                <w:tab w:val="left" w:pos="630"/>
              </w:tabs>
              <w:jc w:val="center"/>
              <w:rPr>
                <w:rFonts w:cs="Arial"/>
                <w:szCs w:val="20"/>
              </w:rPr>
            </w:pPr>
            <w:r>
              <w:rPr>
                <w:rFonts w:cs="Arial"/>
                <w:szCs w:val="20"/>
              </w:rPr>
              <w:t>75.0</w:t>
            </w:r>
          </w:p>
        </w:tc>
        <w:tc>
          <w:tcPr>
            <w:tcW w:w="990" w:type="dxa"/>
            <w:tcBorders>
              <w:top w:val="nil"/>
              <w:left w:val="nil"/>
              <w:bottom w:val="single" w:sz="4" w:space="0" w:color="auto"/>
              <w:right w:val="single" w:sz="4" w:space="0" w:color="auto"/>
            </w:tcBorders>
            <w:shd w:val="clear" w:color="auto" w:fill="FFFFFF"/>
            <w:noWrap/>
            <w:vAlign w:val="bottom"/>
          </w:tcPr>
          <w:p w:rsidR="00CB6A03" w:rsidRDefault="00CB6A03" w:rsidP="000943E9">
            <w:pPr>
              <w:tabs>
                <w:tab w:val="left" w:pos="630"/>
              </w:tabs>
              <w:jc w:val="center"/>
              <w:rPr>
                <w:rFonts w:cs="Arial"/>
                <w:szCs w:val="20"/>
              </w:rPr>
            </w:pPr>
          </w:p>
        </w:tc>
        <w:tc>
          <w:tcPr>
            <w:tcW w:w="720" w:type="dxa"/>
            <w:tcBorders>
              <w:top w:val="nil"/>
              <w:left w:val="nil"/>
              <w:bottom w:val="single" w:sz="4" w:space="0" w:color="auto"/>
              <w:right w:val="single" w:sz="4" w:space="0" w:color="auto"/>
            </w:tcBorders>
            <w:shd w:val="clear" w:color="auto" w:fill="FFFFFF"/>
            <w:noWrap/>
            <w:vAlign w:val="bottom"/>
          </w:tcPr>
          <w:p w:rsidR="00CB6A03" w:rsidRDefault="00CB6A03" w:rsidP="000943E9">
            <w:pPr>
              <w:tabs>
                <w:tab w:val="left" w:pos="630"/>
              </w:tabs>
              <w:jc w:val="center"/>
              <w:rPr>
                <w:rFonts w:cs="Arial"/>
                <w:szCs w:val="20"/>
              </w:rPr>
            </w:pPr>
          </w:p>
        </w:tc>
        <w:tc>
          <w:tcPr>
            <w:tcW w:w="900" w:type="dxa"/>
            <w:tcBorders>
              <w:top w:val="nil"/>
              <w:left w:val="nil"/>
              <w:bottom w:val="single" w:sz="4" w:space="0" w:color="auto"/>
              <w:right w:val="single" w:sz="4" w:space="0" w:color="auto"/>
            </w:tcBorders>
            <w:shd w:val="clear" w:color="auto" w:fill="FFFFFF"/>
            <w:noWrap/>
            <w:vAlign w:val="bottom"/>
          </w:tcPr>
          <w:p w:rsidR="00CB6A03" w:rsidRDefault="00CB6A03" w:rsidP="000943E9">
            <w:pPr>
              <w:tabs>
                <w:tab w:val="left" w:pos="630"/>
              </w:tabs>
              <w:jc w:val="center"/>
              <w:rPr>
                <w:rFonts w:cs="Arial"/>
                <w:szCs w:val="20"/>
              </w:rPr>
            </w:pPr>
            <w:r>
              <w:rPr>
                <w:rFonts w:cs="Arial"/>
                <w:szCs w:val="20"/>
              </w:rPr>
              <w:t>75.0</w:t>
            </w:r>
          </w:p>
        </w:tc>
      </w:tr>
      <w:tr w:rsidR="00CB6A03" w:rsidTr="002A6067">
        <w:trPr>
          <w:trHeight w:val="255"/>
        </w:trPr>
        <w:tc>
          <w:tcPr>
            <w:tcW w:w="1260" w:type="dxa"/>
            <w:tcBorders>
              <w:top w:val="nil"/>
              <w:left w:val="single" w:sz="4" w:space="0" w:color="000000"/>
              <w:bottom w:val="single" w:sz="4" w:space="0" w:color="000000"/>
              <w:right w:val="nil"/>
            </w:tcBorders>
            <w:shd w:val="clear" w:color="auto" w:fill="EEECE1" w:themeFill="background2"/>
            <w:noWrap/>
            <w:vAlign w:val="bottom"/>
          </w:tcPr>
          <w:p w:rsidR="00CB6A03" w:rsidRDefault="00CB6A03" w:rsidP="000943E9">
            <w:pPr>
              <w:tabs>
                <w:tab w:val="left" w:pos="630"/>
              </w:tabs>
              <w:rPr>
                <w:rFonts w:cs="Arial"/>
                <w:szCs w:val="20"/>
              </w:rPr>
            </w:pPr>
            <w:r>
              <w:rPr>
                <w:rFonts w:cs="Arial"/>
                <w:szCs w:val="20"/>
              </w:rPr>
              <w:t>NOB</w:t>
            </w:r>
          </w:p>
        </w:tc>
        <w:tc>
          <w:tcPr>
            <w:tcW w:w="810" w:type="dxa"/>
            <w:tcBorders>
              <w:top w:val="nil"/>
              <w:left w:val="single" w:sz="4" w:space="0" w:color="auto"/>
              <w:bottom w:val="single" w:sz="4" w:space="0" w:color="auto"/>
              <w:right w:val="single" w:sz="4" w:space="0" w:color="auto"/>
            </w:tcBorders>
            <w:shd w:val="clear" w:color="auto" w:fill="C6D9F1" w:themeFill="text2" w:themeFillTint="33"/>
          </w:tcPr>
          <w:p w:rsidR="00CB6A03" w:rsidRDefault="00CB6A03" w:rsidP="000943E9">
            <w:pPr>
              <w:tabs>
                <w:tab w:val="left" w:pos="630"/>
              </w:tabs>
              <w:jc w:val="center"/>
              <w:rPr>
                <w:rFonts w:cs="Arial"/>
                <w:szCs w:val="20"/>
              </w:rPr>
            </w:pPr>
            <w:r>
              <w:rPr>
                <w:rFonts w:cs="Arial"/>
                <w:szCs w:val="20"/>
              </w:rPr>
              <w:t xml:space="preserve">  6</w:t>
            </w:r>
          </w:p>
        </w:tc>
        <w:tc>
          <w:tcPr>
            <w:tcW w:w="990" w:type="dxa"/>
            <w:tcBorders>
              <w:top w:val="nil"/>
              <w:left w:val="single" w:sz="4" w:space="0" w:color="auto"/>
              <w:bottom w:val="single" w:sz="4" w:space="0" w:color="auto"/>
              <w:right w:val="single" w:sz="4" w:space="0" w:color="auto"/>
            </w:tcBorders>
            <w:noWrap/>
            <w:vAlign w:val="bottom"/>
          </w:tcPr>
          <w:p w:rsidR="00CB6A03" w:rsidRDefault="00CB6A03" w:rsidP="000943E9">
            <w:pPr>
              <w:tabs>
                <w:tab w:val="left" w:pos="630"/>
              </w:tabs>
              <w:jc w:val="center"/>
              <w:rPr>
                <w:rFonts w:cs="Arial"/>
                <w:szCs w:val="20"/>
              </w:rPr>
            </w:pPr>
            <w:r>
              <w:rPr>
                <w:rFonts w:cs="Arial"/>
                <w:szCs w:val="20"/>
              </w:rPr>
              <w:t>50.0</w:t>
            </w:r>
          </w:p>
        </w:tc>
        <w:tc>
          <w:tcPr>
            <w:tcW w:w="1080" w:type="dxa"/>
            <w:tcBorders>
              <w:top w:val="nil"/>
              <w:left w:val="nil"/>
              <w:bottom w:val="single" w:sz="4" w:space="0" w:color="auto"/>
              <w:right w:val="single" w:sz="4" w:space="0" w:color="auto"/>
            </w:tcBorders>
            <w:shd w:val="clear" w:color="auto" w:fill="FFFFFF" w:themeFill="background1"/>
            <w:noWrap/>
            <w:vAlign w:val="bottom"/>
          </w:tcPr>
          <w:p w:rsidR="00CB6A03" w:rsidRDefault="00CB6A03" w:rsidP="000943E9">
            <w:pPr>
              <w:tabs>
                <w:tab w:val="left" w:pos="630"/>
              </w:tabs>
              <w:jc w:val="center"/>
              <w:rPr>
                <w:rFonts w:cs="Arial"/>
                <w:szCs w:val="20"/>
              </w:rPr>
            </w:pPr>
            <w:r>
              <w:rPr>
                <w:rFonts w:cs="Arial"/>
                <w:szCs w:val="20"/>
              </w:rPr>
              <w:t>50.0</w:t>
            </w:r>
          </w:p>
        </w:tc>
        <w:tc>
          <w:tcPr>
            <w:tcW w:w="990" w:type="dxa"/>
            <w:tcBorders>
              <w:top w:val="nil"/>
              <w:left w:val="nil"/>
              <w:bottom w:val="single" w:sz="4" w:space="0" w:color="auto"/>
              <w:right w:val="single" w:sz="4" w:space="0" w:color="auto"/>
            </w:tcBorders>
            <w:shd w:val="clear" w:color="auto" w:fill="FFFFFF"/>
            <w:noWrap/>
            <w:vAlign w:val="bottom"/>
          </w:tcPr>
          <w:p w:rsidR="00CB6A03" w:rsidRDefault="00CB6A03" w:rsidP="000943E9">
            <w:pPr>
              <w:tabs>
                <w:tab w:val="left" w:pos="630"/>
              </w:tabs>
              <w:jc w:val="center"/>
              <w:rPr>
                <w:rFonts w:cs="Arial"/>
                <w:szCs w:val="20"/>
              </w:rPr>
            </w:pPr>
          </w:p>
        </w:tc>
        <w:tc>
          <w:tcPr>
            <w:tcW w:w="720" w:type="dxa"/>
            <w:tcBorders>
              <w:top w:val="nil"/>
              <w:left w:val="nil"/>
              <w:bottom w:val="single" w:sz="4" w:space="0" w:color="auto"/>
              <w:right w:val="single" w:sz="4" w:space="0" w:color="auto"/>
            </w:tcBorders>
            <w:shd w:val="clear" w:color="auto" w:fill="FFFFFF"/>
            <w:noWrap/>
            <w:vAlign w:val="bottom"/>
          </w:tcPr>
          <w:p w:rsidR="00CB6A03" w:rsidRDefault="00CB6A03" w:rsidP="000943E9">
            <w:pPr>
              <w:tabs>
                <w:tab w:val="left" w:pos="630"/>
              </w:tabs>
              <w:jc w:val="center"/>
              <w:rPr>
                <w:rFonts w:cs="Arial"/>
                <w:szCs w:val="20"/>
              </w:rPr>
            </w:pPr>
          </w:p>
        </w:tc>
        <w:tc>
          <w:tcPr>
            <w:tcW w:w="900" w:type="dxa"/>
            <w:tcBorders>
              <w:top w:val="nil"/>
              <w:left w:val="nil"/>
              <w:bottom w:val="single" w:sz="4" w:space="0" w:color="auto"/>
              <w:right w:val="single" w:sz="4" w:space="0" w:color="auto"/>
            </w:tcBorders>
            <w:shd w:val="clear" w:color="auto" w:fill="FFFFFF"/>
            <w:noWrap/>
            <w:vAlign w:val="bottom"/>
          </w:tcPr>
          <w:p w:rsidR="00CB6A03" w:rsidRDefault="00CB6A03" w:rsidP="000943E9">
            <w:pPr>
              <w:tabs>
                <w:tab w:val="left" w:pos="630"/>
              </w:tabs>
              <w:jc w:val="center"/>
              <w:rPr>
                <w:rFonts w:cs="Arial"/>
                <w:szCs w:val="20"/>
              </w:rPr>
            </w:pPr>
            <w:r>
              <w:rPr>
                <w:rFonts w:cs="Arial"/>
                <w:szCs w:val="20"/>
              </w:rPr>
              <w:t>50.0</w:t>
            </w:r>
          </w:p>
        </w:tc>
      </w:tr>
      <w:tr w:rsidR="00CB6A03" w:rsidTr="002A6067">
        <w:trPr>
          <w:trHeight w:val="255"/>
        </w:trPr>
        <w:tc>
          <w:tcPr>
            <w:tcW w:w="1260" w:type="dxa"/>
            <w:tcBorders>
              <w:top w:val="nil"/>
              <w:left w:val="single" w:sz="4" w:space="0" w:color="000000"/>
              <w:bottom w:val="single" w:sz="4" w:space="0" w:color="000000"/>
              <w:right w:val="nil"/>
            </w:tcBorders>
            <w:shd w:val="clear" w:color="auto" w:fill="EEECE1" w:themeFill="background2"/>
            <w:noWrap/>
            <w:vAlign w:val="bottom"/>
          </w:tcPr>
          <w:p w:rsidR="00CB6A03" w:rsidRDefault="00CB6A03" w:rsidP="000943E9">
            <w:pPr>
              <w:tabs>
                <w:tab w:val="left" w:pos="630"/>
              </w:tabs>
              <w:rPr>
                <w:rFonts w:cs="Arial"/>
                <w:szCs w:val="20"/>
              </w:rPr>
            </w:pPr>
            <w:r>
              <w:rPr>
                <w:rFonts w:cs="Arial"/>
                <w:szCs w:val="20"/>
              </w:rPr>
              <w:t>NOC</w:t>
            </w:r>
          </w:p>
        </w:tc>
        <w:tc>
          <w:tcPr>
            <w:tcW w:w="810" w:type="dxa"/>
            <w:tcBorders>
              <w:top w:val="nil"/>
              <w:left w:val="single" w:sz="4" w:space="0" w:color="auto"/>
              <w:bottom w:val="single" w:sz="4" w:space="0" w:color="auto"/>
              <w:right w:val="single" w:sz="4" w:space="0" w:color="auto"/>
            </w:tcBorders>
            <w:shd w:val="clear" w:color="auto" w:fill="C6D9F1" w:themeFill="text2" w:themeFillTint="33"/>
          </w:tcPr>
          <w:p w:rsidR="00CB6A03" w:rsidRDefault="00CB6A03" w:rsidP="000943E9">
            <w:pPr>
              <w:tabs>
                <w:tab w:val="left" w:pos="630"/>
              </w:tabs>
              <w:jc w:val="center"/>
              <w:rPr>
                <w:rFonts w:cs="Arial"/>
                <w:szCs w:val="20"/>
              </w:rPr>
            </w:pPr>
            <w:r>
              <w:rPr>
                <w:rFonts w:cs="Arial"/>
                <w:szCs w:val="20"/>
              </w:rPr>
              <w:t>14</w:t>
            </w:r>
          </w:p>
        </w:tc>
        <w:tc>
          <w:tcPr>
            <w:tcW w:w="990" w:type="dxa"/>
            <w:tcBorders>
              <w:top w:val="nil"/>
              <w:left w:val="single" w:sz="4" w:space="0" w:color="auto"/>
              <w:bottom w:val="single" w:sz="4" w:space="0" w:color="auto"/>
              <w:right w:val="single" w:sz="4" w:space="0" w:color="auto"/>
            </w:tcBorders>
            <w:noWrap/>
            <w:vAlign w:val="bottom"/>
          </w:tcPr>
          <w:p w:rsidR="00CB6A03" w:rsidRDefault="00CB6A03" w:rsidP="000943E9">
            <w:pPr>
              <w:tabs>
                <w:tab w:val="left" w:pos="630"/>
              </w:tabs>
              <w:jc w:val="center"/>
              <w:rPr>
                <w:rFonts w:cs="Arial"/>
                <w:szCs w:val="20"/>
              </w:rPr>
            </w:pPr>
            <w:r>
              <w:rPr>
                <w:rFonts w:cs="Arial"/>
                <w:szCs w:val="20"/>
              </w:rPr>
              <w:t>78.6</w:t>
            </w:r>
          </w:p>
        </w:tc>
        <w:tc>
          <w:tcPr>
            <w:tcW w:w="1080" w:type="dxa"/>
            <w:tcBorders>
              <w:top w:val="nil"/>
              <w:left w:val="nil"/>
              <w:bottom w:val="single" w:sz="4" w:space="0" w:color="auto"/>
              <w:right w:val="single" w:sz="4" w:space="0" w:color="auto"/>
            </w:tcBorders>
            <w:shd w:val="clear" w:color="auto" w:fill="FFFFFF" w:themeFill="background1"/>
            <w:noWrap/>
            <w:vAlign w:val="bottom"/>
          </w:tcPr>
          <w:p w:rsidR="00CB6A03" w:rsidRDefault="00CB6A03" w:rsidP="000943E9">
            <w:pPr>
              <w:tabs>
                <w:tab w:val="left" w:pos="630"/>
              </w:tabs>
              <w:jc w:val="center"/>
              <w:rPr>
                <w:rFonts w:cs="Arial"/>
                <w:szCs w:val="20"/>
              </w:rPr>
            </w:pPr>
            <w:r>
              <w:rPr>
                <w:rFonts w:cs="Arial"/>
                <w:szCs w:val="20"/>
              </w:rPr>
              <w:t>78.6</w:t>
            </w:r>
          </w:p>
        </w:tc>
        <w:tc>
          <w:tcPr>
            <w:tcW w:w="990" w:type="dxa"/>
            <w:tcBorders>
              <w:top w:val="nil"/>
              <w:left w:val="nil"/>
              <w:bottom w:val="single" w:sz="4" w:space="0" w:color="auto"/>
              <w:right w:val="single" w:sz="4" w:space="0" w:color="auto"/>
            </w:tcBorders>
            <w:shd w:val="clear" w:color="auto" w:fill="FFFFFF"/>
            <w:noWrap/>
            <w:vAlign w:val="bottom"/>
          </w:tcPr>
          <w:p w:rsidR="00CB6A03" w:rsidRDefault="00CB6A03" w:rsidP="000943E9">
            <w:pPr>
              <w:tabs>
                <w:tab w:val="left" w:pos="630"/>
              </w:tabs>
              <w:jc w:val="center"/>
              <w:rPr>
                <w:rFonts w:cs="Arial"/>
                <w:szCs w:val="20"/>
              </w:rPr>
            </w:pPr>
          </w:p>
        </w:tc>
        <w:tc>
          <w:tcPr>
            <w:tcW w:w="720" w:type="dxa"/>
            <w:tcBorders>
              <w:top w:val="nil"/>
              <w:left w:val="nil"/>
              <w:bottom w:val="single" w:sz="4" w:space="0" w:color="auto"/>
              <w:right w:val="single" w:sz="4" w:space="0" w:color="auto"/>
            </w:tcBorders>
            <w:shd w:val="clear" w:color="auto" w:fill="FFFFFF"/>
            <w:noWrap/>
            <w:vAlign w:val="bottom"/>
          </w:tcPr>
          <w:p w:rsidR="00CB6A03" w:rsidRDefault="00CB6A03" w:rsidP="000943E9">
            <w:pPr>
              <w:tabs>
                <w:tab w:val="left" w:pos="630"/>
              </w:tabs>
              <w:jc w:val="center"/>
              <w:rPr>
                <w:rFonts w:cs="Arial"/>
                <w:szCs w:val="20"/>
              </w:rPr>
            </w:pPr>
          </w:p>
        </w:tc>
        <w:tc>
          <w:tcPr>
            <w:tcW w:w="900" w:type="dxa"/>
            <w:tcBorders>
              <w:top w:val="nil"/>
              <w:left w:val="nil"/>
              <w:bottom w:val="single" w:sz="4" w:space="0" w:color="auto"/>
              <w:right w:val="single" w:sz="4" w:space="0" w:color="auto"/>
            </w:tcBorders>
            <w:shd w:val="clear" w:color="auto" w:fill="FFFFFF"/>
            <w:noWrap/>
            <w:vAlign w:val="bottom"/>
          </w:tcPr>
          <w:p w:rsidR="00CB6A03" w:rsidRDefault="00CB6A03" w:rsidP="000943E9">
            <w:pPr>
              <w:tabs>
                <w:tab w:val="left" w:pos="630"/>
              </w:tabs>
              <w:jc w:val="center"/>
              <w:rPr>
                <w:rFonts w:cs="Arial"/>
                <w:szCs w:val="20"/>
              </w:rPr>
            </w:pPr>
            <w:r>
              <w:rPr>
                <w:rFonts w:cs="Arial"/>
                <w:szCs w:val="20"/>
              </w:rPr>
              <w:t>78.6</w:t>
            </w:r>
          </w:p>
        </w:tc>
      </w:tr>
      <w:tr w:rsidR="00CB6A03" w:rsidTr="002A6067">
        <w:trPr>
          <w:trHeight w:val="255"/>
        </w:trPr>
        <w:tc>
          <w:tcPr>
            <w:tcW w:w="1260" w:type="dxa"/>
            <w:tcBorders>
              <w:top w:val="nil"/>
              <w:left w:val="single" w:sz="4" w:space="0" w:color="000000"/>
              <w:bottom w:val="single" w:sz="4" w:space="0" w:color="000000"/>
              <w:right w:val="nil"/>
            </w:tcBorders>
            <w:shd w:val="clear" w:color="auto" w:fill="EEECE1" w:themeFill="background2"/>
            <w:noWrap/>
            <w:vAlign w:val="bottom"/>
          </w:tcPr>
          <w:p w:rsidR="00CB6A03" w:rsidRDefault="00CB6A03" w:rsidP="000943E9">
            <w:pPr>
              <w:tabs>
                <w:tab w:val="left" w:pos="630"/>
              </w:tabs>
              <w:rPr>
                <w:rFonts w:cs="Arial"/>
                <w:szCs w:val="20"/>
              </w:rPr>
            </w:pPr>
            <w:r>
              <w:rPr>
                <w:rFonts w:cs="Arial"/>
                <w:szCs w:val="20"/>
              </w:rPr>
              <w:t>NOD</w:t>
            </w:r>
          </w:p>
        </w:tc>
        <w:tc>
          <w:tcPr>
            <w:tcW w:w="810" w:type="dxa"/>
            <w:tcBorders>
              <w:top w:val="nil"/>
              <w:left w:val="single" w:sz="4" w:space="0" w:color="auto"/>
              <w:bottom w:val="single" w:sz="4" w:space="0" w:color="auto"/>
              <w:right w:val="single" w:sz="4" w:space="0" w:color="auto"/>
            </w:tcBorders>
            <w:shd w:val="clear" w:color="auto" w:fill="C6D9F1" w:themeFill="text2" w:themeFillTint="33"/>
          </w:tcPr>
          <w:p w:rsidR="00CB6A03" w:rsidRDefault="00CB6A03" w:rsidP="000943E9">
            <w:pPr>
              <w:tabs>
                <w:tab w:val="left" w:pos="630"/>
              </w:tabs>
              <w:jc w:val="center"/>
              <w:rPr>
                <w:rFonts w:cs="Arial"/>
                <w:szCs w:val="20"/>
              </w:rPr>
            </w:pPr>
            <w:r>
              <w:rPr>
                <w:rFonts w:cs="Arial"/>
                <w:szCs w:val="20"/>
              </w:rPr>
              <w:t xml:space="preserve">  5</w:t>
            </w:r>
          </w:p>
        </w:tc>
        <w:tc>
          <w:tcPr>
            <w:tcW w:w="990" w:type="dxa"/>
            <w:tcBorders>
              <w:top w:val="nil"/>
              <w:left w:val="single" w:sz="4" w:space="0" w:color="auto"/>
              <w:bottom w:val="single" w:sz="4" w:space="0" w:color="auto"/>
              <w:right w:val="single" w:sz="4" w:space="0" w:color="auto"/>
            </w:tcBorders>
            <w:noWrap/>
            <w:vAlign w:val="bottom"/>
          </w:tcPr>
          <w:p w:rsidR="00CB6A03" w:rsidRDefault="00CB6A03" w:rsidP="000943E9">
            <w:pPr>
              <w:tabs>
                <w:tab w:val="left" w:pos="630"/>
              </w:tabs>
              <w:jc w:val="center"/>
              <w:rPr>
                <w:rFonts w:cs="Arial"/>
                <w:szCs w:val="20"/>
              </w:rPr>
            </w:pPr>
            <w:r>
              <w:rPr>
                <w:rFonts w:cs="Arial"/>
                <w:szCs w:val="20"/>
              </w:rPr>
              <w:t>60.0</w:t>
            </w:r>
          </w:p>
        </w:tc>
        <w:tc>
          <w:tcPr>
            <w:tcW w:w="1080" w:type="dxa"/>
            <w:tcBorders>
              <w:top w:val="nil"/>
              <w:left w:val="nil"/>
              <w:bottom w:val="single" w:sz="4" w:space="0" w:color="auto"/>
              <w:right w:val="single" w:sz="4" w:space="0" w:color="auto"/>
            </w:tcBorders>
            <w:shd w:val="clear" w:color="auto" w:fill="FFFFFF" w:themeFill="background1"/>
            <w:noWrap/>
            <w:vAlign w:val="bottom"/>
          </w:tcPr>
          <w:p w:rsidR="00CB6A03" w:rsidRDefault="00CB6A03" w:rsidP="000943E9">
            <w:pPr>
              <w:tabs>
                <w:tab w:val="left" w:pos="630"/>
              </w:tabs>
              <w:jc w:val="center"/>
              <w:rPr>
                <w:rFonts w:cs="Arial"/>
                <w:szCs w:val="20"/>
              </w:rPr>
            </w:pPr>
            <w:r>
              <w:rPr>
                <w:rFonts w:cs="Arial"/>
                <w:szCs w:val="20"/>
              </w:rPr>
              <w:t>60.0</w:t>
            </w:r>
          </w:p>
        </w:tc>
        <w:tc>
          <w:tcPr>
            <w:tcW w:w="990" w:type="dxa"/>
            <w:tcBorders>
              <w:top w:val="nil"/>
              <w:left w:val="nil"/>
              <w:bottom w:val="single" w:sz="4" w:space="0" w:color="auto"/>
              <w:right w:val="single" w:sz="4" w:space="0" w:color="auto"/>
            </w:tcBorders>
            <w:shd w:val="clear" w:color="auto" w:fill="FFFFFF"/>
            <w:noWrap/>
            <w:vAlign w:val="bottom"/>
          </w:tcPr>
          <w:p w:rsidR="00CB6A03" w:rsidRDefault="00CB6A03" w:rsidP="000943E9">
            <w:pPr>
              <w:tabs>
                <w:tab w:val="left" w:pos="630"/>
              </w:tabs>
              <w:jc w:val="center"/>
              <w:rPr>
                <w:rFonts w:cs="Arial"/>
                <w:szCs w:val="20"/>
              </w:rPr>
            </w:pPr>
          </w:p>
        </w:tc>
        <w:tc>
          <w:tcPr>
            <w:tcW w:w="720" w:type="dxa"/>
            <w:tcBorders>
              <w:top w:val="nil"/>
              <w:left w:val="nil"/>
              <w:bottom w:val="single" w:sz="4" w:space="0" w:color="auto"/>
              <w:right w:val="single" w:sz="4" w:space="0" w:color="auto"/>
            </w:tcBorders>
            <w:shd w:val="clear" w:color="auto" w:fill="FFFFFF"/>
            <w:noWrap/>
            <w:vAlign w:val="bottom"/>
          </w:tcPr>
          <w:p w:rsidR="00CB6A03" w:rsidRDefault="00CB6A03" w:rsidP="000943E9">
            <w:pPr>
              <w:tabs>
                <w:tab w:val="left" w:pos="630"/>
              </w:tabs>
              <w:jc w:val="center"/>
              <w:rPr>
                <w:rFonts w:cs="Arial"/>
                <w:szCs w:val="20"/>
              </w:rPr>
            </w:pPr>
          </w:p>
        </w:tc>
        <w:tc>
          <w:tcPr>
            <w:tcW w:w="900" w:type="dxa"/>
            <w:tcBorders>
              <w:top w:val="nil"/>
              <w:left w:val="nil"/>
              <w:bottom w:val="single" w:sz="4" w:space="0" w:color="auto"/>
              <w:right w:val="single" w:sz="4" w:space="0" w:color="auto"/>
            </w:tcBorders>
            <w:shd w:val="clear" w:color="auto" w:fill="FFFFFF"/>
            <w:noWrap/>
            <w:vAlign w:val="bottom"/>
          </w:tcPr>
          <w:p w:rsidR="00CB6A03" w:rsidRDefault="00CB6A03" w:rsidP="000943E9">
            <w:pPr>
              <w:tabs>
                <w:tab w:val="left" w:pos="630"/>
              </w:tabs>
              <w:jc w:val="center"/>
              <w:rPr>
                <w:rFonts w:cs="Arial"/>
                <w:szCs w:val="20"/>
              </w:rPr>
            </w:pPr>
            <w:r>
              <w:rPr>
                <w:rFonts w:cs="Arial"/>
                <w:szCs w:val="20"/>
              </w:rPr>
              <w:t>60.0</w:t>
            </w:r>
          </w:p>
        </w:tc>
      </w:tr>
      <w:tr w:rsidR="00CB6A03" w:rsidTr="00273A55">
        <w:trPr>
          <w:trHeight w:val="255"/>
        </w:trPr>
        <w:tc>
          <w:tcPr>
            <w:tcW w:w="1260" w:type="dxa"/>
            <w:tcBorders>
              <w:top w:val="nil"/>
              <w:left w:val="single" w:sz="4" w:space="0" w:color="000000"/>
              <w:bottom w:val="single" w:sz="4" w:space="0" w:color="000000"/>
              <w:right w:val="nil"/>
            </w:tcBorders>
            <w:shd w:val="clear" w:color="auto" w:fill="CCFFFF"/>
            <w:noWrap/>
            <w:vAlign w:val="bottom"/>
          </w:tcPr>
          <w:p w:rsidR="00CB6A03" w:rsidRDefault="00CB6A03" w:rsidP="000943E9">
            <w:pPr>
              <w:tabs>
                <w:tab w:val="left" w:pos="630"/>
              </w:tabs>
              <w:rPr>
                <w:rFonts w:cs="Arial"/>
                <w:b/>
                <w:bCs/>
                <w:color w:val="000000"/>
                <w:szCs w:val="20"/>
              </w:rPr>
            </w:pPr>
            <w:r>
              <w:rPr>
                <w:rFonts w:cs="Arial"/>
                <w:b/>
                <w:bCs/>
                <w:color w:val="000000"/>
                <w:szCs w:val="20"/>
              </w:rPr>
              <w:t>Total GS</w:t>
            </w:r>
          </w:p>
        </w:tc>
        <w:tc>
          <w:tcPr>
            <w:tcW w:w="810" w:type="dxa"/>
            <w:tcBorders>
              <w:top w:val="nil"/>
              <w:left w:val="single" w:sz="4" w:space="0" w:color="auto"/>
              <w:bottom w:val="single" w:sz="4" w:space="0" w:color="auto"/>
              <w:right w:val="single" w:sz="4" w:space="0" w:color="auto"/>
            </w:tcBorders>
            <w:shd w:val="clear" w:color="auto" w:fill="CCFFFF"/>
          </w:tcPr>
          <w:p w:rsidR="00CB6A03" w:rsidRDefault="00CB6A03" w:rsidP="000943E9">
            <w:pPr>
              <w:tabs>
                <w:tab w:val="left" w:pos="630"/>
              </w:tabs>
              <w:jc w:val="center"/>
              <w:rPr>
                <w:rFonts w:cs="Arial"/>
                <w:b/>
                <w:bCs/>
                <w:szCs w:val="20"/>
              </w:rPr>
            </w:pPr>
            <w:r>
              <w:rPr>
                <w:rFonts w:cs="Arial"/>
                <w:b/>
                <w:bCs/>
                <w:szCs w:val="20"/>
              </w:rPr>
              <w:t>397</w:t>
            </w:r>
          </w:p>
        </w:tc>
        <w:tc>
          <w:tcPr>
            <w:tcW w:w="990" w:type="dxa"/>
            <w:tcBorders>
              <w:top w:val="nil"/>
              <w:left w:val="single" w:sz="4" w:space="0" w:color="auto"/>
              <w:bottom w:val="single" w:sz="4" w:space="0" w:color="auto"/>
              <w:right w:val="single" w:sz="4" w:space="0" w:color="auto"/>
            </w:tcBorders>
            <w:shd w:val="clear" w:color="auto" w:fill="CCFFFF"/>
            <w:noWrap/>
            <w:vAlign w:val="bottom"/>
          </w:tcPr>
          <w:p w:rsidR="00CB6A03" w:rsidRDefault="00CB6A03" w:rsidP="000943E9">
            <w:pPr>
              <w:tabs>
                <w:tab w:val="left" w:pos="630"/>
              </w:tabs>
              <w:jc w:val="center"/>
              <w:rPr>
                <w:rFonts w:cs="Arial"/>
                <w:b/>
                <w:bCs/>
                <w:szCs w:val="20"/>
              </w:rPr>
            </w:pPr>
            <w:r>
              <w:rPr>
                <w:rFonts w:cs="Arial"/>
                <w:b/>
                <w:bCs/>
                <w:szCs w:val="20"/>
              </w:rPr>
              <w:t>79.8</w:t>
            </w:r>
          </w:p>
        </w:tc>
        <w:tc>
          <w:tcPr>
            <w:tcW w:w="1080" w:type="dxa"/>
            <w:tcBorders>
              <w:top w:val="nil"/>
              <w:left w:val="nil"/>
              <w:bottom w:val="single" w:sz="4" w:space="0" w:color="auto"/>
              <w:right w:val="single" w:sz="4" w:space="0" w:color="auto"/>
            </w:tcBorders>
            <w:shd w:val="clear" w:color="auto" w:fill="CCFFFF"/>
            <w:noWrap/>
            <w:vAlign w:val="bottom"/>
          </w:tcPr>
          <w:p w:rsidR="00CB6A03" w:rsidRDefault="00CB6A03" w:rsidP="000943E9">
            <w:pPr>
              <w:tabs>
                <w:tab w:val="left" w:pos="630"/>
              </w:tabs>
              <w:jc w:val="center"/>
              <w:rPr>
                <w:rFonts w:cs="Arial"/>
                <w:b/>
                <w:bCs/>
                <w:szCs w:val="20"/>
              </w:rPr>
            </w:pPr>
            <w:r>
              <w:rPr>
                <w:rFonts w:cs="Arial"/>
                <w:b/>
                <w:bCs/>
                <w:szCs w:val="20"/>
              </w:rPr>
              <w:t>79.7</w:t>
            </w:r>
          </w:p>
        </w:tc>
        <w:tc>
          <w:tcPr>
            <w:tcW w:w="990" w:type="dxa"/>
            <w:tcBorders>
              <w:top w:val="nil"/>
              <w:left w:val="nil"/>
              <w:bottom w:val="single" w:sz="4" w:space="0" w:color="auto"/>
              <w:right w:val="single" w:sz="4" w:space="0" w:color="auto"/>
            </w:tcBorders>
            <w:shd w:val="clear" w:color="auto" w:fill="CCFFFF"/>
            <w:noWrap/>
            <w:vAlign w:val="bottom"/>
          </w:tcPr>
          <w:p w:rsidR="00CB6A03" w:rsidRDefault="00CB6A03" w:rsidP="000943E9">
            <w:pPr>
              <w:tabs>
                <w:tab w:val="left" w:pos="630"/>
              </w:tabs>
              <w:jc w:val="center"/>
              <w:rPr>
                <w:rFonts w:cs="Arial"/>
                <w:b/>
                <w:bCs/>
                <w:szCs w:val="20"/>
              </w:rPr>
            </w:pPr>
            <w:r>
              <w:rPr>
                <w:rFonts w:cs="Arial"/>
                <w:b/>
                <w:bCs/>
                <w:szCs w:val="20"/>
              </w:rPr>
              <w:t>81.5</w:t>
            </w:r>
          </w:p>
        </w:tc>
        <w:tc>
          <w:tcPr>
            <w:tcW w:w="720" w:type="dxa"/>
            <w:tcBorders>
              <w:top w:val="nil"/>
              <w:left w:val="nil"/>
              <w:bottom w:val="single" w:sz="4" w:space="0" w:color="auto"/>
              <w:right w:val="single" w:sz="4" w:space="0" w:color="auto"/>
            </w:tcBorders>
            <w:shd w:val="clear" w:color="auto" w:fill="CCFFFF"/>
            <w:noWrap/>
            <w:vAlign w:val="bottom"/>
          </w:tcPr>
          <w:p w:rsidR="00CB6A03" w:rsidRDefault="00CB6A03" w:rsidP="000943E9">
            <w:pPr>
              <w:tabs>
                <w:tab w:val="left" w:pos="630"/>
              </w:tabs>
              <w:jc w:val="center"/>
              <w:rPr>
                <w:rFonts w:cs="Arial"/>
                <w:b/>
                <w:bCs/>
                <w:szCs w:val="20"/>
              </w:rPr>
            </w:pPr>
            <w:r>
              <w:rPr>
                <w:rFonts w:cs="Arial"/>
                <w:b/>
                <w:bCs/>
                <w:szCs w:val="20"/>
              </w:rPr>
              <w:t>79.6</w:t>
            </w:r>
          </w:p>
        </w:tc>
        <w:tc>
          <w:tcPr>
            <w:tcW w:w="900" w:type="dxa"/>
            <w:tcBorders>
              <w:top w:val="nil"/>
              <w:left w:val="nil"/>
              <w:bottom w:val="single" w:sz="4" w:space="0" w:color="auto"/>
              <w:right w:val="single" w:sz="4" w:space="0" w:color="auto"/>
            </w:tcBorders>
            <w:shd w:val="clear" w:color="auto" w:fill="CCFFFF"/>
            <w:noWrap/>
            <w:vAlign w:val="bottom"/>
          </w:tcPr>
          <w:p w:rsidR="00CB6A03" w:rsidRDefault="00CB6A03" w:rsidP="000943E9">
            <w:pPr>
              <w:tabs>
                <w:tab w:val="left" w:pos="630"/>
              </w:tabs>
              <w:jc w:val="center"/>
              <w:rPr>
                <w:rFonts w:cs="Arial"/>
                <w:b/>
                <w:bCs/>
                <w:szCs w:val="20"/>
              </w:rPr>
            </w:pPr>
            <w:r>
              <w:rPr>
                <w:rFonts w:cs="Arial"/>
                <w:b/>
                <w:bCs/>
                <w:szCs w:val="20"/>
              </w:rPr>
              <w:t>80.3</w:t>
            </w:r>
          </w:p>
        </w:tc>
      </w:tr>
      <w:tr w:rsidR="00CB6A03" w:rsidTr="002A6067">
        <w:trPr>
          <w:trHeight w:val="255"/>
        </w:trPr>
        <w:tc>
          <w:tcPr>
            <w:tcW w:w="1260" w:type="dxa"/>
            <w:tcBorders>
              <w:top w:val="nil"/>
              <w:left w:val="single" w:sz="4" w:space="0" w:color="000000"/>
              <w:bottom w:val="single" w:sz="4" w:space="0" w:color="000000"/>
              <w:right w:val="nil"/>
            </w:tcBorders>
            <w:shd w:val="clear" w:color="auto" w:fill="EEECE1" w:themeFill="background2"/>
            <w:noWrap/>
            <w:vAlign w:val="bottom"/>
          </w:tcPr>
          <w:p w:rsidR="00CB6A03" w:rsidRDefault="00CB6A03" w:rsidP="000943E9">
            <w:pPr>
              <w:tabs>
                <w:tab w:val="left" w:pos="630"/>
              </w:tabs>
              <w:rPr>
                <w:rFonts w:cs="Arial"/>
                <w:szCs w:val="20"/>
              </w:rPr>
            </w:pPr>
            <w:r>
              <w:rPr>
                <w:rFonts w:cs="Arial"/>
                <w:szCs w:val="20"/>
              </w:rPr>
              <w:t>G00</w:t>
            </w:r>
          </w:p>
        </w:tc>
        <w:tc>
          <w:tcPr>
            <w:tcW w:w="810" w:type="dxa"/>
            <w:tcBorders>
              <w:top w:val="nil"/>
              <w:left w:val="single" w:sz="4" w:space="0" w:color="auto"/>
              <w:bottom w:val="single" w:sz="4" w:space="0" w:color="auto"/>
              <w:right w:val="single" w:sz="4" w:space="0" w:color="auto"/>
            </w:tcBorders>
            <w:shd w:val="clear" w:color="auto" w:fill="C6D9F1" w:themeFill="text2" w:themeFillTint="33"/>
          </w:tcPr>
          <w:p w:rsidR="00CB6A03" w:rsidRDefault="00CB6A03" w:rsidP="000943E9">
            <w:pPr>
              <w:tabs>
                <w:tab w:val="left" w:pos="630"/>
              </w:tabs>
              <w:jc w:val="center"/>
              <w:rPr>
                <w:rFonts w:cs="Arial"/>
                <w:szCs w:val="20"/>
              </w:rPr>
            </w:pPr>
            <w:r>
              <w:rPr>
                <w:rFonts w:cs="Arial"/>
                <w:szCs w:val="20"/>
              </w:rPr>
              <w:t xml:space="preserve">  1</w:t>
            </w:r>
          </w:p>
        </w:tc>
        <w:tc>
          <w:tcPr>
            <w:tcW w:w="990" w:type="dxa"/>
            <w:tcBorders>
              <w:top w:val="nil"/>
              <w:left w:val="single" w:sz="4" w:space="0" w:color="auto"/>
              <w:bottom w:val="single" w:sz="4" w:space="0" w:color="auto"/>
              <w:right w:val="single" w:sz="4" w:space="0" w:color="auto"/>
            </w:tcBorders>
            <w:noWrap/>
            <w:vAlign w:val="bottom"/>
          </w:tcPr>
          <w:p w:rsidR="00CB6A03" w:rsidRDefault="00CB6A03" w:rsidP="000943E9">
            <w:pPr>
              <w:tabs>
                <w:tab w:val="left" w:pos="630"/>
              </w:tabs>
              <w:jc w:val="center"/>
              <w:rPr>
                <w:rFonts w:cs="Arial"/>
                <w:szCs w:val="20"/>
              </w:rPr>
            </w:pPr>
            <w:r>
              <w:rPr>
                <w:rFonts w:cs="Arial"/>
                <w:szCs w:val="20"/>
              </w:rPr>
              <w:t>100.0</w:t>
            </w:r>
          </w:p>
        </w:tc>
        <w:tc>
          <w:tcPr>
            <w:tcW w:w="1080" w:type="dxa"/>
            <w:tcBorders>
              <w:top w:val="nil"/>
              <w:left w:val="nil"/>
              <w:bottom w:val="single" w:sz="4" w:space="0" w:color="auto"/>
              <w:right w:val="single" w:sz="4" w:space="0" w:color="auto"/>
            </w:tcBorders>
            <w:shd w:val="clear" w:color="auto" w:fill="FFFFFF" w:themeFill="background1"/>
            <w:noWrap/>
            <w:vAlign w:val="bottom"/>
          </w:tcPr>
          <w:p w:rsidR="00CB6A03" w:rsidRDefault="00CB6A03" w:rsidP="000943E9">
            <w:pPr>
              <w:tabs>
                <w:tab w:val="left" w:pos="630"/>
              </w:tabs>
              <w:jc w:val="center"/>
              <w:rPr>
                <w:rFonts w:cs="Arial"/>
                <w:szCs w:val="20"/>
              </w:rPr>
            </w:pPr>
            <w:r>
              <w:rPr>
                <w:rFonts w:cs="Arial"/>
                <w:szCs w:val="20"/>
              </w:rPr>
              <w:t>100.0</w:t>
            </w:r>
          </w:p>
        </w:tc>
        <w:tc>
          <w:tcPr>
            <w:tcW w:w="990" w:type="dxa"/>
            <w:tcBorders>
              <w:top w:val="nil"/>
              <w:left w:val="nil"/>
              <w:bottom w:val="single" w:sz="4" w:space="0" w:color="auto"/>
              <w:right w:val="single" w:sz="4" w:space="0" w:color="auto"/>
            </w:tcBorders>
            <w:shd w:val="clear" w:color="auto" w:fill="FFFFFF"/>
            <w:noWrap/>
            <w:vAlign w:val="bottom"/>
          </w:tcPr>
          <w:p w:rsidR="00CB6A03" w:rsidRDefault="00CB6A03" w:rsidP="000943E9">
            <w:pPr>
              <w:tabs>
                <w:tab w:val="left" w:pos="630"/>
              </w:tabs>
              <w:jc w:val="center"/>
              <w:rPr>
                <w:rFonts w:cs="Arial"/>
                <w:szCs w:val="20"/>
              </w:rPr>
            </w:pPr>
          </w:p>
        </w:tc>
        <w:tc>
          <w:tcPr>
            <w:tcW w:w="720" w:type="dxa"/>
            <w:tcBorders>
              <w:top w:val="nil"/>
              <w:left w:val="nil"/>
              <w:bottom w:val="single" w:sz="4" w:space="0" w:color="auto"/>
              <w:right w:val="single" w:sz="4" w:space="0" w:color="auto"/>
            </w:tcBorders>
            <w:shd w:val="clear" w:color="auto" w:fill="FFFFFF"/>
            <w:noWrap/>
            <w:vAlign w:val="bottom"/>
          </w:tcPr>
          <w:p w:rsidR="00CB6A03" w:rsidRDefault="00CB6A03" w:rsidP="000943E9">
            <w:pPr>
              <w:tabs>
                <w:tab w:val="left" w:pos="630"/>
              </w:tabs>
              <w:jc w:val="center"/>
              <w:rPr>
                <w:rFonts w:cs="Arial"/>
                <w:szCs w:val="20"/>
              </w:rPr>
            </w:pPr>
          </w:p>
        </w:tc>
        <w:tc>
          <w:tcPr>
            <w:tcW w:w="900" w:type="dxa"/>
            <w:tcBorders>
              <w:top w:val="nil"/>
              <w:left w:val="nil"/>
              <w:bottom w:val="single" w:sz="4" w:space="0" w:color="auto"/>
              <w:right w:val="single" w:sz="4" w:space="0" w:color="auto"/>
            </w:tcBorders>
            <w:shd w:val="clear" w:color="auto" w:fill="FFFFFF"/>
            <w:noWrap/>
            <w:vAlign w:val="bottom"/>
          </w:tcPr>
          <w:p w:rsidR="00CB6A03" w:rsidRDefault="00CB6A03" w:rsidP="000943E9">
            <w:pPr>
              <w:tabs>
                <w:tab w:val="left" w:pos="630"/>
              </w:tabs>
              <w:jc w:val="center"/>
              <w:rPr>
                <w:rFonts w:cs="Arial"/>
                <w:szCs w:val="20"/>
              </w:rPr>
            </w:pPr>
            <w:r>
              <w:rPr>
                <w:rFonts w:cs="Arial"/>
                <w:szCs w:val="20"/>
              </w:rPr>
              <w:t>100.0</w:t>
            </w:r>
          </w:p>
        </w:tc>
      </w:tr>
      <w:tr w:rsidR="00CB6A03" w:rsidTr="002A6067">
        <w:trPr>
          <w:trHeight w:val="255"/>
        </w:trPr>
        <w:tc>
          <w:tcPr>
            <w:tcW w:w="1260" w:type="dxa"/>
            <w:tcBorders>
              <w:top w:val="nil"/>
              <w:left w:val="single" w:sz="4" w:space="0" w:color="000000"/>
              <w:bottom w:val="single" w:sz="4" w:space="0" w:color="000000"/>
              <w:right w:val="nil"/>
            </w:tcBorders>
            <w:shd w:val="clear" w:color="auto" w:fill="EEECE1" w:themeFill="background2"/>
            <w:noWrap/>
            <w:vAlign w:val="bottom"/>
          </w:tcPr>
          <w:p w:rsidR="00CB6A03" w:rsidRDefault="00CB6A03" w:rsidP="000943E9">
            <w:pPr>
              <w:tabs>
                <w:tab w:val="left" w:pos="630"/>
              </w:tabs>
              <w:rPr>
                <w:rFonts w:cs="Arial"/>
                <w:szCs w:val="20"/>
              </w:rPr>
            </w:pPr>
            <w:r>
              <w:rPr>
                <w:rFonts w:cs="Arial"/>
                <w:szCs w:val="20"/>
              </w:rPr>
              <w:t>G01</w:t>
            </w:r>
          </w:p>
        </w:tc>
        <w:tc>
          <w:tcPr>
            <w:tcW w:w="810" w:type="dxa"/>
            <w:tcBorders>
              <w:top w:val="nil"/>
              <w:left w:val="single" w:sz="4" w:space="0" w:color="auto"/>
              <w:bottom w:val="single" w:sz="4" w:space="0" w:color="auto"/>
              <w:right w:val="single" w:sz="4" w:space="0" w:color="auto"/>
            </w:tcBorders>
            <w:shd w:val="clear" w:color="auto" w:fill="C6D9F1" w:themeFill="text2" w:themeFillTint="33"/>
          </w:tcPr>
          <w:p w:rsidR="00CB6A03" w:rsidRDefault="00CB6A03" w:rsidP="000943E9">
            <w:pPr>
              <w:tabs>
                <w:tab w:val="left" w:pos="630"/>
              </w:tabs>
              <w:jc w:val="center"/>
              <w:rPr>
                <w:rFonts w:cs="Arial"/>
                <w:szCs w:val="20"/>
              </w:rPr>
            </w:pPr>
            <w:r>
              <w:rPr>
                <w:rFonts w:cs="Arial"/>
                <w:szCs w:val="20"/>
              </w:rPr>
              <w:t xml:space="preserve">  1</w:t>
            </w:r>
          </w:p>
        </w:tc>
        <w:tc>
          <w:tcPr>
            <w:tcW w:w="990" w:type="dxa"/>
            <w:tcBorders>
              <w:top w:val="nil"/>
              <w:left w:val="single" w:sz="4" w:space="0" w:color="auto"/>
              <w:bottom w:val="single" w:sz="4" w:space="0" w:color="auto"/>
              <w:right w:val="single" w:sz="4" w:space="0" w:color="auto"/>
            </w:tcBorders>
            <w:noWrap/>
            <w:vAlign w:val="bottom"/>
          </w:tcPr>
          <w:p w:rsidR="00CB6A03" w:rsidRDefault="00CB6A03" w:rsidP="000943E9">
            <w:pPr>
              <w:tabs>
                <w:tab w:val="left" w:pos="630"/>
              </w:tabs>
              <w:jc w:val="center"/>
              <w:rPr>
                <w:rFonts w:cs="Arial"/>
                <w:szCs w:val="20"/>
              </w:rPr>
            </w:pPr>
            <w:r>
              <w:rPr>
                <w:rFonts w:cs="Arial"/>
                <w:szCs w:val="20"/>
              </w:rPr>
              <w:t xml:space="preserve"> 0.0</w:t>
            </w:r>
          </w:p>
        </w:tc>
        <w:tc>
          <w:tcPr>
            <w:tcW w:w="1080" w:type="dxa"/>
            <w:tcBorders>
              <w:top w:val="nil"/>
              <w:left w:val="nil"/>
              <w:bottom w:val="single" w:sz="4" w:space="0" w:color="auto"/>
              <w:right w:val="single" w:sz="4" w:space="0" w:color="auto"/>
            </w:tcBorders>
            <w:shd w:val="clear" w:color="auto" w:fill="FFFFFF" w:themeFill="background1"/>
            <w:noWrap/>
            <w:vAlign w:val="bottom"/>
          </w:tcPr>
          <w:p w:rsidR="00CB6A03" w:rsidRDefault="00CB6A03" w:rsidP="000943E9">
            <w:pPr>
              <w:tabs>
                <w:tab w:val="left" w:pos="630"/>
              </w:tabs>
              <w:jc w:val="center"/>
              <w:rPr>
                <w:rFonts w:cs="Arial"/>
                <w:szCs w:val="20"/>
              </w:rPr>
            </w:pPr>
            <w:r>
              <w:rPr>
                <w:rFonts w:cs="Arial"/>
                <w:szCs w:val="20"/>
              </w:rPr>
              <w:t>0.0</w:t>
            </w:r>
          </w:p>
        </w:tc>
        <w:tc>
          <w:tcPr>
            <w:tcW w:w="990" w:type="dxa"/>
            <w:tcBorders>
              <w:top w:val="nil"/>
              <w:left w:val="nil"/>
              <w:bottom w:val="single" w:sz="4" w:space="0" w:color="auto"/>
              <w:right w:val="single" w:sz="4" w:space="0" w:color="auto"/>
            </w:tcBorders>
            <w:shd w:val="clear" w:color="auto" w:fill="FFFFFF"/>
            <w:noWrap/>
            <w:vAlign w:val="bottom"/>
          </w:tcPr>
          <w:p w:rsidR="00CB6A03" w:rsidRDefault="00CB6A03" w:rsidP="000943E9">
            <w:pPr>
              <w:tabs>
                <w:tab w:val="left" w:pos="630"/>
              </w:tabs>
              <w:jc w:val="center"/>
              <w:rPr>
                <w:rFonts w:cs="Arial"/>
                <w:szCs w:val="20"/>
              </w:rPr>
            </w:pPr>
          </w:p>
        </w:tc>
        <w:tc>
          <w:tcPr>
            <w:tcW w:w="720" w:type="dxa"/>
            <w:tcBorders>
              <w:top w:val="nil"/>
              <w:left w:val="nil"/>
              <w:bottom w:val="single" w:sz="4" w:space="0" w:color="auto"/>
              <w:right w:val="single" w:sz="4" w:space="0" w:color="auto"/>
            </w:tcBorders>
            <w:shd w:val="clear" w:color="auto" w:fill="FFFFFF"/>
            <w:noWrap/>
            <w:vAlign w:val="bottom"/>
          </w:tcPr>
          <w:p w:rsidR="00CB6A03" w:rsidRDefault="00CB6A03" w:rsidP="000943E9">
            <w:pPr>
              <w:tabs>
                <w:tab w:val="left" w:pos="630"/>
              </w:tabs>
              <w:jc w:val="center"/>
              <w:rPr>
                <w:rFonts w:cs="Arial"/>
                <w:szCs w:val="20"/>
              </w:rPr>
            </w:pPr>
          </w:p>
        </w:tc>
        <w:tc>
          <w:tcPr>
            <w:tcW w:w="900" w:type="dxa"/>
            <w:tcBorders>
              <w:top w:val="nil"/>
              <w:left w:val="nil"/>
              <w:bottom w:val="single" w:sz="4" w:space="0" w:color="auto"/>
              <w:right w:val="single" w:sz="4" w:space="0" w:color="auto"/>
            </w:tcBorders>
            <w:shd w:val="clear" w:color="auto" w:fill="FFFFFF"/>
            <w:noWrap/>
            <w:vAlign w:val="bottom"/>
          </w:tcPr>
          <w:p w:rsidR="00CB6A03" w:rsidRDefault="00CB6A03" w:rsidP="000943E9">
            <w:pPr>
              <w:tabs>
                <w:tab w:val="left" w:pos="630"/>
              </w:tabs>
              <w:jc w:val="center"/>
              <w:rPr>
                <w:rFonts w:cs="Arial"/>
                <w:szCs w:val="20"/>
              </w:rPr>
            </w:pPr>
            <w:r>
              <w:rPr>
                <w:rFonts w:cs="Arial"/>
                <w:szCs w:val="20"/>
              </w:rPr>
              <w:t>0.0</w:t>
            </w:r>
          </w:p>
        </w:tc>
      </w:tr>
      <w:tr w:rsidR="00CB6A03" w:rsidTr="002A6067">
        <w:trPr>
          <w:trHeight w:val="255"/>
        </w:trPr>
        <w:tc>
          <w:tcPr>
            <w:tcW w:w="1260" w:type="dxa"/>
            <w:tcBorders>
              <w:top w:val="nil"/>
              <w:left w:val="single" w:sz="4" w:space="0" w:color="000000"/>
              <w:bottom w:val="single" w:sz="4" w:space="0" w:color="000000"/>
              <w:right w:val="nil"/>
            </w:tcBorders>
            <w:shd w:val="clear" w:color="auto" w:fill="EEECE1" w:themeFill="background2"/>
            <w:noWrap/>
            <w:vAlign w:val="bottom"/>
          </w:tcPr>
          <w:p w:rsidR="00CB6A03" w:rsidRDefault="00CB6A03" w:rsidP="000943E9">
            <w:pPr>
              <w:tabs>
                <w:tab w:val="left" w:pos="630"/>
              </w:tabs>
              <w:rPr>
                <w:rFonts w:cs="Arial"/>
                <w:szCs w:val="20"/>
              </w:rPr>
            </w:pPr>
            <w:r>
              <w:rPr>
                <w:rFonts w:cs="Arial"/>
                <w:szCs w:val="20"/>
              </w:rPr>
              <w:t>G02</w:t>
            </w:r>
          </w:p>
        </w:tc>
        <w:tc>
          <w:tcPr>
            <w:tcW w:w="810" w:type="dxa"/>
            <w:tcBorders>
              <w:top w:val="nil"/>
              <w:left w:val="single" w:sz="4" w:space="0" w:color="auto"/>
              <w:bottom w:val="single" w:sz="4" w:space="0" w:color="auto"/>
              <w:right w:val="single" w:sz="4" w:space="0" w:color="auto"/>
            </w:tcBorders>
            <w:shd w:val="clear" w:color="auto" w:fill="C6D9F1" w:themeFill="text2" w:themeFillTint="33"/>
          </w:tcPr>
          <w:p w:rsidR="00CB6A03" w:rsidRDefault="00CB6A03" w:rsidP="000943E9">
            <w:pPr>
              <w:tabs>
                <w:tab w:val="left" w:pos="630"/>
              </w:tabs>
              <w:jc w:val="center"/>
              <w:rPr>
                <w:rFonts w:cs="Arial"/>
                <w:szCs w:val="20"/>
              </w:rPr>
            </w:pPr>
            <w:r>
              <w:rPr>
                <w:rFonts w:cs="Arial"/>
                <w:szCs w:val="20"/>
              </w:rPr>
              <w:t xml:space="preserve">  5</w:t>
            </w:r>
          </w:p>
        </w:tc>
        <w:tc>
          <w:tcPr>
            <w:tcW w:w="990" w:type="dxa"/>
            <w:tcBorders>
              <w:top w:val="nil"/>
              <w:left w:val="single" w:sz="4" w:space="0" w:color="auto"/>
              <w:bottom w:val="single" w:sz="4" w:space="0" w:color="auto"/>
              <w:right w:val="single" w:sz="4" w:space="0" w:color="auto"/>
            </w:tcBorders>
            <w:noWrap/>
            <w:vAlign w:val="bottom"/>
          </w:tcPr>
          <w:p w:rsidR="00CB6A03" w:rsidRDefault="00CB6A03" w:rsidP="000943E9">
            <w:pPr>
              <w:tabs>
                <w:tab w:val="left" w:pos="630"/>
              </w:tabs>
              <w:jc w:val="center"/>
              <w:rPr>
                <w:rFonts w:cs="Arial"/>
                <w:szCs w:val="20"/>
              </w:rPr>
            </w:pPr>
            <w:r>
              <w:rPr>
                <w:rFonts w:cs="Arial"/>
                <w:szCs w:val="20"/>
              </w:rPr>
              <w:t>20.0</w:t>
            </w:r>
          </w:p>
        </w:tc>
        <w:tc>
          <w:tcPr>
            <w:tcW w:w="1080" w:type="dxa"/>
            <w:tcBorders>
              <w:top w:val="nil"/>
              <w:left w:val="nil"/>
              <w:bottom w:val="single" w:sz="4" w:space="0" w:color="auto"/>
              <w:right w:val="single" w:sz="4" w:space="0" w:color="auto"/>
            </w:tcBorders>
            <w:shd w:val="clear" w:color="auto" w:fill="FFFFFF" w:themeFill="background1"/>
            <w:noWrap/>
            <w:vAlign w:val="bottom"/>
          </w:tcPr>
          <w:p w:rsidR="00CB6A03" w:rsidRDefault="00CB6A03" w:rsidP="000943E9">
            <w:pPr>
              <w:tabs>
                <w:tab w:val="left" w:pos="630"/>
              </w:tabs>
              <w:jc w:val="center"/>
              <w:rPr>
                <w:rFonts w:cs="Arial"/>
                <w:szCs w:val="20"/>
              </w:rPr>
            </w:pPr>
            <w:r>
              <w:rPr>
                <w:rFonts w:cs="Arial"/>
                <w:szCs w:val="20"/>
              </w:rPr>
              <w:t>20.0</w:t>
            </w:r>
          </w:p>
        </w:tc>
        <w:tc>
          <w:tcPr>
            <w:tcW w:w="990" w:type="dxa"/>
            <w:tcBorders>
              <w:top w:val="nil"/>
              <w:left w:val="nil"/>
              <w:bottom w:val="single" w:sz="4" w:space="0" w:color="auto"/>
              <w:right w:val="single" w:sz="4" w:space="0" w:color="auto"/>
            </w:tcBorders>
            <w:shd w:val="clear" w:color="auto" w:fill="FFFFFF"/>
            <w:noWrap/>
            <w:vAlign w:val="bottom"/>
          </w:tcPr>
          <w:p w:rsidR="00CB6A03" w:rsidRDefault="00CB6A03" w:rsidP="000943E9">
            <w:pPr>
              <w:tabs>
                <w:tab w:val="left" w:pos="630"/>
              </w:tabs>
              <w:jc w:val="center"/>
              <w:rPr>
                <w:rFonts w:cs="Arial"/>
                <w:szCs w:val="20"/>
              </w:rPr>
            </w:pPr>
          </w:p>
        </w:tc>
        <w:tc>
          <w:tcPr>
            <w:tcW w:w="720" w:type="dxa"/>
            <w:tcBorders>
              <w:top w:val="nil"/>
              <w:left w:val="nil"/>
              <w:bottom w:val="single" w:sz="4" w:space="0" w:color="auto"/>
              <w:right w:val="single" w:sz="4" w:space="0" w:color="auto"/>
            </w:tcBorders>
            <w:shd w:val="clear" w:color="auto" w:fill="FFFFFF"/>
            <w:noWrap/>
            <w:vAlign w:val="bottom"/>
          </w:tcPr>
          <w:p w:rsidR="00CB6A03" w:rsidRDefault="00CB6A03" w:rsidP="000943E9">
            <w:pPr>
              <w:tabs>
                <w:tab w:val="left" w:pos="630"/>
              </w:tabs>
              <w:jc w:val="center"/>
              <w:rPr>
                <w:rFonts w:cs="Arial"/>
                <w:szCs w:val="20"/>
              </w:rPr>
            </w:pPr>
            <w:r>
              <w:rPr>
                <w:rFonts w:cs="Arial"/>
                <w:szCs w:val="20"/>
              </w:rPr>
              <w:t>0.0</w:t>
            </w:r>
          </w:p>
        </w:tc>
        <w:tc>
          <w:tcPr>
            <w:tcW w:w="900" w:type="dxa"/>
            <w:tcBorders>
              <w:top w:val="nil"/>
              <w:left w:val="nil"/>
              <w:bottom w:val="single" w:sz="4" w:space="0" w:color="auto"/>
              <w:right w:val="single" w:sz="4" w:space="0" w:color="auto"/>
            </w:tcBorders>
            <w:shd w:val="clear" w:color="auto" w:fill="FFFFFF"/>
            <w:noWrap/>
            <w:vAlign w:val="bottom"/>
          </w:tcPr>
          <w:p w:rsidR="00CB6A03" w:rsidRDefault="00CB6A03" w:rsidP="000943E9">
            <w:pPr>
              <w:tabs>
                <w:tab w:val="left" w:pos="630"/>
              </w:tabs>
              <w:jc w:val="center"/>
              <w:rPr>
                <w:rFonts w:cs="Arial"/>
                <w:szCs w:val="20"/>
              </w:rPr>
            </w:pPr>
            <w:r>
              <w:rPr>
                <w:rFonts w:cs="Arial"/>
                <w:szCs w:val="20"/>
              </w:rPr>
              <w:t>25.0</w:t>
            </w:r>
          </w:p>
        </w:tc>
      </w:tr>
      <w:tr w:rsidR="00CB6A03" w:rsidTr="002A6067">
        <w:trPr>
          <w:trHeight w:val="255"/>
        </w:trPr>
        <w:tc>
          <w:tcPr>
            <w:tcW w:w="1260" w:type="dxa"/>
            <w:tcBorders>
              <w:top w:val="nil"/>
              <w:left w:val="single" w:sz="4" w:space="0" w:color="000000"/>
              <w:bottom w:val="single" w:sz="4" w:space="0" w:color="000000"/>
              <w:right w:val="nil"/>
            </w:tcBorders>
            <w:shd w:val="clear" w:color="auto" w:fill="EEECE1" w:themeFill="background2"/>
            <w:noWrap/>
            <w:vAlign w:val="bottom"/>
          </w:tcPr>
          <w:p w:rsidR="00CB6A03" w:rsidRDefault="00CB6A03" w:rsidP="000943E9">
            <w:pPr>
              <w:tabs>
                <w:tab w:val="left" w:pos="630"/>
              </w:tabs>
              <w:rPr>
                <w:rFonts w:cs="Arial"/>
                <w:szCs w:val="20"/>
              </w:rPr>
            </w:pPr>
            <w:r>
              <w:rPr>
                <w:rFonts w:cs="Arial"/>
                <w:szCs w:val="20"/>
              </w:rPr>
              <w:t>G03</w:t>
            </w:r>
          </w:p>
        </w:tc>
        <w:tc>
          <w:tcPr>
            <w:tcW w:w="810" w:type="dxa"/>
            <w:tcBorders>
              <w:top w:val="nil"/>
              <w:left w:val="single" w:sz="4" w:space="0" w:color="auto"/>
              <w:bottom w:val="single" w:sz="4" w:space="0" w:color="auto"/>
              <w:right w:val="single" w:sz="4" w:space="0" w:color="auto"/>
            </w:tcBorders>
            <w:shd w:val="clear" w:color="auto" w:fill="C6D9F1" w:themeFill="text2" w:themeFillTint="33"/>
          </w:tcPr>
          <w:p w:rsidR="00CB6A03" w:rsidRDefault="00CB6A03" w:rsidP="000943E9">
            <w:pPr>
              <w:tabs>
                <w:tab w:val="left" w:pos="630"/>
              </w:tabs>
              <w:jc w:val="center"/>
              <w:rPr>
                <w:rFonts w:cs="Arial"/>
                <w:szCs w:val="20"/>
              </w:rPr>
            </w:pPr>
            <w:r>
              <w:rPr>
                <w:rFonts w:cs="Arial"/>
                <w:szCs w:val="20"/>
              </w:rPr>
              <w:t xml:space="preserve">  6</w:t>
            </w:r>
          </w:p>
        </w:tc>
        <w:tc>
          <w:tcPr>
            <w:tcW w:w="990" w:type="dxa"/>
            <w:tcBorders>
              <w:top w:val="nil"/>
              <w:left w:val="single" w:sz="4" w:space="0" w:color="auto"/>
              <w:bottom w:val="single" w:sz="4" w:space="0" w:color="auto"/>
              <w:right w:val="single" w:sz="4" w:space="0" w:color="auto"/>
            </w:tcBorders>
            <w:noWrap/>
            <w:vAlign w:val="bottom"/>
          </w:tcPr>
          <w:p w:rsidR="00CB6A03" w:rsidRDefault="00CB6A03" w:rsidP="000943E9">
            <w:pPr>
              <w:tabs>
                <w:tab w:val="left" w:pos="630"/>
              </w:tabs>
              <w:jc w:val="center"/>
              <w:rPr>
                <w:rFonts w:cs="Arial"/>
                <w:szCs w:val="20"/>
              </w:rPr>
            </w:pPr>
            <w:r>
              <w:rPr>
                <w:rFonts w:cs="Arial"/>
                <w:szCs w:val="20"/>
              </w:rPr>
              <w:t>16.7</w:t>
            </w:r>
          </w:p>
        </w:tc>
        <w:tc>
          <w:tcPr>
            <w:tcW w:w="1080" w:type="dxa"/>
            <w:tcBorders>
              <w:top w:val="nil"/>
              <w:left w:val="nil"/>
              <w:bottom w:val="single" w:sz="4" w:space="0" w:color="auto"/>
              <w:right w:val="single" w:sz="4" w:space="0" w:color="auto"/>
            </w:tcBorders>
            <w:shd w:val="clear" w:color="auto" w:fill="FFFFFF" w:themeFill="background1"/>
            <w:noWrap/>
            <w:vAlign w:val="bottom"/>
          </w:tcPr>
          <w:p w:rsidR="00CB6A03" w:rsidRDefault="00CB6A03" w:rsidP="000943E9">
            <w:pPr>
              <w:tabs>
                <w:tab w:val="left" w:pos="630"/>
              </w:tabs>
              <w:jc w:val="center"/>
              <w:rPr>
                <w:rFonts w:cs="Arial"/>
                <w:szCs w:val="20"/>
              </w:rPr>
            </w:pPr>
            <w:r>
              <w:rPr>
                <w:rFonts w:cs="Arial"/>
                <w:szCs w:val="20"/>
              </w:rPr>
              <w:t>16.7</w:t>
            </w:r>
          </w:p>
        </w:tc>
        <w:tc>
          <w:tcPr>
            <w:tcW w:w="990" w:type="dxa"/>
            <w:tcBorders>
              <w:top w:val="nil"/>
              <w:left w:val="nil"/>
              <w:bottom w:val="single" w:sz="4" w:space="0" w:color="auto"/>
              <w:right w:val="single" w:sz="4" w:space="0" w:color="auto"/>
            </w:tcBorders>
            <w:shd w:val="clear" w:color="auto" w:fill="FFFFFF"/>
            <w:noWrap/>
            <w:vAlign w:val="bottom"/>
          </w:tcPr>
          <w:p w:rsidR="00CB6A03" w:rsidRDefault="00CB6A03" w:rsidP="000943E9">
            <w:pPr>
              <w:tabs>
                <w:tab w:val="left" w:pos="630"/>
              </w:tabs>
              <w:jc w:val="center"/>
              <w:rPr>
                <w:rFonts w:cs="Arial"/>
                <w:szCs w:val="20"/>
              </w:rPr>
            </w:pPr>
          </w:p>
        </w:tc>
        <w:tc>
          <w:tcPr>
            <w:tcW w:w="720" w:type="dxa"/>
            <w:tcBorders>
              <w:top w:val="nil"/>
              <w:left w:val="nil"/>
              <w:bottom w:val="single" w:sz="4" w:space="0" w:color="auto"/>
              <w:right w:val="single" w:sz="4" w:space="0" w:color="auto"/>
            </w:tcBorders>
            <w:shd w:val="clear" w:color="auto" w:fill="FFFFFF"/>
            <w:noWrap/>
            <w:vAlign w:val="bottom"/>
          </w:tcPr>
          <w:p w:rsidR="00CB6A03" w:rsidRDefault="00CB6A03" w:rsidP="000943E9">
            <w:pPr>
              <w:tabs>
                <w:tab w:val="left" w:pos="630"/>
              </w:tabs>
              <w:jc w:val="center"/>
              <w:rPr>
                <w:rFonts w:cs="Arial"/>
                <w:szCs w:val="20"/>
              </w:rPr>
            </w:pPr>
            <w:r>
              <w:rPr>
                <w:rFonts w:cs="Arial"/>
                <w:szCs w:val="20"/>
              </w:rPr>
              <w:t>0.0</w:t>
            </w:r>
          </w:p>
        </w:tc>
        <w:tc>
          <w:tcPr>
            <w:tcW w:w="900" w:type="dxa"/>
            <w:tcBorders>
              <w:top w:val="nil"/>
              <w:left w:val="nil"/>
              <w:bottom w:val="single" w:sz="4" w:space="0" w:color="auto"/>
              <w:right w:val="single" w:sz="4" w:space="0" w:color="auto"/>
            </w:tcBorders>
            <w:shd w:val="clear" w:color="auto" w:fill="FFFFFF"/>
            <w:noWrap/>
            <w:vAlign w:val="bottom"/>
          </w:tcPr>
          <w:p w:rsidR="00CB6A03" w:rsidRDefault="00CB6A03" w:rsidP="000943E9">
            <w:pPr>
              <w:tabs>
                <w:tab w:val="left" w:pos="630"/>
              </w:tabs>
              <w:jc w:val="center"/>
              <w:rPr>
                <w:rFonts w:cs="Arial"/>
                <w:szCs w:val="20"/>
              </w:rPr>
            </w:pPr>
            <w:r>
              <w:rPr>
                <w:rFonts w:cs="Arial"/>
                <w:szCs w:val="20"/>
              </w:rPr>
              <w:t>20.0</w:t>
            </w:r>
          </w:p>
        </w:tc>
      </w:tr>
      <w:tr w:rsidR="00CB6A03" w:rsidTr="002A6067">
        <w:trPr>
          <w:trHeight w:val="255"/>
        </w:trPr>
        <w:tc>
          <w:tcPr>
            <w:tcW w:w="1260" w:type="dxa"/>
            <w:tcBorders>
              <w:top w:val="nil"/>
              <w:left w:val="single" w:sz="4" w:space="0" w:color="000000"/>
              <w:bottom w:val="single" w:sz="4" w:space="0" w:color="000000"/>
              <w:right w:val="nil"/>
            </w:tcBorders>
            <w:shd w:val="clear" w:color="auto" w:fill="EEECE1" w:themeFill="background2"/>
            <w:noWrap/>
            <w:vAlign w:val="bottom"/>
          </w:tcPr>
          <w:p w:rsidR="00CB6A03" w:rsidRDefault="00CB6A03" w:rsidP="000943E9">
            <w:pPr>
              <w:tabs>
                <w:tab w:val="left" w:pos="630"/>
              </w:tabs>
              <w:rPr>
                <w:rFonts w:cs="Arial"/>
                <w:szCs w:val="20"/>
              </w:rPr>
            </w:pPr>
            <w:r>
              <w:rPr>
                <w:rFonts w:cs="Arial"/>
                <w:szCs w:val="20"/>
              </w:rPr>
              <w:t>G04</w:t>
            </w:r>
          </w:p>
        </w:tc>
        <w:tc>
          <w:tcPr>
            <w:tcW w:w="810" w:type="dxa"/>
            <w:tcBorders>
              <w:top w:val="nil"/>
              <w:left w:val="single" w:sz="4" w:space="0" w:color="auto"/>
              <w:bottom w:val="single" w:sz="4" w:space="0" w:color="auto"/>
              <w:right w:val="single" w:sz="4" w:space="0" w:color="auto"/>
            </w:tcBorders>
            <w:shd w:val="clear" w:color="auto" w:fill="C6D9F1" w:themeFill="text2" w:themeFillTint="33"/>
          </w:tcPr>
          <w:p w:rsidR="00CB6A03" w:rsidRDefault="00CB6A03" w:rsidP="000943E9">
            <w:pPr>
              <w:tabs>
                <w:tab w:val="left" w:pos="630"/>
              </w:tabs>
              <w:jc w:val="center"/>
              <w:rPr>
                <w:rFonts w:cs="Arial"/>
                <w:szCs w:val="20"/>
              </w:rPr>
            </w:pPr>
            <w:r>
              <w:rPr>
                <w:rFonts w:cs="Arial"/>
                <w:szCs w:val="20"/>
              </w:rPr>
              <w:t>90</w:t>
            </w:r>
          </w:p>
        </w:tc>
        <w:tc>
          <w:tcPr>
            <w:tcW w:w="990" w:type="dxa"/>
            <w:tcBorders>
              <w:top w:val="nil"/>
              <w:left w:val="single" w:sz="4" w:space="0" w:color="auto"/>
              <w:bottom w:val="single" w:sz="4" w:space="0" w:color="auto"/>
              <w:right w:val="single" w:sz="4" w:space="0" w:color="auto"/>
            </w:tcBorders>
            <w:noWrap/>
            <w:vAlign w:val="bottom"/>
          </w:tcPr>
          <w:p w:rsidR="00CB6A03" w:rsidRDefault="00CB6A03" w:rsidP="000943E9">
            <w:pPr>
              <w:tabs>
                <w:tab w:val="left" w:pos="630"/>
              </w:tabs>
              <w:jc w:val="center"/>
              <w:rPr>
                <w:rFonts w:cs="Arial"/>
                <w:szCs w:val="20"/>
              </w:rPr>
            </w:pPr>
            <w:r>
              <w:rPr>
                <w:rFonts w:cs="Arial"/>
                <w:szCs w:val="20"/>
              </w:rPr>
              <w:t>80.0</w:t>
            </w:r>
          </w:p>
        </w:tc>
        <w:tc>
          <w:tcPr>
            <w:tcW w:w="1080" w:type="dxa"/>
            <w:tcBorders>
              <w:top w:val="nil"/>
              <w:left w:val="nil"/>
              <w:bottom w:val="single" w:sz="4" w:space="0" w:color="auto"/>
              <w:right w:val="single" w:sz="4" w:space="0" w:color="auto"/>
            </w:tcBorders>
            <w:shd w:val="clear" w:color="auto" w:fill="FFFFFF" w:themeFill="background1"/>
            <w:noWrap/>
            <w:vAlign w:val="bottom"/>
          </w:tcPr>
          <w:p w:rsidR="00CB6A03" w:rsidRDefault="00CB6A03" w:rsidP="000943E9">
            <w:pPr>
              <w:tabs>
                <w:tab w:val="left" w:pos="630"/>
              </w:tabs>
              <w:jc w:val="center"/>
              <w:rPr>
                <w:rFonts w:cs="Arial"/>
                <w:szCs w:val="20"/>
              </w:rPr>
            </w:pPr>
            <w:r>
              <w:rPr>
                <w:rFonts w:cs="Arial"/>
                <w:szCs w:val="20"/>
              </w:rPr>
              <w:t>78.6</w:t>
            </w:r>
          </w:p>
        </w:tc>
        <w:tc>
          <w:tcPr>
            <w:tcW w:w="990" w:type="dxa"/>
            <w:tcBorders>
              <w:top w:val="nil"/>
              <w:left w:val="nil"/>
              <w:bottom w:val="single" w:sz="4" w:space="0" w:color="auto"/>
              <w:right w:val="single" w:sz="4" w:space="0" w:color="auto"/>
            </w:tcBorders>
            <w:shd w:val="clear" w:color="auto" w:fill="FFFFFF"/>
            <w:noWrap/>
            <w:vAlign w:val="bottom"/>
          </w:tcPr>
          <w:p w:rsidR="00CB6A03" w:rsidRDefault="00CB6A03" w:rsidP="000943E9">
            <w:pPr>
              <w:tabs>
                <w:tab w:val="left" w:pos="630"/>
              </w:tabs>
              <w:jc w:val="center"/>
              <w:rPr>
                <w:rFonts w:cs="Arial"/>
                <w:szCs w:val="20"/>
              </w:rPr>
            </w:pPr>
            <w:r>
              <w:rPr>
                <w:rFonts w:cs="Arial"/>
                <w:szCs w:val="20"/>
              </w:rPr>
              <w:t>85.0</w:t>
            </w:r>
          </w:p>
        </w:tc>
        <w:tc>
          <w:tcPr>
            <w:tcW w:w="720" w:type="dxa"/>
            <w:tcBorders>
              <w:top w:val="nil"/>
              <w:left w:val="nil"/>
              <w:bottom w:val="single" w:sz="4" w:space="0" w:color="auto"/>
              <w:right w:val="single" w:sz="4" w:space="0" w:color="auto"/>
            </w:tcBorders>
            <w:shd w:val="clear" w:color="auto" w:fill="FFFFFF"/>
            <w:noWrap/>
            <w:vAlign w:val="bottom"/>
          </w:tcPr>
          <w:p w:rsidR="00CB6A03" w:rsidRDefault="00CB6A03" w:rsidP="000943E9">
            <w:pPr>
              <w:tabs>
                <w:tab w:val="left" w:pos="630"/>
              </w:tabs>
              <w:jc w:val="center"/>
              <w:rPr>
                <w:rFonts w:cs="Arial"/>
                <w:szCs w:val="20"/>
              </w:rPr>
            </w:pPr>
            <w:r>
              <w:rPr>
                <w:rFonts w:cs="Arial"/>
                <w:szCs w:val="20"/>
              </w:rPr>
              <w:t>79.0</w:t>
            </w:r>
          </w:p>
        </w:tc>
        <w:tc>
          <w:tcPr>
            <w:tcW w:w="900" w:type="dxa"/>
            <w:tcBorders>
              <w:top w:val="nil"/>
              <w:left w:val="nil"/>
              <w:bottom w:val="single" w:sz="4" w:space="0" w:color="auto"/>
              <w:right w:val="single" w:sz="4" w:space="0" w:color="auto"/>
            </w:tcBorders>
            <w:shd w:val="clear" w:color="auto" w:fill="FFFFFF"/>
            <w:noWrap/>
            <w:vAlign w:val="bottom"/>
          </w:tcPr>
          <w:p w:rsidR="00CB6A03" w:rsidRDefault="00CB6A03" w:rsidP="000943E9">
            <w:pPr>
              <w:tabs>
                <w:tab w:val="left" w:pos="630"/>
              </w:tabs>
              <w:jc w:val="center"/>
              <w:rPr>
                <w:rFonts w:cs="Arial"/>
                <w:szCs w:val="20"/>
              </w:rPr>
            </w:pPr>
            <w:r>
              <w:rPr>
                <w:rFonts w:cs="Arial"/>
                <w:szCs w:val="20"/>
              </w:rPr>
              <w:t>82.1</w:t>
            </w:r>
          </w:p>
        </w:tc>
      </w:tr>
      <w:tr w:rsidR="00CB6A03" w:rsidTr="002A6067">
        <w:trPr>
          <w:trHeight w:val="255"/>
        </w:trPr>
        <w:tc>
          <w:tcPr>
            <w:tcW w:w="1260" w:type="dxa"/>
            <w:tcBorders>
              <w:top w:val="nil"/>
              <w:left w:val="single" w:sz="4" w:space="0" w:color="000000"/>
              <w:bottom w:val="single" w:sz="4" w:space="0" w:color="000000"/>
              <w:right w:val="nil"/>
            </w:tcBorders>
            <w:shd w:val="clear" w:color="auto" w:fill="EEECE1" w:themeFill="background2"/>
            <w:noWrap/>
            <w:vAlign w:val="bottom"/>
          </w:tcPr>
          <w:p w:rsidR="00CB6A03" w:rsidRDefault="00CB6A03" w:rsidP="000943E9">
            <w:pPr>
              <w:tabs>
                <w:tab w:val="left" w:pos="630"/>
              </w:tabs>
              <w:rPr>
                <w:rFonts w:cs="Arial"/>
                <w:szCs w:val="20"/>
              </w:rPr>
            </w:pPr>
            <w:r>
              <w:rPr>
                <w:rFonts w:cs="Arial"/>
                <w:szCs w:val="20"/>
              </w:rPr>
              <w:t>G05</w:t>
            </w:r>
          </w:p>
        </w:tc>
        <w:tc>
          <w:tcPr>
            <w:tcW w:w="810" w:type="dxa"/>
            <w:tcBorders>
              <w:top w:val="nil"/>
              <w:left w:val="single" w:sz="4" w:space="0" w:color="auto"/>
              <w:bottom w:val="single" w:sz="4" w:space="0" w:color="auto"/>
              <w:right w:val="single" w:sz="4" w:space="0" w:color="auto"/>
            </w:tcBorders>
            <w:shd w:val="clear" w:color="auto" w:fill="C6D9F1" w:themeFill="text2" w:themeFillTint="33"/>
          </w:tcPr>
          <w:p w:rsidR="00CB6A03" w:rsidRDefault="00CB6A03" w:rsidP="000943E9">
            <w:pPr>
              <w:tabs>
                <w:tab w:val="left" w:pos="630"/>
              </w:tabs>
              <w:rPr>
                <w:rFonts w:cs="Arial"/>
                <w:szCs w:val="20"/>
              </w:rPr>
            </w:pPr>
            <w:r>
              <w:rPr>
                <w:rFonts w:cs="Arial"/>
                <w:szCs w:val="20"/>
              </w:rPr>
              <w:t xml:space="preserve">  129</w:t>
            </w:r>
          </w:p>
        </w:tc>
        <w:tc>
          <w:tcPr>
            <w:tcW w:w="990" w:type="dxa"/>
            <w:tcBorders>
              <w:top w:val="nil"/>
              <w:left w:val="single" w:sz="4" w:space="0" w:color="auto"/>
              <w:bottom w:val="single" w:sz="4" w:space="0" w:color="auto"/>
              <w:right w:val="single" w:sz="4" w:space="0" w:color="auto"/>
            </w:tcBorders>
            <w:noWrap/>
            <w:vAlign w:val="bottom"/>
          </w:tcPr>
          <w:p w:rsidR="00CB6A03" w:rsidRDefault="00CB6A03" w:rsidP="000943E9">
            <w:pPr>
              <w:tabs>
                <w:tab w:val="left" w:pos="630"/>
              </w:tabs>
              <w:jc w:val="center"/>
              <w:rPr>
                <w:rFonts w:cs="Arial"/>
                <w:szCs w:val="20"/>
              </w:rPr>
            </w:pPr>
            <w:r>
              <w:rPr>
                <w:rFonts w:cs="Arial"/>
                <w:szCs w:val="20"/>
              </w:rPr>
              <w:t>82.9</w:t>
            </w:r>
          </w:p>
        </w:tc>
        <w:tc>
          <w:tcPr>
            <w:tcW w:w="1080" w:type="dxa"/>
            <w:tcBorders>
              <w:top w:val="nil"/>
              <w:left w:val="nil"/>
              <w:bottom w:val="single" w:sz="4" w:space="0" w:color="auto"/>
              <w:right w:val="single" w:sz="4" w:space="0" w:color="auto"/>
            </w:tcBorders>
            <w:shd w:val="clear" w:color="auto" w:fill="FFFFFF" w:themeFill="background1"/>
            <w:noWrap/>
            <w:vAlign w:val="bottom"/>
          </w:tcPr>
          <w:p w:rsidR="00CB6A03" w:rsidRDefault="00CB6A03" w:rsidP="000943E9">
            <w:pPr>
              <w:tabs>
                <w:tab w:val="left" w:pos="630"/>
              </w:tabs>
              <w:jc w:val="center"/>
              <w:rPr>
                <w:rFonts w:cs="Arial"/>
                <w:szCs w:val="20"/>
              </w:rPr>
            </w:pPr>
            <w:r>
              <w:rPr>
                <w:rFonts w:cs="Arial"/>
                <w:szCs w:val="20"/>
              </w:rPr>
              <w:t>83.6</w:t>
            </w:r>
          </w:p>
        </w:tc>
        <w:tc>
          <w:tcPr>
            <w:tcW w:w="990" w:type="dxa"/>
            <w:tcBorders>
              <w:top w:val="nil"/>
              <w:left w:val="nil"/>
              <w:bottom w:val="single" w:sz="4" w:space="0" w:color="auto"/>
              <w:right w:val="single" w:sz="4" w:space="0" w:color="auto"/>
            </w:tcBorders>
            <w:shd w:val="clear" w:color="auto" w:fill="FFFFFF"/>
            <w:noWrap/>
            <w:vAlign w:val="bottom"/>
          </w:tcPr>
          <w:p w:rsidR="00CB6A03" w:rsidRDefault="00CB6A03" w:rsidP="000943E9">
            <w:pPr>
              <w:tabs>
                <w:tab w:val="left" w:pos="630"/>
              </w:tabs>
              <w:jc w:val="center"/>
              <w:rPr>
                <w:rFonts w:cs="Arial"/>
                <w:szCs w:val="20"/>
              </w:rPr>
            </w:pPr>
            <w:r>
              <w:rPr>
                <w:rFonts w:cs="Arial"/>
                <w:szCs w:val="20"/>
              </w:rPr>
              <w:t>71.4</w:t>
            </w:r>
          </w:p>
        </w:tc>
        <w:tc>
          <w:tcPr>
            <w:tcW w:w="720" w:type="dxa"/>
            <w:tcBorders>
              <w:top w:val="nil"/>
              <w:left w:val="nil"/>
              <w:bottom w:val="single" w:sz="4" w:space="0" w:color="auto"/>
              <w:right w:val="single" w:sz="4" w:space="0" w:color="auto"/>
            </w:tcBorders>
            <w:shd w:val="clear" w:color="auto" w:fill="FFFFFF"/>
            <w:noWrap/>
            <w:vAlign w:val="bottom"/>
          </w:tcPr>
          <w:p w:rsidR="00CB6A03" w:rsidRDefault="00CB6A03" w:rsidP="000943E9">
            <w:pPr>
              <w:tabs>
                <w:tab w:val="left" w:pos="630"/>
              </w:tabs>
              <w:jc w:val="center"/>
              <w:rPr>
                <w:rFonts w:cs="Arial"/>
                <w:szCs w:val="20"/>
              </w:rPr>
            </w:pPr>
            <w:r>
              <w:rPr>
                <w:rFonts w:cs="Arial"/>
                <w:szCs w:val="20"/>
              </w:rPr>
              <w:t>81.8</w:t>
            </w:r>
          </w:p>
        </w:tc>
        <w:tc>
          <w:tcPr>
            <w:tcW w:w="900" w:type="dxa"/>
            <w:tcBorders>
              <w:top w:val="nil"/>
              <w:left w:val="nil"/>
              <w:bottom w:val="single" w:sz="4" w:space="0" w:color="auto"/>
              <w:right w:val="single" w:sz="4" w:space="0" w:color="auto"/>
            </w:tcBorders>
            <w:shd w:val="clear" w:color="auto" w:fill="FFFFFF"/>
            <w:noWrap/>
            <w:vAlign w:val="bottom"/>
          </w:tcPr>
          <w:p w:rsidR="00CB6A03" w:rsidRDefault="00CB6A03" w:rsidP="000943E9">
            <w:pPr>
              <w:tabs>
                <w:tab w:val="left" w:pos="630"/>
              </w:tabs>
              <w:jc w:val="center"/>
              <w:rPr>
                <w:rFonts w:cs="Arial"/>
                <w:szCs w:val="20"/>
              </w:rPr>
            </w:pPr>
            <w:r>
              <w:rPr>
                <w:rFonts w:cs="Arial"/>
                <w:szCs w:val="20"/>
              </w:rPr>
              <w:t>85.4</w:t>
            </w:r>
          </w:p>
        </w:tc>
      </w:tr>
      <w:tr w:rsidR="00CB6A03" w:rsidTr="002A6067">
        <w:trPr>
          <w:trHeight w:val="255"/>
        </w:trPr>
        <w:tc>
          <w:tcPr>
            <w:tcW w:w="1260" w:type="dxa"/>
            <w:tcBorders>
              <w:top w:val="nil"/>
              <w:left w:val="single" w:sz="4" w:space="0" w:color="000000"/>
              <w:bottom w:val="single" w:sz="4" w:space="0" w:color="000000"/>
              <w:right w:val="nil"/>
            </w:tcBorders>
            <w:shd w:val="clear" w:color="auto" w:fill="EEECE1" w:themeFill="background2"/>
            <w:noWrap/>
            <w:vAlign w:val="bottom"/>
          </w:tcPr>
          <w:p w:rsidR="00CB6A03" w:rsidRDefault="00CB6A03" w:rsidP="000943E9">
            <w:pPr>
              <w:tabs>
                <w:tab w:val="left" w:pos="630"/>
              </w:tabs>
              <w:rPr>
                <w:rFonts w:cs="Arial"/>
                <w:szCs w:val="20"/>
              </w:rPr>
            </w:pPr>
            <w:r>
              <w:rPr>
                <w:rFonts w:cs="Arial"/>
                <w:szCs w:val="20"/>
              </w:rPr>
              <w:t>G06</w:t>
            </w:r>
          </w:p>
        </w:tc>
        <w:tc>
          <w:tcPr>
            <w:tcW w:w="810" w:type="dxa"/>
            <w:tcBorders>
              <w:top w:val="nil"/>
              <w:left w:val="single" w:sz="4" w:space="0" w:color="auto"/>
              <w:bottom w:val="single" w:sz="4" w:space="0" w:color="auto"/>
              <w:right w:val="single" w:sz="4" w:space="0" w:color="auto"/>
            </w:tcBorders>
            <w:shd w:val="clear" w:color="auto" w:fill="C6D9F1" w:themeFill="text2" w:themeFillTint="33"/>
          </w:tcPr>
          <w:p w:rsidR="00CB6A03" w:rsidRDefault="00CB6A03" w:rsidP="000943E9">
            <w:pPr>
              <w:tabs>
                <w:tab w:val="left" w:pos="630"/>
              </w:tabs>
              <w:rPr>
                <w:rFonts w:cs="Arial"/>
                <w:szCs w:val="20"/>
              </w:rPr>
            </w:pPr>
            <w:r>
              <w:rPr>
                <w:rFonts w:cs="Arial"/>
                <w:szCs w:val="20"/>
              </w:rPr>
              <w:t xml:space="preserve">  128</w:t>
            </w:r>
          </w:p>
        </w:tc>
        <w:tc>
          <w:tcPr>
            <w:tcW w:w="990" w:type="dxa"/>
            <w:tcBorders>
              <w:top w:val="nil"/>
              <w:left w:val="single" w:sz="4" w:space="0" w:color="auto"/>
              <w:bottom w:val="single" w:sz="4" w:space="0" w:color="auto"/>
              <w:right w:val="single" w:sz="4" w:space="0" w:color="auto"/>
            </w:tcBorders>
            <w:noWrap/>
            <w:vAlign w:val="bottom"/>
          </w:tcPr>
          <w:p w:rsidR="00CB6A03" w:rsidRDefault="00CB6A03" w:rsidP="000943E9">
            <w:pPr>
              <w:tabs>
                <w:tab w:val="left" w:pos="630"/>
              </w:tabs>
              <w:jc w:val="center"/>
              <w:rPr>
                <w:rFonts w:cs="Arial"/>
                <w:szCs w:val="20"/>
              </w:rPr>
            </w:pPr>
            <w:r>
              <w:rPr>
                <w:rFonts w:cs="Arial"/>
                <w:szCs w:val="20"/>
              </w:rPr>
              <w:t>84.4</w:t>
            </w:r>
          </w:p>
        </w:tc>
        <w:tc>
          <w:tcPr>
            <w:tcW w:w="1080" w:type="dxa"/>
            <w:tcBorders>
              <w:top w:val="nil"/>
              <w:left w:val="nil"/>
              <w:bottom w:val="single" w:sz="4" w:space="0" w:color="auto"/>
              <w:right w:val="single" w:sz="4" w:space="0" w:color="auto"/>
            </w:tcBorders>
            <w:shd w:val="clear" w:color="auto" w:fill="FFFFFF" w:themeFill="background1"/>
            <w:noWrap/>
            <w:vAlign w:val="bottom"/>
          </w:tcPr>
          <w:p w:rsidR="00CB6A03" w:rsidRDefault="00CB6A03" w:rsidP="000943E9">
            <w:pPr>
              <w:tabs>
                <w:tab w:val="left" w:pos="630"/>
              </w:tabs>
              <w:jc w:val="center"/>
              <w:rPr>
                <w:rFonts w:cs="Arial"/>
                <w:szCs w:val="20"/>
              </w:rPr>
            </w:pPr>
            <w:r>
              <w:rPr>
                <w:rFonts w:cs="Arial"/>
                <w:szCs w:val="20"/>
              </w:rPr>
              <w:t>84.4</w:t>
            </w:r>
          </w:p>
        </w:tc>
        <w:tc>
          <w:tcPr>
            <w:tcW w:w="990" w:type="dxa"/>
            <w:tcBorders>
              <w:top w:val="nil"/>
              <w:left w:val="nil"/>
              <w:bottom w:val="single" w:sz="4" w:space="0" w:color="auto"/>
              <w:right w:val="single" w:sz="4" w:space="0" w:color="auto"/>
            </w:tcBorders>
            <w:shd w:val="clear" w:color="auto" w:fill="FFFFFF"/>
            <w:noWrap/>
            <w:vAlign w:val="bottom"/>
          </w:tcPr>
          <w:p w:rsidR="00CB6A03" w:rsidRDefault="00CB6A03" w:rsidP="000943E9">
            <w:pPr>
              <w:tabs>
                <w:tab w:val="left" w:pos="630"/>
              </w:tabs>
              <w:jc w:val="center"/>
              <w:rPr>
                <w:rFonts w:cs="Arial"/>
                <w:szCs w:val="20"/>
              </w:rPr>
            </w:pPr>
          </w:p>
        </w:tc>
        <w:tc>
          <w:tcPr>
            <w:tcW w:w="720" w:type="dxa"/>
            <w:tcBorders>
              <w:top w:val="nil"/>
              <w:left w:val="nil"/>
              <w:bottom w:val="single" w:sz="4" w:space="0" w:color="auto"/>
              <w:right w:val="single" w:sz="4" w:space="0" w:color="auto"/>
            </w:tcBorders>
            <w:shd w:val="clear" w:color="auto" w:fill="FFFFFF"/>
            <w:noWrap/>
            <w:vAlign w:val="bottom"/>
          </w:tcPr>
          <w:p w:rsidR="00CB6A03" w:rsidRDefault="00CB6A03" w:rsidP="000943E9">
            <w:pPr>
              <w:tabs>
                <w:tab w:val="left" w:pos="630"/>
              </w:tabs>
              <w:jc w:val="center"/>
              <w:rPr>
                <w:rFonts w:cs="Arial"/>
                <w:szCs w:val="20"/>
              </w:rPr>
            </w:pPr>
            <w:r>
              <w:rPr>
                <w:rFonts w:cs="Arial"/>
                <w:szCs w:val="20"/>
              </w:rPr>
              <w:t>78.8</w:t>
            </w:r>
          </w:p>
        </w:tc>
        <w:tc>
          <w:tcPr>
            <w:tcW w:w="900" w:type="dxa"/>
            <w:tcBorders>
              <w:top w:val="nil"/>
              <w:left w:val="nil"/>
              <w:bottom w:val="single" w:sz="4" w:space="0" w:color="auto"/>
              <w:right w:val="single" w:sz="4" w:space="0" w:color="auto"/>
            </w:tcBorders>
            <w:shd w:val="clear" w:color="auto" w:fill="FFFFFF"/>
            <w:noWrap/>
            <w:vAlign w:val="bottom"/>
          </w:tcPr>
          <w:p w:rsidR="00CB6A03" w:rsidRDefault="00CB6A03" w:rsidP="000943E9">
            <w:pPr>
              <w:tabs>
                <w:tab w:val="left" w:pos="630"/>
              </w:tabs>
              <w:jc w:val="center"/>
              <w:rPr>
                <w:rFonts w:cs="Arial"/>
                <w:szCs w:val="20"/>
              </w:rPr>
            </w:pPr>
            <w:r>
              <w:rPr>
                <w:rFonts w:cs="Arial"/>
                <w:szCs w:val="20"/>
              </w:rPr>
              <w:t>90.3</w:t>
            </w:r>
          </w:p>
        </w:tc>
      </w:tr>
      <w:tr w:rsidR="00CB6A03" w:rsidTr="002A6067">
        <w:trPr>
          <w:trHeight w:val="255"/>
        </w:trPr>
        <w:tc>
          <w:tcPr>
            <w:tcW w:w="1260" w:type="dxa"/>
            <w:tcBorders>
              <w:top w:val="nil"/>
              <w:left w:val="single" w:sz="4" w:space="0" w:color="000000"/>
              <w:bottom w:val="single" w:sz="4" w:space="0" w:color="000000"/>
              <w:right w:val="nil"/>
            </w:tcBorders>
            <w:shd w:val="clear" w:color="auto" w:fill="EEECE1" w:themeFill="background2"/>
            <w:noWrap/>
            <w:vAlign w:val="bottom"/>
          </w:tcPr>
          <w:p w:rsidR="00CB6A03" w:rsidRDefault="00CB6A03" w:rsidP="000943E9">
            <w:pPr>
              <w:tabs>
                <w:tab w:val="left" w:pos="630"/>
              </w:tabs>
              <w:rPr>
                <w:rFonts w:cs="Arial"/>
                <w:szCs w:val="20"/>
              </w:rPr>
            </w:pPr>
            <w:r>
              <w:rPr>
                <w:rFonts w:cs="Arial"/>
                <w:szCs w:val="20"/>
              </w:rPr>
              <w:t>G07</w:t>
            </w:r>
          </w:p>
        </w:tc>
        <w:tc>
          <w:tcPr>
            <w:tcW w:w="810" w:type="dxa"/>
            <w:tcBorders>
              <w:top w:val="nil"/>
              <w:left w:val="single" w:sz="4" w:space="0" w:color="auto"/>
              <w:bottom w:val="single" w:sz="4" w:space="0" w:color="auto"/>
              <w:right w:val="single" w:sz="4" w:space="0" w:color="auto"/>
            </w:tcBorders>
            <w:shd w:val="clear" w:color="auto" w:fill="C6D9F1" w:themeFill="text2" w:themeFillTint="33"/>
          </w:tcPr>
          <w:p w:rsidR="00CB6A03" w:rsidRDefault="00CB6A03" w:rsidP="000943E9">
            <w:pPr>
              <w:tabs>
                <w:tab w:val="left" w:pos="630"/>
              </w:tabs>
              <w:jc w:val="center"/>
              <w:rPr>
                <w:rFonts w:cs="Arial"/>
                <w:szCs w:val="20"/>
              </w:rPr>
            </w:pPr>
            <w:r>
              <w:rPr>
                <w:rFonts w:cs="Arial"/>
                <w:szCs w:val="20"/>
              </w:rPr>
              <w:t xml:space="preserve"> 37</w:t>
            </w:r>
          </w:p>
        </w:tc>
        <w:tc>
          <w:tcPr>
            <w:tcW w:w="990" w:type="dxa"/>
            <w:tcBorders>
              <w:top w:val="nil"/>
              <w:left w:val="single" w:sz="4" w:space="0" w:color="auto"/>
              <w:bottom w:val="single" w:sz="4" w:space="0" w:color="auto"/>
              <w:right w:val="single" w:sz="4" w:space="0" w:color="auto"/>
            </w:tcBorders>
            <w:noWrap/>
            <w:vAlign w:val="bottom"/>
          </w:tcPr>
          <w:p w:rsidR="00CB6A03" w:rsidRDefault="00CB6A03" w:rsidP="000943E9">
            <w:pPr>
              <w:tabs>
                <w:tab w:val="left" w:pos="630"/>
              </w:tabs>
              <w:jc w:val="center"/>
              <w:rPr>
                <w:rFonts w:cs="Arial"/>
                <w:szCs w:val="20"/>
              </w:rPr>
            </w:pPr>
            <w:r>
              <w:rPr>
                <w:rFonts w:cs="Arial"/>
                <w:szCs w:val="20"/>
              </w:rPr>
              <w:t>73.0</w:t>
            </w:r>
          </w:p>
        </w:tc>
        <w:tc>
          <w:tcPr>
            <w:tcW w:w="1080" w:type="dxa"/>
            <w:tcBorders>
              <w:top w:val="nil"/>
              <w:left w:val="nil"/>
              <w:bottom w:val="single" w:sz="4" w:space="0" w:color="auto"/>
              <w:right w:val="single" w:sz="4" w:space="0" w:color="auto"/>
            </w:tcBorders>
            <w:shd w:val="clear" w:color="auto" w:fill="FFFFFF" w:themeFill="background1"/>
            <w:noWrap/>
            <w:vAlign w:val="bottom"/>
          </w:tcPr>
          <w:p w:rsidR="00CB6A03" w:rsidRDefault="00CB6A03" w:rsidP="000943E9">
            <w:pPr>
              <w:tabs>
                <w:tab w:val="left" w:pos="630"/>
              </w:tabs>
              <w:jc w:val="center"/>
              <w:rPr>
                <w:rFonts w:cs="Arial"/>
                <w:szCs w:val="20"/>
              </w:rPr>
            </w:pPr>
            <w:r>
              <w:rPr>
                <w:rFonts w:cs="Arial"/>
                <w:szCs w:val="20"/>
              </w:rPr>
              <w:t>73.0</w:t>
            </w:r>
          </w:p>
        </w:tc>
        <w:tc>
          <w:tcPr>
            <w:tcW w:w="990" w:type="dxa"/>
            <w:tcBorders>
              <w:top w:val="nil"/>
              <w:left w:val="nil"/>
              <w:bottom w:val="single" w:sz="4" w:space="0" w:color="auto"/>
              <w:right w:val="single" w:sz="4" w:space="0" w:color="auto"/>
            </w:tcBorders>
            <w:shd w:val="clear" w:color="auto" w:fill="FFFFFF"/>
            <w:noWrap/>
            <w:vAlign w:val="bottom"/>
          </w:tcPr>
          <w:p w:rsidR="00CB6A03" w:rsidRDefault="00CB6A03" w:rsidP="000943E9">
            <w:pPr>
              <w:tabs>
                <w:tab w:val="left" w:pos="630"/>
              </w:tabs>
              <w:jc w:val="center"/>
              <w:rPr>
                <w:rFonts w:cs="Arial"/>
                <w:szCs w:val="20"/>
              </w:rPr>
            </w:pPr>
          </w:p>
        </w:tc>
        <w:tc>
          <w:tcPr>
            <w:tcW w:w="720" w:type="dxa"/>
            <w:tcBorders>
              <w:top w:val="nil"/>
              <w:left w:val="nil"/>
              <w:bottom w:val="single" w:sz="4" w:space="0" w:color="auto"/>
              <w:right w:val="single" w:sz="4" w:space="0" w:color="auto"/>
            </w:tcBorders>
            <w:shd w:val="clear" w:color="auto" w:fill="FFFFFF"/>
            <w:noWrap/>
            <w:vAlign w:val="bottom"/>
          </w:tcPr>
          <w:p w:rsidR="00CB6A03" w:rsidRDefault="00CB6A03" w:rsidP="000943E9">
            <w:pPr>
              <w:tabs>
                <w:tab w:val="left" w:pos="630"/>
              </w:tabs>
              <w:jc w:val="center"/>
              <w:rPr>
                <w:rFonts w:cs="Arial"/>
                <w:szCs w:val="20"/>
              </w:rPr>
            </w:pPr>
            <w:r>
              <w:rPr>
                <w:rFonts w:cs="Arial"/>
                <w:szCs w:val="20"/>
              </w:rPr>
              <w:t>81.8</w:t>
            </w:r>
          </w:p>
        </w:tc>
        <w:tc>
          <w:tcPr>
            <w:tcW w:w="900" w:type="dxa"/>
            <w:tcBorders>
              <w:top w:val="nil"/>
              <w:left w:val="nil"/>
              <w:bottom w:val="single" w:sz="4" w:space="0" w:color="auto"/>
              <w:right w:val="single" w:sz="4" w:space="0" w:color="auto"/>
            </w:tcBorders>
            <w:shd w:val="clear" w:color="auto" w:fill="FFFFFF"/>
            <w:noWrap/>
            <w:vAlign w:val="bottom"/>
          </w:tcPr>
          <w:p w:rsidR="00CB6A03" w:rsidRDefault="00CB6A03" w:rsidP="000943E9">
            <w:pPr>
              <w:tabs>
                <w:tab w:val="left" w:pos="630"/>
              </w:tabs>
              <w:jc w:val="center"/>
              <w:rPr>
                <w:rFonts w:cs="Arial"/>
                <w:szCs w:val="20"/>
              </w:rPr>
            </w:pPr>
            <w:r>
              <w:rPr>
                <w:rFonts w:cs="Arial"/>
                <w:szCs w:val="20"/>
              </w:rPr>
              <w:t>60.0</w:t>
            </w:r>
          </w:p>
        </w:tc>
      </w:tr>
    </w:tbl>
    <w:p w:rsidR="00CB6A03" w:rsidRDefault="00CB6A03" w:rsidP="00CB6A03">
      <w:pPr>
        <w:ind w:left="1382"/>
        <w:rPr>
          <w:rFonts w:cs="Arial"/>
          <w:sz w:val="12"/>
          <w:szCs w:val="22"/>
        </w:rPr>
      </w:pPr>
    </w:p>
    <w:p w:rsidR="00CB6A03" w:rsidRDefault="00CB6A03" w:rsidP="00CB6A03">
      <w:pPr>
        <w:ind w:left="1382"/>
        <w:rPr>
          <w:sz w:val="18"/>
          <w:szCs w:val="20"/>
        </w:rPr>
      </w:pPr>
      <w:r>
        <w:rPr>
          <w:szCs w:val="20"/>
        </w:rPr>
        <w:t xml:space="preserve">   </w:t>
      </w:r>
      <w:r>
        <w:rPr>
          <w:sz w:val="18"/>
          <w:szCs w:val="20"/>
        </w:rPr>
        <w:t>0= no women in that category; Blank space= no staff of either sex in that category</w:t>
      </w:r>
    </w:p>
    <w:p w:rsidR="00CB6A03" w:rsidRDefault="00CB6A03" w:rsidP="00CB6A03">
      <w:pPr>
        <w:ind w:left="1382"/>
        <w:rPr>
          <w:sz w:val="16"/>
          <w:szCs w:val="20"/>
        </w:rPr>
      </w:pPr>
      <w:r>
        <w:rPr>
          <w:sz w:val="16"/>
          <w:szCs w:val="20"/>
        </w:rPr>
        <w:t xml:space="preserve">   Total P includes D and UG</w:t>
      </w:r>
    </w:p>
    <w:p w:rsidR="00D201FE" w:rsidRDefault="00D201FE" w:rsidP="00C81949">
      <w:pPr>
        <w:ind w:left="864"/>
        <w:rPr>
          <w:rFonts w:cs="Arial"/>
          <w:b/>
          <w:sz w:val="22"/>
        </w:rPr>
      </w:pPr>
    </w:p>
    <w:p w:rsidR="00C81949" w:rsidRPr="007540F2" w:rsidRDefault="00C81949" w:rsidP="00067BC0">
      <w:pPr>
        <w:ind w:left="1152"/>
        <w:rPr>
          <w:rFonts w:cs="Arial"/>
          <w:sz w:val="24"/>
        </w:rPr>
      </w:pPr>
      <w:r w:rsidRPr="007540F2">
        <w:rPr>
          <w:rFonts w:cs="Arial"/>
          <w:b/>
          <w:sz w:val="22"/>
        </w:rPr>
        <w:t xml:space="preserve">Table </w:t>
      </w:r>
      <w:r w:rsidR="003D65A2">
        <w:rPr>
          <w:rFonts w:cs="Arial"/>
          <w:b/>
          <w:sz w:val="22"/>
        </w:rPr>
        <w:t>15</w:t>
      </w:r>
      <w:r w:rsidRPr="007540F2">
        <w:rPr>
          <w:rFonts w:cs="Arial"/>
          <w:b/>
          <w:sz w:val="22"/>
        </w:rPr>
        <w:t>.</w:t>
      </w:r>
      <w:r w:rsidR="00CA5C81">
        <w:rPr>
          <w:rFonts w:cs="Arial"/>
          <w:b/>
          <w:sz w:val="22"/>
        </w:rPr>
        <w:t xml:space="preserve"> </w:t>
      </w:r>
      <w:r w:rsidRPr="007540F2">
        <w:rPr>
          <w:rFonts w:cs="Arial"/>
          <w:sz w:val="22"/>
        </w:rPr>
        <w:t xml:space="preserve">AMRO/PAHO: Percentage </w:t>
      </w:r>
      <w:r w:rsidR="00CA5C81">
        <w:rPr>
          <w:rFonts w:cs="Arial"/>
          <w:sz w:val="22"/>
        </w:rPr>
        <w:t xml:space="preserve">and number </w:t>
      </w:r>
      <w:r w:rsidRPr="007540F2">
        <w:rPr>
          <w:rFonts w:cs="Arial"/>
          <w:sz w:val="22"/>
        </w:rPr>
        <w:t xml:space="preserve">of women </w:t>
      </w:r>
      <w:r w:rsidR="00D201FE">
        <w:rPr>
          <w:rFonts w:cs="Arial"/>
          <w:sz w:val="22"/>
        </w:rPr>
        <w:t xml:space="preserve">among </w:t>
      </w:r>
      <w:r w:rsidR="00CA5C81">
        <w:rPr>
          <w:rFonts w:cs="Arial"/>
          <w:sz w:val="22"/>
        </w:rPr>
        <w:t xml:space="preserve">                    </w:t>
      </w:r>
      <w:r w:rsidRPr="007540F2">
        <w:rPr>
          <w:rFonts w:cs="Arial"/>
          <w:b/>
          <w:sz w:val="22"/>
        </w:rPr>
        <w:t>new</w:t>
      </w:r>
      <w:r w:rsidR="00EA3B53">
        <w:rPr>
          <w:rFonts w:cs="Arial"/>
          <w:b/>
          <w:sz w:val="22"/>
        </w:rPr>
        <w:t xml:space="preserve"> </w:t>
      </w:r>
      <w:r w:rsidRPr="007540F2">
        <w:rPr>
          <w:rFonts w:cs="Arial"/>
          <w:b/>
          <w:sz w:val="22"/>
        </w:rPr>
        <w:t>appointments</w:t>
      </w:r>
      <w:r w:rsidRPr="007540F2">
        <w:rPr>
          <w:rFonts w:cs="Arial"/>
          <w:sz w:val="22"/>
        </w:rPr>
        <w:t>, by grade</w:t>
      </w:r>
      <w:r w:rsidR="00D201FE">
        <w:rPr>
          <w:rFonts w:cs="Arial"/>
          <w:sz w:val="22"/>
        </w:rPr>
        <w:t xml:space="preserve"> and contract type</w:t>
      </w:r>
      <w:r w:rsidRPr="007540F2">
        <w:rPr>
          <w:rFonts w:cs="Arial"/>
          <w:sz w:val="22"/>
        </w:rPr>
        <w:t>. Dec. 31, 2007</w:t>
      </w:r>
    </w:p>
    <w:p w:rsidR="00C81949" w:rsidRDefault="00C81949" w:rsidP="00C81949">
      <w:pPr>
        <w:ind w:left="630" w:hanging="630"/>
        <w:jc w:val="center"/>
        <w:rPr>
          <w:sz w:val="10"/>
        </w:rPr>
      </w:pPr>
    </w:p>
    <w:tbl>
      <w:tblPr>
        <w:tblW w:w="0" w:type="auto"/>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90"/>
        <w:gridCol w:w="720"/>
        <w:gridCol w:w="1080"/>
        <w:gridCol w:w="900"/>
        <w:gridCol w:w="1080"/>
        <w:gridCol w:w="720"/>
        <w:gridCol w:w="1080"/>
      </w:tblGrid>
      <w:tr w:rsidR="00C81949" w:rsidTr="00023CB1">
        <w:trPr>
          <w:trHeight w:val="20"/>
        </w:trPr>
        <w:tc>
          <w:tcPr>
            <w:tcW w:w="990" w:type="dxa"/>
            <w:vMerge w:val="restart"/>
            <w:shd w:val="clear" w:color="auto" w:fill="FBD4B4" w:themeFill="accent6" w:themeFillTint="66"/>
          </w:tcPr>
          <w:p w:rsidR="00C81949" w:rsidRDefault="00C81949" w:rsidP="000943E9">
            <w:pPr>
              <w:ind w:left="630" w:hanging="630"/>
              <w:rPr>
                <w:b/>
                <w:sz w:val="22"/>
              </w:rPr>
            </w:pPr>
          </w:p>
          <w:p w:rsidR="00C81949" w:rsidRDefault="00C81949" w:rsidP="000943E9">
            <w:pPr>
              <w:ind w:left="630" w:hanging="630"/>
              <w:rPr>
                <w:b/>
                <w:sz w:val="22"/>
              </w:rPr>
            </w:pPr>
          </w:p>
        </w:tc>
        <w:tc>
          <w:tcPr>
            <w:tcW w:w="1800" w:type="dxa"/>
            <w:gridSpan w:val="2"/>
            <w:vMerge w:val="restart"/>
            <w:tcBorders>
              <w:left w:val="single" w:sz="4" w:space="0" w:color="auto"/>
              <w:bottom w:val="single" w:sz="4" w:space="0" w:color="auto"/>
            </w:tcBorders>
            <w:shd w:val="clear" w:color="auto" w:fill="FBD4B4" w:themeFill="accent6" w:themeFillTint="66"/>
          </w:tcPr>
          <w:p w:rsidR="0023662F" w:rsidRPr="0023662F" w:rsidRDefault="00C81949" w:rsidP="000943E9">
            <w:pPr>
              <w:rPr>
                <w:b/>
                <w:sz w:val="6"/>
              </w:rPr>
            </w:pPr>
            <w:r>
              <w:rPr>
                <w:b/>
              </w:rPr>
              <w:t xml:space="preserve">       </w:t>
            </w:r>
          </w:p>
          <w:p w:rsidR="00C81949" w:rsidRDefault="0023662F" w:rsidP="000943E9">
            <w:pPr>
              <w:rPr>
                <w:b/>
                <w:sz w:val="22"/>
              </w:rPr>
            </w:pPr>
            <w:r>
              <w:rPr>
                <w:b/>
              </w:rPr>
              <w:t xml:space="preserve">        </w:t>
            </w:r>
            <w:r w:rsidRPr="0023662F">
              <w:rPr>
                <w:b/>
                <w:sz w:val="18"/>
              </w:rPr>
              <w:t xml:space="preserve"> </w:t>
            </w:r>
            <w:r w:rsidR="00C81949" w:rsidRPr="0023662F">
              <w:rPr>
                <w:b/>
                <w:sz w:val="18"/>
              </w:rPr>
              <w:t>Total</w:t>
            </w:r>
          </w:p>
          <w:p w:rsidR="00C81949" w:rsidRDefault="00C81949" w:rsidP="000943E9">
            <w:pPr>
              <w:jc w:val="center"/>
              <w:rPr>
                <w:b/>
                <w:sz w:val="4"/>
              </w:rPr>
            </w:pPr>
          </w:p>
        </w:tc>
        <w:tc>
          <w:tcPr>
            <w:tcW w:w="3780" w:type="dxa"/>
            <w:gridSpan w:val="4"/>
            <w:shd w:val="clear" w:color="auto" w:fill="FBD4B4" w:themeFill="accent6" w:themeFillTint="66"/>
          </w:tcPr>
          <w:p w:rsidR="00C81949" w:rsidRPr="00023CB1" w:rsidRDefault="00C81949" w:rsidP="000943E9">
            <w:pPr>
              <w:ind w:left="630" w:hanging="630"/>
              <w:jc w:val="center"/>
              <w:rPr>
                <w:sz w:val="22"/>
              </w:rPr>
            </w:pPr>
            <w:r w:rsidRPr="00023CB1">
              <w:rPr>
                <w:sz w:val="18"/>
              </w:rPr>
              <w:t>Contract</w:t>
            </w:r>
            <w:r w:rsidR="0023662F" w:rsidRPr="00023CB1">
              <w:rPr>
                <w:sz w:val="18"/>
              </w:rPr>
              <w:t xml:space="preserve"> Type</w:t>
            </w:r>
            <w:r w:rsidR="004E7F5F" w:rsidRPr="00023CB1">
              <w:rPr>
                <w:sz w:val="18"/>
              </w:rPr>
              <w:t xml:space="preserve"> </w:t>
            </w:r>
          </w:p>
        </w:tc>
      </w:tr>
      <w:tr w:rsidR="00C81949" w:rsidTr="00023CB1">
        <w:trPr>
          <w:trHeight w:val="20"/>
        </w:trPr>
        <w:tc>
          <w:tcPr>
            <w:tcW w:w="990" w:type="dxa"/>
            <w:vMerge/>
            <w:shd w:val="clear" w:color="auto" w:fill="FBD4B4" w:themeFill="accent6" w:themeFillTint="66"/>
            <w:vAlign w:val="center"/>
          </w:tcPr>
          <w:p w:rsidR="00C81949" w:rsidRDefault="00C81949" w:rsidP="000943E9">
            <w:pPr>
              <w:rPr>
                <w:b/>
                <w:sz w:val="22"/>
              </w:rPr>
            </w:pPr>
          </w:p>
        </w:tc>
        <w:tc>
          <w:tcPr>
            <w:tcW w:w="1800" w:type="dxa"/>
            <w:gridSpan w:val="2"/>
            <w:vMerge/>
            <w:tcBorders>
              <w:left w:val="single" w:sz="4" w:space="0" w:color="auto"/>
              <w:bottom w:val="single" w:sz="4" w:space="0" w:color="auto"/>
            </w:tcBorders>
            <w:shd w:val="clear" w:color="auto" w:fill="FBD4B4" w:themeFill="accent6" w:themeFillTint="66"/>
            <w:vAlign w:val="center"/>
          </w:tcPr>
          <w:p w:rsidR="00C81949" w:rsidRDefault="00C81949" w:rsidP="000943E9">
            <w:pPr>
              <w:rPr>
                <w:b/>
                <w:sz w:val="4"/>
              </w:rPr>
            </w:pPr>
          </w:p>
        </w:tc>
        <w:tc>
          <w:tcPr>
            <w:tcW w:w="1980" w:type="dxa"/>
            <w:gridSpan w:val="2"/>
            <w:shd w:val="clear" w:color="auto" w:fill="FBD4B4" w:themeFill="accent6" w:themeFillTint="66"/>
          </w:tcPr>
          <w:p w:rsidR="00C81949" w:rsidRPr="00023CB1" w:rsidRDefault="00C81949" w:rsidP="000943E9">
            <w:pPr>
              <w:ind w:left="630" w:hanging="630"/>
              <w:jc w:val="center"/>
              <w:rPr>
                <w:sz w:val="18"/>
              </w:rPr>
            </w:pPr>
            <w:r w:rsidRPr="00023CB1">
              <w:rPr>
                <w:sz w:val="18"/>
              </w:rPr>
              <w:t>Long term</w:t>
            </w:r>
          </w:p>
        </w:tc>
        <w:tc>
          <w:tcPr>
            <w:tcW w:w="1800" w:type="dxa"/>
            <w:gridSpan w:val="2"/>
            <w:shd w:val="clear" w:color="auto" w:fill="FBD4B4" w:themeFill="accent6" w:themeFillTint="66"/>
          </w:tcPr>
          <w:p w:rsidR="00C81949" w:rsidRPr="00023CB1" w:rsidRDefault="00C81949" w:rsidP="000943E9">
            <w:pPr>
              <w:ind w:left="630" w:hanging="630"/>
              <w:jc w:val="center"/>
              <w:rPr>
                <w:sz w:val="18"/>
              </w:rPr>
            </w:pPr>
            <w:r w:rsidRPr="00023CB1">
              <w:rPr>
                <w:sz w:val="18"/>
              </w:rPr>
              <w:t>Temporary</w:t>
            </w:r>
          </w:p>
        </w:tc>
      </w:tr>
      <w:tr w:rsidR="00C81949" w:rsidTr="00023CB1">
        <w:trPr>
          <w:trHeight w:val="287"/>
        </w:trPr>
        <w:tc>
          <w:tcPr>
            <w:tcW w:w="990" w:type="dxa"/>
            <w:vMerge/>
            <w:shd w:val="clear" w:color="auto" w:fill="FBD4B4" w:themeFill="accent6" w:themeFillTint="66"/>
            <w:vAlign w:val="center"/>
          </w:tcPr>
          <w:p w:rsidR="00C81949" w:rsidRDefault="00C81949" w:rsidP="000943E9">
            <w:pPr>
              <w:rPr>
                <w:b/>
                <w:sz w:val="22"/>
              </w:rPr>
            </w:pPr>
          </w:p>
        </w:tc>
        <w:tc>
          <w:tcPr>
            <w:tcW w:w="720" w:type="dxa"/>
            <w:tcBorders>
              <w:top w:val="single" w:sz="4" w:space="0" w:color="auto"/>
              <w:left w:val="single" w:sz="4" w:space="0" w:color="auto"/>
              <w:right w:val="single" w:sz="4" w:space="0" w:color="auto"/>
            </w:tcBorders>
            <w:shd w:val="clear" w:color="auto" w:fill="FBD4B4" w:themeFill="accent6" w:themeFillTint="66"/>
            <w:vAlign w:val="center"/>
          </w:tcPr>
          <w:p w:rsidR="00023CB1" w:rsidRPr="00023CB1" w:rsidRDefault="00023CB1" w:rsidP="000943E9">
            <w:pPr>
              <w:jc w:val="center"/>
              <w:rPr>
                <w:sz w:val="2"/>
              </w:rPr>
            </w:pPr>
          </w:p>
          <w:p w:rsidR="00C81949" w:rsidRDefault="00C81949" w:rsidP="000943E9">
            <w:pPr>
              <w:jc w:val="center"/>
              <w:rPr>
                <w:sz w:val="18"/>
              </w:rPr>
            </w:pPr>
            <w:r w:rsidRPr="0023662F">
              <w:rPr>
                <w:sz w:val="18"/>
              </w:rPr>
              <w:t>N</w:t>
            </w:r>
          </w:p>
          <w:p w:rsidR="00023CB1" w:rsidRPr="00023CB1" w:rsidRDefault="00023CB1" w:rsidP="000943E9">
            <w:pPr>
              <w:jc w:val="center"/>
              <w:rPr>
                <w:sz w:val="2"/>
              </w:rPr>
            </w:pPr>
          </w:p>
        </w:tc>
        <w:tc>
          <w:tcPr>
            <w:tcW w:w="1080" w:type="dxa"/>
            <w:tcBorders>
              <w:top w:val="single" w:sz="4" w:space="0" w:color="auto"/>
              <w:left w:val="single" w:sz="4" w:space="0" w:color="auto"/>
            </w:tcBorders>
            <w:shd w:val="clear" w:color="auto" w:fill="FBD4B4" w:themeFill="accent6" w:themeFillTint="66"/>
          </w:tcPr>
          <w:p w:rsidR="00023CB1" w:rsidRPr="00023CB1" w:rsidRDefault="00023CB1" w:rsidP="0023662F">
            <w:pPr>
              <w:rPr>
                <w:sz w:val="10"/>
              </w:rPr>
            </w:pPr>
          </w:p>
          <w:p w:rsidR="00C81949" w:rsidRDefault="00C81949" w:rsidP="0023662F">
            <w:pPr>
              <w:rPr>
                <w:b/>
                <w:sz w:val="22"/>
              </w:rPr>
            </w:pPr>
            <w:r>
              <w:rPr>
                <w:sz w:val="18"/>
              </w:rPr>
              <w:t>%</w:t>
            </w:r>
            <w:r w:rsidR="0023662F">
              <w:rPr>
                <w:sz w:val="18"/>
              </w:rPr>
              <w:t xml:space="preserve"> </w:t>
            </w:r>
            <w:r>
              <w:rPr>
                <w:sz w:val="18"/>
              </w:rPr>
              <w:t>women</w:t>
            </w:r>
          </w:p>
        </w:tc>
        <w:tc>
          <w:tcPr>
            <w:tcW w:w="900" w:type="dxa"/>
            <w:shd w:val="clear" w:color="auto" w:fill="FBD4B4" w:themeFill="accent6" w:themeFillTint="66"/>
          </w:tcPr>
          <w:p w:rsidR="00023CB1" w:rsidRPr="00023CB1" w:rsidRDefault="00023CB1" w:rsidP="000943E9">
            <w:pPr>
              <w:jc w:val="center"/>
              <w:rPr>
                <w:sz w:val="8"/>
              </w:rPr>
            </w:pPr>
          </w:p>
          <w:p w:rsidR="00C81949" w:rsidRPr="0023662F" w:rsidRDefault="00C81949" w:rsidP="000943E9">
            <w:pPr>
              <w:jc w:val="center"/>
              <w:rPr>
                <w:sz w:val="18"/>
              </w:rPr>
            </w:pPr>
            <w:r w:rsidRPr="0023662F">
              <w:rPr>
                <w:sz w:val="18"/>
              </w:rPr>
              <w:t>N</w:t>
            </w:r>
          </w:p>
          <w:p w:rsidR="00C81949" w:rsidRDefault="00C81949" w:rsidP="000943E9">
            <w:pPr>
              <w:jc w:val="center"/>
              <w:rPr>
                <w:sz w:val="6"/>
              </w:rPr>
            </w:pPr>
          </w:p>
        </w:tc>
        <w:tc>
          <w:tcPr>
            <w:tcW w:w="1080" w:type="dxa"/>
            <w:shd w:val="clear" w:color="auto" w:fill="FBD4B4" w:themeFill="accent6" w:themeFillTint="66"/>
          </w:tcPr>
          <w:p w:rsidR="00023CB1" w:rsidRPr="00023CB1" w:rsidRDefault="00023CB1" w:rsidP="000943E9">
            <w:pPr>
              <w:ind w:left="630" w:hanging="630"/>
              <w:jc w:val="center"/>
              <w:rPr>
                <w:sz w:val="10"/>
              </w:rPr>
            </w:pPr>
          </w:p>
          <w:p w:rsidR="00C81949" w:rsidRDefault="0023662F" w:rsidP="000943E9">
            <w:pPr>
              <w:ind w:left="630" w:hanging="630"/>
              <w:jc w:val="center"/>
              <w:rPr>
                <w:sz w:val="22"/>
              </w:rPr>
            </w:pPr>
            <w:r>
              <w:rPr>
                <w:sz w:val="18"/>
              </w:rPr>
              <w:t xml:space="preserve">% </w:t>
            </w:r>
            <w:r w:rsidR="00C81949">
              <w:rPr>
                <w:sz w:val="18"/>
              </w:rPr>
              <w:t>women</w:t>
            </w:r>
          </w:p>
        </w:tc>
        <w:tc>
          <w:tcPr>
            <w:tcW w:w="720" w:type="dxa"/>
            <w:shd w:val="clear" w:color="auto" w:fill="FBD4B4" w:themeFill="accent6" w:themeFillTint="66"/>
          </w:tcPr>
          <w:p w:rsidR="00023CB1" w:rsidRPr="00023CB1" w:rsidRDefault="00023CB1" w:rsidP="000943E9">
            <w:pPr>
              <w:ind w:left="630" w:hanging="630"/>
              <w:jc w:val="center"/>
              <w:rPr>
                <w:sz w:val="6"/>
              </w:rPr>
            </w:pPr>
          </w:p>
          <w:p w:rsidR="00C81949" w:rsidRDefault="00C81949" w:rsidP="000943E9">
            <w:pPr>
              <w:ind w:left="630" w:hanging="630"/>
              <w:jc w:val="center"/>
              <w:rPr>
                <w:sz w:val="22"/>
              </w:rPr>
            </w:pPr>
            <w:r w:rsidRPr="0023662F">
              <w:rPr>
                <w:sz w:val="18"/>
              </w:rPr>
              <w:t>N</w:t>
            </w:r>
          </w:p>
        </w:tc>
        <w:tc>
          <w:tcPr>
            <w:tcW w:w="1080" w:type="dxa"/>
            <w:shd w:val="clear" w:color="auto" w:fill="FBD4B4" w:themeFill="accent6" w:themeFillTint="66"/>
          </w:tcPr>
          <w:p w:rsidR="00023CB1" w:rsidRPr="00023CB1" w:rsidRDefault="00023CB1" w:rsidP="0023662F">
            <w:pPr>
              <w:rPr>
                <w:sz w:val="6"/>
              </w:rPr>
            </w:pPr>
          </w:p>
          <w:p w:rsidR="00C81949" w:rsidRDefault="00C81949" w:rsidP="0023662F">
            <w:pPr>
              <w:rPr>
                <w:sz w:val="22"/>
              </w:rPr>
            </w:pPr>
            <w:r>
              <w:rPr>
                <w:sz w:val="18"/>
              </w:rPr>
              <w:t>%</w:t>
            </w:r>
            <w:r w:rsidR="0023662F">
              <w:rPr>
                <w:sz w:val="18"/>
              </w:rPr>
              <w:t xml:space="preserve"> </w:t>
            </w:r>
            <w:r>
              <w:rPr>
                <w:sz w:val="18"/>
              </w:rPr>
              <w:t>women</w:t>
            </w:r>
          </w:p>
        </w:tc>
      </w:tr>
      <w:tr w:rsidR="00C81949" w:rsidTr="00273A55">
        <w:tc>
          <w:tcPr>
            <w:tcW w:w="990" w:type="dxa"/>
            <w:tcBorders>
              <w:bottom w:val="single" w:sz="4" w:space="0" w:color="000000"/>
            </w:tcBorders>
            <w:shd w:val="clear" w:color="auto" w:fill="CCFFFF"/>
          </w:tcPr>
          <w:p w:rsidR="00C81949" w:rsidRDefault="00C81949" w:rsidP="000943E9">
            <w:pPr>
              <w:ind w:left="630" w:hanging="630"/>
              <w:rPr>
                <w:sz w:val="22"/>
              </w:rPr>
            </w:pPr>
            <w:r>
              <w:t>Total</w:t>
            </w:r>
          </w:p>
        </w:tc>
        <w:tc>
          <w:tcPr>
            <w:tcW w:w="720" w:type="dxa"/>
            <w:tcBorders>
              <w:left w:val="single" w:sz="4" w:space="0" w:color="auto"/>
              <w:right w:val="single" w:sz="4" w:space="0" w:color="auto"/>
            </w:tcBorders>
            <w:shd w:val="clear" w:color="auto" w:fill="CCFFFF"/>
          </w:tcPr>
          <w:p w:rsidR="00C81949" w:rsidRDefault="00C81949" w:rsidP="000943E9">
            <w:pPr>
              <w:jc w:val="center"/>
              <w:rPr>
                <w:sz w:val="22"/>
              </w:rPr>
            </w:pPr>
            <w:r>
              <w:t>170</w:t>
            </w:r>
          </w:p>
        </w:tc>
        <w:tc>
          <w:tcPr>
            <w:tcW w:w="1080" w:type="dxa"/>
            <w:shd w:val="clear" w:color="auto" w:fill="CCFFFF"/>
          </w:tcPr>
          <w:p w:rsidR="00C81949" w:rsidRDefault="00C81949" w:rsidP="000943E9">
            <w:pPr>
              <w:jc w:val="center"/>
              <w:rPr>
                <w:sz w:val="22"/>
              </w:rPr>
            </w:pPr>
            <w:r>
              <w:t>60</w:t>
            </w:r>
          </w:p>
        </w:tc>
        <w:tc>
          <w:tcPr>
            <w:tcW w:w="900" w:type="dxa"/>
            <w:shd w:val="clear" w:color="auto" w:fill="CCFFFF"/>
          </w:tcPr>
          <w:p w:rsidR="00C81949" w:rsidRDefault="00C81949" w:rsidP="000943E9">
            <w:pPr>
              <w:ind w:left="630" w:hanging="630"/>
              <w:jc w:val="center"/>
              <w:rPr>
                <w:sz w:val="22"/>
              </w:rPr>
            </w:pPr>
            <w:r>
              <w:t>35</w:t>
            </w:r>
          </w:p>
        </w:tc>
        <w:tc>
          <w:tcPr>
            <w:tcW w:w="1080" w:type="dxa"/>
            <w:shd w:val="clear" w:color="auto" w:fill="CCFFFF"/>
          </w:tcPr>
          <w:p w:rsidR="00C81949" w:rsidRDefault="00C81949" w:rsidP="000943E9">
            <w:pPr>
              <w:ind w:left="630" w:hanging="630"/>
              <w:jc w:val="center"/>
              <w:rPr>
                <w:sz w:val="22"/>
              </w:rPr>
            </w:pPr>
            <w:r>
              <w:t>54</w:t>
            </w:r>
          </w:p>
        </w:tc>
        <w:tc>
          <w:tcPr>
            <w:tcW w:w="720" w:type="dxa"/>
            <w:shd w:val="clear" w:color="auto" w:fill="CCFFFF"/>
          </w:tcPr>
          <w:p w:rsidR="00C81949" w:rsidRDefault="00C81949" w:rsidP="000943E9">
            <w:pPr>
              <w:ind w:left="630" w:hanging="630"/>
              <w:jc w:val="center"/>
              <w:rPr>
                <w:sz w:val="22"/>
              </w:rPr>
            </w:pPr>
            <w:r>
              <w:t>135</w:t>
            </w:r>
          </w:p>
        </w:tc>
        <w:tc>
          <w:tcPr>
            <w:tcW w:w="1080" w:type="dxa"/>
            <w:shd w:val="clear" w:color="auto" w:fill="CCFFFF"/>
          </w:tcPr>
          <w:p w:rsidR="00C81949" w:rsidRDefault="00C81949" w:rsidP="000943E9">
            <w:pPr>
              <w:ind w:left="630" w:hanging="630"/>
              <w:jc w:val="center"/>
              <w:rPr>
                <w:sz w:val="22"/>
              </w:rPr>
            </w:pPr>
            <w:r>
              <w:t>61</w:t>
            </w:r>
          </w:p>
        </w:tc>
      </w:tr>
      <w:tr w:rsidR="00C81949" w:rsidTr="00273A55">
        <w:tc>
          <w:tcPr>
            <w:tcW w:w="990" w:type="dxa"/>
            <w:shd w:val="clear" w:color="auto" w:fill="EEECE1" w:themeFill="background2"/>
          </w:tcPr>
          <w:p w:rsidR="00C81949" w:rsidRDefault="00C81949" w:rsidP="000943E9">
            <w:pPr>
              <w:ind w:left="630" w:hanging="630"/>
            </w:pPr>
            <w:r>
              <w:t>P*</w:t>
            </w:r>
          </w:p>
        </w:tc>
        <w:tc>
          <w:tcPr>
            <w:tcW w:w="720" w:type="dxa"/>
            <w:tcBorders>
              <w:left w:val="single" w:sz="4" w:space="0" w:color="auto"/>
              <w:right w:val="single" w:sz="4" w:space="0" w:color="auto"/>
            </w:tcBorders>
            <w:shd w:val="clear" w:color="auto" w:fill="C6D9F1" w:themeFill="text2" w:themeFillTint="33"/>
          </w:tcPr>
          <w:p w:rsidR="00C81949" w:rsidRDefault="00C81949" w:rsidP="000943E9">
            <w:pPr>
              <w:jc w:val="center"/>
            </w:pPr>
            <w:r>
              <w:t>121</w:t>
            </w:r>
          </w:p>
        </w:tc>
        <w:tc>
          <w:tcPr>
            <w:tcW w:w="1080" w:type="dxa"/>
            <w:shd w:val="clear" w:color="auto" w:fill="F2F2F2" w:themeFill="background1" w:themeFillShade="F2"/>
          </w:tcPr>
          <w:p w:rsidR="00C81949" w:rsidRDefault="00C81949" w:rsidP="000943E9">
            <w:pPr>
              <w:jc w:val="center"/>
            </w:pPr>
            <w:r>
              <w:t>52</w:t>
            </w:r>
          </w:p>
        </w:tc>
        <w:tc>
          <w:tcPr>
            <w:tcW w:w="900" w:type="dxa"/>
            <w:shd w:val="clear" w:color="auto" w:fill="C6D9F1" w:themeFill="text2" w:themeFillTint="33"/>
          </w:tcPr>
          <w:p w:rsidR="00C81949" w:rsidRDefault="00C81949" w:rsidP="000943E9">
            <w:pPr>
              <w:ind w:left="630" w:hanging="630"/>
              <w:jc w:val="center"/>
              <w:rPr>
                <w:sz w:val="22"/>
              </w:rPr>
            </w:pPr>
            <w:r>
              <w:t>22</w:t>
            </w:r>
          </w:p>
        </w:tc>
        <w:tc>
          <w:tcPr>
            <w:tcW w:w="1080" w:type="dxa"/>
            <w:shd w:val="clear" w:color="auto" w:fill="FFFFFF" w:themeFill="background1"/>
          </w:tcPr>
          <w:p w:rsidR="00C81949" w:rsidRDefault="00C81949" w:rsidP="000943E9">
            <w:pPr>
              <w:ind w:left="630" w:hanging="630"/>
              <w:jc w:val="center"/>
              <w:rPr>
                <w:sz w:val="22"/>
              </w:rPr>
            </w:pPr>
            <w:r>
              <w:t>41</w:t>
            </w:r>
          </w:p>
        </w:tc>
        <w:tc>
          <w:tcPr>
            <w:tcW w:w="720" w:type="dxa"/>
            <w:shd w:val="clear" w:color="auto" w:fill="C6D9F1" w:themeFill="text2" w:themeFillTint="33"/>
          </w:tcPr>
          <w:p w:rsidR="00C81949" w:rsidRDefault="00C81949" w:rsidP="000943E9">
            <w:pPr>
              <w:ind w:left="630" w:hanging="630"/>
              <w:jc w:val="center"/>
              <w:rPr>
                <w:sz w:val="22"/>
              </w:rPr>
            </w:pPr>
            <w:r>
              <w:t>99</w:t>
            </w:r>
          </w:p>
        </w:tc>
        <w:tc>
          <w:tcPr>
            <w:tcW w:w="1080" w:type="dxa"/>
          </w:tcPr>
          <w:p w:rsidR="00C81949" w:rsidRDefault="00C81949" w:rsidP="000943E9">
            <w:pPr>
              <w:ind w:left="630" w:hanging="630"/>
              <w:jc w:val="center"/>
              <w:rPr>
                <w:sz w:val="22"/>
              </w:rPr>
            </w:pPr>
            <w:r>
              <w:t>55</w:t>
            </w:r>
          </w:p>
        </w:tc>
      </w:tr>
      <w:tr w:rsidR="00C81949" w:rsidTr="00273A55">
        <w:tc>
          <w:tcPr>
            <w:tcW w:w="990" w:type="dxa"/>
            <w:shd w:val="clear" w:color="auto" w:fill="EEECE1" w:themeFill="background2"/>
          </w:tcPr>
          <w:p w:rsidR="00C81949" w:rsidRDefault="00C81949" w:rsidP="000943E9">
            <w:pPr>
              <w:ind w:left="630" w:hanging="630"/>
            </w:pPr>
            <w:r>
              <w:t>NPO</w:t>
            </w:r>
          </w:p>
        </w:tc>
        <w:tc>
          <w:tcPr>
            <w:tcW w:w="720" w:type="dxa"/>
            <w:tcBorders>
              <w:left w:val="single" w:sz="4" w:space="0" w:color="auto"/>
              <w:right w:val="single" w:sz="4" w:space="0" w:color="auto"/>
            </w:tcBorders>
            <w:shd w:val="clear" w:color="auto" w:fill="C6D9F1" w:themeFill="text2" w:themeFillTint="33"/>
          </w:tcPr>
          <w:p w:rsidR="00C81949" w:rsidRDefault="00C81949" w:rsidP="000943E9">
            <w:pPr>
              <w:jc w:val="center"/>
            </w:pPr>
            <w:r>
              <w:t>8</w:t>
            </w:r>
          </w:p>
        </w:tc>
        <w:tc>
          <w:tcPr>
            <w:tcW w:w="1080" w:type="dxa"/>
            <w:shd w:val="clear" w:color="auto" w:fill="F2F2F2" w:themeFill="background1" w:themeFillShade="F2"/>
          </w:tcPr>
          <w:p w:rsidR="00C81949" w:rsidRDefault="00C81949" w:rsidP="000943E9">
            <w:pPr>
              <w:jc w:val="center"/>
            </w:pPr>
            <w:r>
              <w:t>88</w:t>
            </w:r>
          </w:p>
        </w:tc>
        <w:tc>
          <w:tcPr>
            <w:tcW w:w="900" w:type="dxa"/>
            <w:shd w:val="clear" w:color="auto" w:fill="C6D9F1" w:themeFill="text2" w:themeFillTint="33"/>
          </w:tcPr>
          <w:p w:rsidR="00C81949" w:rsidRDefault="00C81949" w:rsidP="000943E9">
            <w:pPr>
              <w:ind w:left="630" w:hanging="630"/>
              <w:jc w:val="center"/>
              <w:rPr>
                <w:sz w:val="22"/>
              </w:rPr>
            </w:pPr>
            <w:r>
              <w:t>8</w:t>
            </w:r>
          </w:p>
        </w:tc>
        <w:tc>
          <w:tcPr>
            <w:tcW w:w="1080" w:type="dxa"/>
            <w:shd w:val="clear" w:color="auto" w:fill="FFFFFF" w:themeFill="background1"/>
          </w:tcPr>
          <w:p w:rsidR="00C81949" w:rsidRDefault="00C81949" w:rsidP="000943E9">
            <w:pPr>
              <w:ind w:left="630" w:hanging="630"/>
              <w:jc w:val="center"/>
              <w:rPr>
                <w:sz w:val="22"/>
              </w:rPr>
            </w:pPr>
            <w:r>
              <w:t>88</w:t>
            </w:r>
          </w:p>
        </w:tc>
        <w:tc>
          <w:tcPr>
            <w:tcW w:w="720" w:type="dxa"/>
            <w:shd w:val="clear" w:color="auto" w:fill="C6D9F1" w:themeFill="text2" w:themeFillTint="33"/>
          </w:tcPr>
          <w:p w:rsidR="00C81949" w:rsidRDefault="00C81949" w:rsidP="000943E9">
            <w:pPr>
              <w:ind w:left="630" w:hanging="630"/>
              <w:jc w:val="center"/>
              <w:rPr>
                <w:sz w:val="22"/>
              </w:rPr>
            </w:pPr>
            <w:r>
              <w:t>0</w:t>
            </w:r>
          </w:p>
        </w:tc>
        <w:tc>
          <w:tcPr>
            <w:tcW w:w="1080" w:type="dxa"/>
          </w:tcPr>
          <w:p w:rsidR="00C81949" w:rsidRDefault="00C81949" w:rsidP="000943E9">
            <w:pPr>
              <w:ind w:left="630" w:hanging="630"/>
              <w:jc w:val="center"/>
              <w:rPr>
                <w:sz w:val="22"/>
              </w:rPr>
            </w:pPr>
            <w:r>
              <w:t>--</w:t>
            </w:r>
          </w:p>
        </w:tc>
      </w:tr>
      <w:tr w:rsidR="00C81949" w:rsidTr="00273A55">
        <w:tc>
          <w:tcPr>
            <w:tcW w:w="990" w:type="dxa"/>
            <w:shd w:val="clear" w:color="auto" w:fill="EEECE1" w:themeFill="background2"/>
          </w:tcPr>
          <w:p w:rsidR="00C81949" w:rsidRDefault="00C81949" w:rsidP="000943E9">
            <w:pPr>
              <w:ind w:left="630" w:hanging="630"/>
            </w:pPr>
            <w:r>
              <w:t>G</w:t>
            </w:r>
          </w:p>
        </w:tc>
        <w:tc>
          <w:tcPr>
            <w:tcW w:w="720" w:type="dxa"/>
            <w:tcBorders>
              <w:left w:val="single" w:sz="4" w:space="0" w:color="auto"/>
              <w:right w:val="single" w:sz="4" w:space="0" w:color="auto"/>
            </w:tcBorders>
            <w:shd w:val="clear" w:color="auto" w:fill="C6D9F1" w:themeFill="text2" w:themeFillTint="33"/>
          </w:tcPr>
          <w:p w:rsidR="00C81949" w:rsidRDefault="00C81949" w:rsidP="000943E9">
            <w:pPr>
              <w:jc w:val="center"/>
            </w:pPr>
            <w:r>
              <w:t>41</w:t>
            </w:r>
          </w:p>
        </w:tc>
        <w:tc>
          <w:tcPr>
            <w:tcW w:w="1080" w:type="dxa"/>
            <w:shd w:val="clear" w:color="auto" w:fill="F2F2F2" w:themeFill="background1" w:themeFillShade="F2"/>
          </w:tcPr>
          <w:p w:rsidR="00C81949" w:rsidRDefault="00C81949" w:rsidP="000943E9">
            <w:pPr>
              <w:jc w:val="center"/>
            </w:pPr>
            <w:r>
              <w:t>78</w:t>
            </w:r>
          </w:p>
        </w:tc>
        <w:tc>
          <w:tcPr>
            <w:tcW w:w="900" w:type="dxa"/>
            <w:shd w:val="clear" w:color="auto" w:fill="C6D9F1" w:themeFill="text2" w:themeFillTint="33"/>
          </w:tcPr>
          <w:p w:rsidR="00C81949" w:rsidRDefault="00C81949" w:rsidP="000943E9">
            <w:pPr>
              <w:ind w:left="630" w:hanging="630"/>
              <w:jc w:val="center"/>
              <w:rPr>
                <w:sz w:val="22"/>
              </w:rPr>
            </w:pPr>
            <w:r>
              <w:t>5</w:t>
            </w:r>
          </w:p>
        </w:tc>
        <w:tc>
          <w:tcPr>
            <w:tcW w:w="1080" w:type="dxa"/>
            <w:shd w:val="clear" w:color="auto" w:fill="FFFFFF" w:themeFill="background1"/>
          </w:tcPr>
          <w:p w:rsidR="00C81949" w:rsidRDefault="00C81949" w:rsidP="000943E9">
            <w:pPr>
              <w:ind w:left="630" w:hanging="630"/>
              <w:jc w:val="center"/>
              <w:rPr>
                <w:sz w:val="22"/>
              </w:rPr>
            </w:pPr>
            <w:r>
              <w:t>60</w:t>
            </w:r>
          </w:p>
        </w:tc>
        <w:tc>
          <w:tcPr>
            <w:tcW w:w="720" w:type="dxa"/>
            <w:shd w:val="clear" w:color="auto" w:fill="C6D9F1" w:themeFill="text2" w:themeFillTint="33"/>
          </w:tcPr>
          <w:p w:rsidR="00C81949" w:rsidRDefault="00C81949" w:rsidP="000943E9">
            <w:pPr>
              <w:ind w:left="630" w:hanging="630"/>
              <w:jc w:val="center"/>
              <w:rPr>
                <w:sz w:val="22"/>
              </w:rPr>
            </w:pPr>
            <w:r>
              <w:t>36</w:t>
            </w:r>
          </w:p>
        </w:tc>
        <w:tc>
          <w:tcPr>
            <w:tcW w:w="1080" w:type="dxa"/>
          </w:tcPr>
          <w:p w:rsidR="00C81949" w:rsidRDefault="00C81949" w:rsidP="000943E9">
            <w:pPr>
              <w:ind w:left="630" w:hanging="630"/>
              <w:jc w:val="center"/>
              <w:rPr>
                <w:sz w:val="22"/>
              </w:rPr>
            </w:pPr>
            <w:r>
              <w:t>81</w:t>
            </w:r>
          </w:p>
        </w:tc>
      </w:tr>
    </w:tbl>
    <w:p w:rsidR="00C81949" w:rsidRDefault="00C81949" w:rsidP="00C81949">
      <w:pPr>
        <w:rPr>
          <w:sz w:val="8"/>
        </w:rPr>
      </w:pPr>
      <w:r>
        <w:rPr>
          <w:sz w:val="18"/>
        </w:rPr>
        <w:t xml:space="preserve">                        </w:t>
      </w:r>
    </w:p>
    <w:p w:rsidR="00C81949" w:rsidRDefault="00C81949" w:rsidP="00C81949">
      <w:pPr>
        <w:rPr>
          <w:sz w:val="18"/>
        </w:rPr>
      </w:pPr>
      <w:r>
        <w:rPr>
          <w:sz w:val="18"/>
        </w:rPr>
        <w:t xml:space="preserve">                *Includes D and UG</w:t>
      </w:r>
    </w:p>
    <w:p w:rsidR="009571FA" w:rsidRPr="002A7054" w:rsidRDefault="009571FA" w:rsidP="0055366F">
      <w:pPr>
        <w:ind w:left="18"/>
        <w:contextualSpacing/>
        <w:rPr>
          <w:b/>
        </w:rPr>
      </w:pPr>
    </w:p>
    <w:p w:rsidR="009571FA" w:rsidRDefault="008D0016" w:rsidP="00C9025D">
      <w:pPr>
        <w:pStyle w:val="ListParagraph"/>
        <w:ind w:left="0"/>
        <w:rPr>
          <w:sz w:val="22"/>
        </w:rPr>
      </w:pPr>
      <w:r>
        <w:rPr>
          <w:sz w:val="22"/>
        </w:rPr>
        <w:t xml:space="preserve">The sex-parity analysis in </w:t>
      </w:r>
      <w:r w:rsidR="00C9025D">
        <w:rPr>
          <w:sz w:val="22"/>
        </w:rPr>
        <w:t xml:space="preserve">this Region </w:t>
      </w:r>
      <w:r w:rsidR="009571FA" w:rsidRPr="002A7054">
        <w:rPr>
          <w:sz w:val="22"/>
        </w:rPr>
        <w:t>was based on the PAHO Human Resources Data Base</w:t>
      </w:r>
      <w:r w:rsidR="009571FA" w:rsidRPr="002A7054">
        <w:rPr>
          <w:rStyle w:val="FootnoteReference"/>
          <w:sz w:val="22"/>
        </w:rPr>
        <w:footnoteReference w:id="13"/>
      </w:r>
      <w:r>
        <w:rPr>
          <w:sz w:val="22"/>
        </w:rPr>
        <w:t xml:space="preserve">, which contained a more complete and detailed set of information than the </w:t>
      </w:r>
      <w:r>
        <w:rPr>
          <w:i/>
          <w:sz w:val="22"/>
        </w:rPr>
        <w:t>WHO</w:t>
      </w:r>
      <w:r>
        <w:rPr>
          <w:sz w:val="22"/>
        </w:rPr>
        <w:t xml:space="preserve"> </w:t>
      </w:r>
      <w:r>
        <w:rPr>
          <w:i/>
          <w:sz w:val="22"/>
        </w:rPr>
        <w:t>Human Resources: Annual Reports</w:t>
      </w:r>
      <w:r w:rsidR="00C9025D">
        <w:rPr>
          <w:i/>
          <w:sz w:val="22"/>
        </w:rPr>
        <w:t xml:space="preserve">. </w:t>
      </w:r>
      <w:r w:rsidR="00C9025D">
        <w:rPr>
          <w:sz w:val="22"/>
        </w:rPr>
        <w:t>Co</w:t>
      </w:r>
      <w:r w:rsidR="009571FA">
        <w:rPr>
          <w:sz w:val="22"/>
        </w:rPr>
        <w:t xml:space="preserve">mparisons between Regions were drawn </w:t>
      </w:r>
      <w:r w:rsidR="001E3480">
        <w:rPr>
          <w:sz w:val="22"/>
        </w:rPr>
        <w:t xml:space="preserve">only </w:t>
      </w:r>
      <w:r w:rsidR="009571FA">
        <w:rPr>
          <w:sz w:val="22"/>
        </w:rPr>
        <w:t xml:space="preserve">in reference to ‘long-term contracts’, the only category that lent itself to this type of analysis. </w:t>
      </w:r>
    </w:p>
    <w:p w:rsidR="009571FA" w:rsidRDefault="009571FA" w:rsidP="00573033">
      <w:pPr>
        <w:rPr>
          <w:sz w:val="18"/>
        </w:rPr>
      </w:pPr>
    </w:p>
    <w:p w:rsidR="00061802" w:rsidRPr="006436C3" w:rsidRDefault="00061802" w:rsidP="001E3480">
      <w:pPr>
        <w:pStyle w:val="ListParagraph"/>
        <w:ind w:left="0"/>
        <w:rPr>
          <w:b/>
          <w:sz w:val="10"/>
        </w:rPr>
      </w:pPr>
    </w:p>
    <w:p w:rsidR="009571FA" w:rsidRDefault="001E3480" w:rsidP="001E3480">
      <w:pPr>
        <w:pStyle w:val="ListParagraph"/>
        <w:ind w:left="0"/>
        <w:rPr>
          <w:b/>
          <w:sz w:val="24"/>
        </w:rPr>
      </w:pPr>
      <w:r>
        <w:rPr>
          <w:b/>
          <w:sz w:val="24"/>
        </w:rPr>
        <w:t xml:space="preserve">1. </w:t>
      </w:r>
      <w:r w:rsidR="009571FA" w:rsidRPr="00037D00">
        <w:rPr>
          <w:b/>
          <w:sz w:val="24"/>
        </w:rPr>
        <w:t>Sex parity among all PAHO staff</w:t>
      </w:r>
      <w:r w:rsidR="009571FA">
        <w:rPr>
          <w:b/>
          <w:sz w:val="24"/>
        </w:rPr>
        <w:t xml:space="preserve"> at December 31 2007</w:t>
      </w:r>
    </w:p>
    <w:p w:rsidR="009571FA" w:rsidRDefault="009571FA" w:rsidP="00573033">
      <w:pPr>
        <w:pStyle w:val="ListParagraph"/>
        <w:ind w:left="1440"/>
        <w:rPr>
          <w:b/>
          <w:sz w:val="24"/>
        </w:rPr>
      </w:pPr>
    </w:p>
    <w:p w:rsidR="009571FA" w:rsidRPr="001E3480" w:rsidRDefault="001E3480" w:rsidP="001E3480">
      <w:pPr>
        <w:pStyle w:val="ListParagraph"/>
        <w:ind w:left="0"/>
        <w:rPr>
          <w:b/>
          <w:sz w:val="22"/>
        </w:rPr>
      </w:pPr>
      <w:r>
        <w:rPr>
          <w:b/>
          <w:sz w:val="22"/>
        </w:rPr>
        <w:t xml:space="preserve">    </w:t>
      </w:r>
      <w:r w:rsidRPr="001E3480">
        <w:rPr>
          <w:b/>
          <w:sz w:val="22"/>
        </w:rPr>
        <w:t>1.1.</w:t>
      </w:r>
      <w:r>
        <w:rPr>
          <w:b/>
          <w:sz w:val="22"/>
        </w:rPr>
        <w:t xml:space="preserve">  </w:t>
      </w:r>
      <w:r w:rsidR="009571FA" w:rsidRPr="001E3480">
        <w:rPr>
          <w:b/>
          <w:sz w:val="22"/>
        </w:rPr>
        <w:t>Sex parity in professional positions</w:t>
      </w:r>
    </w:p>
    <w:p w:rsidR="009571FA" w:rsidRPr="006436C3" w:rsidRDefault="009571FA" w:rsidP="00573033">
      <w:pPr>
        <w:rPr>
          <w:sz w:val="16"/>
        </w:rPr>
      </w:pPr>
    </w:p>
    <w:p w:rsidR="009571FA" w:rsidRPr="00220780" w:rsidRDefault="009571FA" w:rsidP="00581596">
      <w:pPr>
        <w:pStyle w:val="ListParagraph"/>
        <w:numPr>
          <w:ilvl w:val="0"/>
          <w:numId w:val="21"/>
        </w:numPr>
        <w:rPr>
          <w:i/>
          <w:sz w:val="24"/>
        </w:rPr>
      </w:pPr>
      <w:r w:rsidRPr="00220780">
        <w:rPr>
          <w:i/>
          <w:sz w:val="22"/>
        </w:rPr>
        <w:t>By grade</w:t>
      </w:r>
    </w:p>
    <w:p w:rsidR="009571FA" w:rsidRPr="00C173AA" w:rsidRDefault="009571FA" w:rsidP="00573033">
      <w:pPr>
        <w:pStyle w:val="ListParagraph"/>
        <w:rPr>
          <w:sz w:val="8"/>
        </w:rPr>
      </w:pPr>
    </w:p>
    <w:p w:rsidR="009571FA" w:rsidRDefault="00061802" w:rsidP="00573033">
      <w:pPr>
        <w:rPr>
          <w:sz w:val="22"/>
        </w:rPr>
      </w:pPr>
      <w:r>
        <w:rPr>
          <w:sz w:val="22"/>
        </w:rPr>
        <w:t>W</w:t>
      </w:r>
      <w:r w:rsidR="009571FA" w:rsidRPr="007540F2">
        <w:rPr>
          <w:sz w:val="22"/>
        </w:rPr>
        <w:t>omen represent</w:t>
      </w:r>
      <w:r>
        <w:rPr>
          <w:sz w:val="22"/>
        </w:rPr>
        <w:t>ed</w:t>
      </w:r>
      <w:r w:rsidR="009571FA" w:rsidRPr="007540F2">
        <w:rPr>
          <w:sz w:val="22"/>
        </w:rPr>
        <w:t xml:space="preserve"> </w:t>
      </w:r>
      <w:r w:rsidR="009571FA" w:rsidRPr="007540F2">
        <w:rPr>
          <w:b/>
          <w:sz w:val="22"/>
        </w:rPr>
        <w:t>41%</w:t>
      </w:r>
      <w:r w:rsidR="009571FA" w:rsidRPr="007540F2">
        <w:rPr>
          <w:sz w:val="22"/>
        </w:rPr>
        <w:t xml:space="preserve"> of al</w:t>
      </w:r>
      <w:r>
        <w:rPr>
          <w:sz w:val="22"/>
        </w:rPr>
        <w:t>l professional staff (</w:t>
      </w:r>
      <w:r w:rsidR="009571FA" w:rsidRPr="007540F2">
        <w:rPr>
          <w:sz w:val="22"/>
        </w:rPr>
        <w:t>HQ and Country Offices</w:t>
      </w:r>
      <w:r w:rsidR="000E1B85">
        <w:rPr>
          <w:sz w:val="22"/>
        </w:rPr>
        <w:t>)</w:t>
      </w:r>
      <w:r>
        <w:rPr>
          <w:sz w:val="22"/>
        </w:rPr>
        <w:t xml:space="preserve"> and </w:t>
      </w:r>
      <w:r w:rsidR="009571FA" w:rsidRPr="007540F2">
        <w:rPr>
          <w:sz w:val="22"/>
        </w:rPr>
        <w:t>outnumber</w:t>
      </w:r>
      <w:r>
        <w:rPr>
          <w:sz w:val="22"/>
        </w:rPr>
        <w:t>ed</w:t>
      </w:r>
      <w:r w:rsidR="009571FA" w:rsidRPr="007540F2">
        <w:rPr>
          <w:sz w:val="22"/>
        </w:rPr>
        <w:t xml:space="preserve"> men i</w:t>
      </w:r>
      <w:r>
        <w:rPr>
          <w:sz w:val="22"/>
        </w:rPr>
        <w:t>n the two extremes of the scale:</w:t>
      </w:r>
      <w:r w:rsidR="009571FA" w:rsidRPr="007540F2">
        <w:rPr>
          <w:sz w:val="22"/>
        </w:rPr>
        <w:t xml:space="preserve"> the two lowest grades (P1 and P2) and th</w:t>
      </w:r>
      <w:r>
        <w:rPr>
          <w:sz w:val="22"/>
        </w:rPr>
        <w:t xml:space="preserve">e top managerial positions (UG) where the </w:t>
      </w:r>
      <w:r w:rsidRPr="007540F2">
        <w:rPr>
          <w:sz w:val="22"/>
        </w:rPr>
        <w:t xml:space="preserve">three Directors-- Regional, Assistant, and Deputy—all three are women. </w:t>
      </w:r>
      <w:r>
        <w:rPr>
          <w:sz w:val="22"/>
        </w:rPr>
        <w:t xml:space="preserve"> They were however </w:t>
      </w:r>
      <w:r w:rsidR="009571FA" w:rsidRPr="007540F2">
        <w:rPr>
          <w:sz w:val="22"/>
        </w:rPr>
        <w:t>under-represented at the higher professional ranks of Ps and Ds</w:t>
      </w:r>
      <w:r w:rsidR="00F71EE7">
        <w:rPr>
          <w:sz w:val="22"/>
        </w:rPr>
        <w:t>, with P4 standing out as the grade with the lowest women’s share</w:t>
      </w:r>
      <w:r>
        <w:rPr>
          <w:sz w:val="22"/>
        </w:rPr>
        <w:t xml:space="preserve"> (See Figure 1).</w:t>
      </w:r>
      <w:r w:rsidR="009571FA" w:rsidRPr="007540F2">
        <w:rPr>
          <w:sz w:val="22"/>
        </w:rPr>
        <w:t xml:space="preserve"> </w:t>
      </w:r>
    </w:p>
    <w:p w:rsidR="00061802" w:rsidRPr="006436C3" w:rsidRDefault="00061802" w:rsidP="00573033">
      <w:pPr>
        <w:rPr>
          <w:sz w:val="2"/>
        </w:rPr>
      </w:pPr>
    </w:p>
    <w:p w:rsidR="009571FA" w:rsidRDefault="009571FA" w:rsidP="00573033">
      <w:pPr>
        <w:rPr>
          <w:sz w:val="24"/>
        </w:rPr>
      </w:pPr>
    </w:p>
    <w:p w:rsidR="000C5AC7" w:rsidRDefault="009571FA" w:rsidP="00573033">
      <w:pPr>
        <w:ind w:left="720"/>
        <w:rPr>
          <w:sz w:val="22"/>
        </w:rPr>
      </w:pPr>
      <w:r w:rsidRPr="007540F2">
        <w:rPr>
          <w:b/>
          <w:sz w:val="22"/>
        </w:rPr>
        <w:t xml:space="preserve">Figure 1. </w:t>
      </w:r>
      <w:r w:rsidR="00C8762E">
        <w:rPr>
          <w:sz w:val="22"/>
        </w:rPr>
        <w:t>AMRO/PAHO</w:t>
      </w:r>
      <w:r w:rsidR="000C5AC7">
        <w:rPr>
          <w:sz w:val="22"/>
        </w:rPr>
        <w:t>:</w:t>
      </w:r>
      <w:r w:rsidR="00C8762E">
        <w:rPr>
          <w:sz w:val="22"/>
        </w:rPr>
        <w:t xml:space="preserve"> </w:t>
      </w:r>
      <w:r w:rsidR="000C5AC7">
        <w:rPr>
          <w:sz w:val="22"/>
        </w:rPr>
        <w:t xml:space="preserve">Percent and absolute </w:t>
      </w:r>
      <w:r w:rsidR="00C8762E">
        <w:rPr>
          <w:sz w:val="22"/>
        </w:rPr>
        <w:t>s</w:t>
      </w:r>
      <w:r w:rsidRPr="007540F2">
        <w:rPr>
          <w:sz w:val="22"/>
        </w:rPr>
        <w:t>ex distribution of all</w:t>
      </w:r>
      <w:r w:rsidR="000C5AC7">
        <w:rPr>
          <w:sz w:val="22"/>
        </w:rPr>
        <w:t xml:space="preserve">                           </w:t>
      </w:r>
      <w:r w:rsidRPr="007540F2">
        <w:rPr>
          <w:sz w:val="22"/>
        </w:rPr>
        <w:t xml:space="preserve"> </w:t>
      </w:r>
      <w:r w:rsidRPr="00C8762E">
        <w:rPr>
          <w:b/>
          <w:sz w:val="22"/>
        </w:rPr>
        <w:t xml:space="preserve">Professional </w:t>
      </w:r>
      <w:r w:rsidR="000C5AC7">
        <w:rPr>
          <w:sz w:val="22"/>
        </w:rPr>
        <w:t xml:space="preserve">staff </w:t>
      </w:r>
      <w:r w:rsidRPr="007540F2">
        <w:rPr>
          <w:sz w:val="22"/>
        </w:rPr>
        <w:t>(HQ+</w:t>
      </w:r>
      <w:r w:rsidR="00C8762E">
        <w:rPr>
          <w:sz w:val="22"/>
        </w:rPr>
        <w:t xml:space="preserve"> </w:t>
      </w:r>
      <w:r w:rsidRPr="007540F2">
        <w:rPr>
          <w:sz w:val="22"/>
        </w:rPr>
        <w:t xml:space="preserve">Country </w:t>
      </w:r>
      <w:r>
        <w:rPr>
          <w:sz w:val="22"/>
        </w:rPr>
        <w:t>O</w:t>
      </w:r>
      <w:r w:rsidRPr="007540F2">
        <w:rPr>
          <w:sz w:val="22"/>
        </w:rPr>
        <w:t xml:space="preserve">ffices) by grade. December 31, 2007  </w:t>
      </w:r>
    </w:p>
    <w:p w:rsidR="000C5AC7" w:rsidRDefault="000C5AC7" w:rsidP="00573033">
      <w:pPr>
        <w:ind w:left="720"/>
        <w:rPr>
          <w:sz w:val="22"/>
        </w:rPr>
      </w:pPr>
    </w:p>
    <w:p w:rsidR="000C5AC7" w:rsidRDefault="000C5AC7" w:rsidP="00573033">
      <w:pPr>
        <w:ind w:left="720"/>
        <w:rPr>
          <w:sz w:val="22"/>
        </w:rPr>
      </w:pPr>
      <w:r>
        <w:rPr>
          <w:noProof/>
          <w:lang w:val="en-US"/>
        </w:rPr>
        <w:drawing>
          <wp:inline distT="0" distB="0" distL="0" distR="0">
            <wp:extent cx="4297680" cy="231648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a:srcRect/>
                    <a:stretch>
                      <a:fillRect/>
                    </a:stretch>
                  </pic:blipFill>
                  <pic:spPr bwMode="auto">
                    <a:xfrm>
                      <a:off x="0" y="0"/>
                      <a:ext cx="4297680" cy="2316480"/>
                    </a:xfrm>
                    <a:prstGeom prst="rect">
                      <a:avLst/>
                    </a:prstGeom>
                    <a:noFill/>
                    <a:ln w="9525">
                      <a:noFill/>
                      <a:miter lim="800000"/>
                      <a:headEnd/>
                      <a:tailEnd/>
                    </a:ln>
                  </pic:spPr>
                </pic:pic>
              </a:graphicData>
            </a:graphic>
          </wp:inline>
        </w:drawing>
      </w:r>
    </w:p>
    <w:p w:rsidR="009571FA" w:rsidRDefault="009571FA" w:rsidP="00573033">
      <w:pPr>
        <w:ind w:left="720"/>
        <w:rPr>
          <w:sz w:val="24"/>
        </w:rPr>
      </w:pPr>
      <w:r w:rsidRPr="007540F2">
        <w:rPr>
          <w:sz w:val="22"/>
        </w:rPr>
        <w:t xml:space="preserve">                                      </w:t>
      </w:r>
    </w:p>
    <w:p w:rsidR="009571FA" w:rsidRDefault="009571FA" w:rsidP="00581596">
      <w:pPr>
        <w:pStyle w:val="ListParagraph"/>
        <w:numPr>
          <w:ilvl w:val="0"/>
          <w:numId w:val="17"/>
        </w:numPr>
        <w:rPr>
          <w:i/>
          <w:sz w:val="22"/>
        </w:rPr>
      </w:pPr>
      <w:r w:rsidRPr="00220780">
        <w:rPr>
          <w:i/>
          <w:sz w:val="22"/>
        </w:rPr>
        <w:t>By contract type: long- term and temporary</w:t>
      </w:r>
    </w:p>
    <w:p w:rsidR="009571FA" w:rsidRPr="006436C3" w:rsidRDefault="009571FA" w:rsidP="00220780">
      <w:pPr>
        <w:pStyle w:val="ListParagraph"/>
        <w:ind w:left="1080"/>
        <w:rPr>
          <w:i/>
          <w:sz w:val="6"/>
        </w:rPr>
      </w:pPr>
    </w:p>
    <w:p w:rsidR="00AA5555" w:rsidRDefault="009571FA" w:rsidP="00573033">
      <w:pPr>
        <w:rPr>
          <w:sz w:val="22"/>
          <w:szCs w:val="22"/>
        </w:rPr>
      </w:pPr>
      <w:r>
        <w:rPr>
          <w:sz w:val="22"/>
          <w:szCs w:val="22"/>
        </w:rPr>
        <w:t>T</w:t>
      </w:r>
      <w:r w:rsidRPr="00957D19">
        <w:rPr>
          <w:sz w:val="22"/>
          <w:szCs w:val="22"/>
        </w:rPr>
        <w:t xml:space="preserve">emporary contracts represent </w:t>
      </w:r>
      <w:r w:rsidR="001C1938">
        <w:rPr>
          <w:sz w:val="22"/>
          <w:szCs w:val="22"/>
        </w:rPr>
        <w:t xml:space="preserve">approximately 10% </w:t>
      </w:r>
      <w:r w:rsidRPr="00957D19">
        <w:rPr>
          <w:sz w:val="22"/>
          <w:szCs w:val="22"/>
        </w:rPr>
        <w:t xml:space="preserve">of all </w:t>
      </w:r>
      <w:r w:rsidR="001C1938">
        <w:rPr>
          <w:sz w:val="22"/>
          <w:szCs w:val="22"/>
        </w:rPr>
        <w:t xml:space="preserve">PAHO </w:t>
      </w:r>
      <w:r w:rsidRPr="00957D19">
        <w:rPr>
          <w:sz w:val="22"/>
          <w:szCs w:val="22"/>
        </w:rPr>
        <w:t>staff contracts</w:t>
      </w:r>
      <w:r w:rsidR="001C1938">
        <w:rPr>
          <w:sz w:val="22"/>
          <w:szCs w:val="22"/>
        </w:rPr>
        <w:t>.</w:t>
      </w:r>
    </w:p>
    <w:p w:rsidR="0031590D" w:rsidRPr="004742C8" w:rsidRDefault="009571FA" w:rsidP="00573033">
      <w:pPr>
        <w:rPr>
          <w:sz w:val="18"/>
          <w:szCs w:val="22"/>
        </w:rPr>
      </w:pPr>
      <w:r w:rsidRPr="00957D19">
        <w:rPr>
          <w:sz w:val="22"/>
          <w:szCs w:val="22"/>
        </w:rPr>
        <w:t xml:space="preserve">  </w:t>
      </w:r>
    </w:p>
    <w:p w:rsidR="009571FA" w:rsidRPr="00957D19" w:rsidRDefault="0031590D" w:rsidP="00573033">
      <w:pPr>
        <w:rPr>
          <w:sz w:val="22"/>
          <w:szCs w:val="22"/>
        </w:rPr>
      </w:pPr>
      <w:r>
        <w:rPr>
          <w:sz w:val="22"/>
          <w:szCs w:val="22"/>
        </w:rPr>
        <w:t>At the total level, w</w:t>
      </w:r>
      <w:r w:rsidR="00AE4CCA">
        <w:rPr>
          <w:sz w:val="22"/>
          <w:szCs w:val="22"/>
        </w:rPr>
        <w:t>omen</w:t>
      </w:r>
      <w:r>
        <w:rPr>
          <w:sz w:val="22"/>
          <w:szCs w:val="22"/>
        </w:rPr>
        <w:t>’s share is r</w:t>
      </w:r>
      <w:r w:rsidR="00AE4CCA">
        <w:rPr>
          <w:sz w:val="22"/>
          <w:szCs w:val="22"/>
        </w:rPr>
        <w:t xml:space="preserve">oughly 60% of </w:t>
      </w:r>
      <w:r>
        <w:rPr>
          <w:sz w:val="22"/>
          <w:szCs w:val="22"/>
        </w:rPr>
        <w:t>either l</w:t>
      </w:r>
      <w:r w:rsidR="00AE4CCA">
        <w:rPr>
          <w:sz w:val="22"/>
          <w:szCs w:val="22"/>
        </w:rPr>
        <w:t xml:space="preserve">ong-term </w:t>
      </w:r>
      <w:r>
        <w:rPr>
          <w:sz w:val="22"/>
          <w:szCs w:val="22"/>
        </w:rPr>
        <w:t>or</w:t>
      </w:r>
      <w:r w:rsidR="00AE4CCA">
        <w:rPr>
          <w:sz w:val="22"/>
          <w:szCs w:val="22"/>
        </w:rPr>
        <w:t xml:space="preserve"> temporary contract</w:t>
      </w:r>
      <w:r>
        <w:rPr>
          <w:sz w:val="22"/>
          <w:szCs w:val="22"/>
        </w:rPr>
        <w:t xml:space="preserve"> holders.  </w:t>
      </w:r>
      <w:r w:rsidR="00AE4CCA">
        <w:rPr>
          <w:sz w:val="22"/>
          <w:szCs w:val="22"/>
        </w:rPr>
        <w:t>A</w:t>
      </w:r>
      <w:r>
        <w:rPr>
          <w:sz w:val="22"/>
          <w:szCs w:val="22"/>
        </w:rPr>
        <w:t xml:space="preserve">t the professional level, </w:t>
      </w:r>
      <w:r w:rsidR="00AE4CCA">
        <w:rPr>
          <w:sz w:val="22"/>
          <w:szCs w:val="22"/>
        </w:rPr>
        <w:t>w</w:t>
      </w:r>
      <w:r w:rsidR="009571FA" w:rsidRPr="00957D19">
        <w:rPr>
          <w:sz w:val="22"/>
          <w:szCs w:val="22"/>
        </w:rPr>
        <w:t xml:space="preserve">omen </w:t>
      </w:r>
      <w:r w:rsidR="007C4719">
        <w:rPr>
          <w:sz w:val="22"/>
          <w:szCs w:val="22"/>
        </w:rPr>
        <w:t>hold</w:t>
      </w:r>
      <w:r w:rsidR="00AE4CCA">
        <w:rPr>
          <w:sz w:val="22"/>
          <w:szCs w:val="22"/>
        </w:rPr>
        <w:t xml:space="preserve"> </w:t>
      </w:r>
      <w:r w:rsidR="00AE4CCA" w:rsidRPr="00957D19">
        <w:rPr>
          <w:b/>
          <w:sz w:val="22"/>
          <w:szCs w:val="22"/>
        </w:rPr>
        <w:t>39.5%</w:t>
      </w:r>
      <w:r w:rsidR="00AE4CCA" w:rsidRPr="00957D19">
        <w:rPr>
          <w:sz w:val="22"/>
          <w:szCs w:val="22"/>
        </w:rPr>
        <w:t xml:space="preserve"> </w:t>
      </w:r>
      <w:r w:rsidR="00AE4CCA">
        <w:rPr>
          <w:sz w:val="22"/>
          <w:szCs w:val="22"/>
        </w:rPr>
        <w:t xml:space="preserve">of </w:t>
      </w:r>
      <w:r>
        <w:rPr>
          <w:sz w:val="22"/>
          <w:szCs w:val="22"/>
        </w:rPr>
        <w:t xml:space="preserve">the </w:t>
      </w:r>
      <w:r w:rsidR="00AE4CCA">
        <w:rPr>
          <w:sz w:val="22"/>
          <w:szCs w:val="22"/>
        </w:rPr>
        <w:t>long</w:t>
      </w:r>
      <w:r>
        <w:rPr>
          <w:sz w:val="22"/>
          <w:szCs w:val="22"/>
        </w:rPr>
        <w:t>-</w:t>
      </w:r>
      <w:r w:rsidR="00AE4CCA">
        <w:rPr>
          <w:sz w:val="22"/>
          <w:szCs w:val="22"/>
        </w:rPr>
        <w:t xml:space="preserve">term </w:t>
      </w:r>
      <w:r w:rsidR="009571FA" w:rsidRPr="00957D19">
        <w:rPr>
          <w:sz w:val="22"/>
          <w:szCs w:val="22"/>
        </w:rPr>
        <w:t xml:space="preserve">and </w:t>
      </w:r>
      <w:r w:rsidR="009571FA" w:rsidRPr="00957D19">
        <w:rPr>
          <w:b/>
          <w:sz w:val="22"/>
          <w:szCs w:val="22"/>
        </w:rPr>
        <w:t>50%</w:t>
      </w:r>
      <w:r w:rsidR="009571FA">
        <w:rPr>
          <w:sz w:val="22"/>
          <w:szCs w:val="22"/>
        </w:rPr>
        <w:t xml:space="preserve"> </w:t>
      </w:r>
      <w:r>
        <w:rPr>
          <w:sz w:val="22"/>
          <w:szCs w:val="22"/>
        </w:rPr>
        <w:t>of the temporary contract</w:t>
      </w:r>
      <w:r w:rsidR="007C4719">
        <w:rPr>
          <w:sz w:val="22"/>
          <w:szCs w:val="22"/>
        </w:rPr>
        <w:t>s.</w:t>
      </w:r>
      <w:r>
        <w:rPr>
          <w:sz w:val="22"/>
          <w:szCs w:val="22"/>
        </w:rPr>
        <w:t xml:space="preserve"> </w:t>
      </w:r>
      <w:r w:rsidR="006436C3">
        <w:rPr>
          <w:sz w:val="22"/>
          <w:szCs w:val="22"/>
        </w:rPr>
        <w:t>At</w:t>
      </w:r>
      <w:r w:rsidR="001C1938">
        <w:rPr>
          <w:sz w:val="22"/>
          <w:szCs w:val="22"/>
        </w:rPr>
        <w:t xml:space="preserve"> the G level, the corresponding percentages are</w:t>
      </w:r>
      <w:r w:rsidR="009571FA" w:rsidRPr="00957D19">
        <w:rPr>
          <w:sz w:val="22"/>
          <w:szCs w:val="22"/>
        </w:rPr>
        <w:t xml:space="preserve"> </w:t>
      </w:r>
      <w:r w:rsidR="001C1938">
        <w:rPr>
          <w:sz w:val="22"/>
          <w:szCs w:val="22"/>
        </w:rPr>
        <w:t>80 and 82 (Table 14).</w:t>
      </w:r>
    </w:p>
    <w:p w:rsidR="009571FA" w:rsidRPr="007C4719" w:rsidRDefault="009571FA" w:rsidP="00573033">
      <w:pPr>
        <w:rPr>
          <w:sz w:val="16"/>
          <w:szCs w:val="22"/>
        </w:rPr>
      </w:pPr>
    </w:p>
    <w:p w:rsidR="009571FA" w:rsidRPr="00957D19" w:rsidRDefault="009571FA" w:rsidP="00573033">
      <w:pPr>
        <w:rPr>
          <w:sz w:val="22"/>
          <w:szCs w:val="22"/>
        </w:rPr>
      </w:pPr>
      <w:r w:rsidRPr="00957D19">
        <w:rPr>
          <w:sz w:val="22"/>
          <w:szCs w:val="22"/>
        </w:rPr>
        <w:t xml:space="preserve">The sex-distribution by grade level in the long-term contracts closely </w:t>
      </w:r>
      <w:r w:rsidR="001C1938">
        <w:rPr>
          <w:sz w:val="22"/>
          <w:szCs w:val="22"/>
        </w:rPr>
        <w:t xml:space="preserve">resembled the distribution </w:t>
      </w:r>
      <w:r w:rsidRPr="00957D19">
        <w:rPr>
          <w:sz w:val="22"/>
          <w:szCs w:val="22"/>
        </w:rPr>
        <w:t>described for all professional staff. Among temporary appointments, the sex-disparities become larger, women</w:t>
      </w:r>
      <w:r w:rsidR="001C1938">
        <w:rPr>
          <w:sz w:val="22"/>
          <w:szCs w:val="22"/>
        </w:rPr>
        <w:t xml:space="preserve">’s share </w:t>
      </w:r>
      <w:r w:rsidRPr="00957D19">
        <w:rPr>
          <w:sz w:val="22"/>
          <w:szCs w:val="22"/>
        </w:rPr>
        <w:t>rising to 83% and 86% at the P1 and P2 levels, and dropping to 25% and 33% among the P3 and P4 levels. Women and men were equally represented (one to one) in the temporary P5 category.</w:t>
      </w:r>
    </w:p>
    <w:p w:rsidR="009571FA" w:rsidRPr="007C4719" w:rsidRDefault="009571FA" w:rsidP="00573033">
      <w:pPr>
        <w:rPr>
          <w:sz w:val="10"/>
          <w:szCs w:val="22"/>
        </w:rPr>
      </w:pPr>
    </w:p>
    <w:p w:rsidR="004742C8" w:rsidRPr="00957D19" w:rsidRDefault="004742C8" w:rsidP="00573033">
      <w:pPr>
        <w:rPr>
          <w:sz w:val="22"/>
          <w:szCs w:val="22"/>
        </w:rPr>
      </w:pPr>
    </w:p>
    <w:p w:rsidR="009571FA" w:rsidRDefault="009571FA" w:rsidP="00573033">
      <w:pPr>
        <w:ind w:left="720"/>
        <w:rPr>
          <w:sz w:val="22"/>
        </w:rPr>
      </w:pPr>
      <w:r w:rsidRPr="003871FF">
        <w:rPr>
          <w:b/>
          <w:sz w:val="22"/>
        </w:rPr>
        <w:t xml:space="preserve">Figure 2. </w:t>
      </w:r>
      <w:r w:rsidR="00C8762E" w:rsidRPr="00C8762E">
        <w:rPr>
          <w:sz w:val="22"/>
        </w:rPr>
        <w:t>AMRO/PAHO</w:t>
      </w:r>
      <w:r w:rsidR="000C5AC7">
        <w:rPr>
          <w:sz w:val="22"/>
        </w:rPr>
        <w:t xml:space="preserve">: Percent and absolute </w:t>
      </w:r>
      <w:r w:rsidR="00C8762E" w:rsidRPr="00C8762E">
        <w:rPr>
          <w:b/>
          <w:sz w:val="22"/>
        </w:rPr>
        <w:t xml:space="preserve"> </w:t>
      </w:r>
      <w:r w:rsidR="000C5AC7">
        <w:rPr>
          <w:sz w:val="22"/>
        </w:rPr>
        <w:t>s</w:t>
      </w:r>
      <w:r w:rsidRPr="00777306">
        <w:rPr>
          <w:sz w:val="22"/>
        </w:rPr>
        <w:t>ex distribution of professional</w:t>
      </w:r>
      <w:r w:rsidR="000C5AC7">
        <w:rPr>
          <w:sz w:val="22"/>
        </w:rPr>
        <w:t xml:space="preserve">         </w:t>
      </w:r>
      <w:r w:rsidRPr="00777306">
        <w:rPr>
          <w:sz w:val="22"/>
        </w:rPr>
        <w:t xml:space="preserve"> staff </w:t>
      </w:r>
      <w:r w:rsidR="00C8762E">
        <w:rPr>
          <w:sz w:val="22"/>
        </w:rPr>
        <w:t xml:space="preserve"> </w:t>
      </w:r>
      <w:r w:rsidRPr="00777306">
        <w:rPr>
          <w:sz w:val="22"/>
        </w:rPr>
        <w:t xml:space="preserve">(HQ+ Country Offices), by contract </w:t>
      </w:r>
      <w:r>
        <w:rPr>
          <w:sz w:val="22"/>
        </w:rPr>
        <w:t xml:space="preserve">type </w:t>
      </w:r>
      <w:r w:rsidRPr="00777306">
        <w:rPr>
          <w:sz w:val="22"/>
        </w:rPr>
        <w:t xml:space="preserve">and grade. December 31, 2007.  </w:t>
      </w:r>
    </w:p>
    <w:p w:rsidR="00CA5C81" w:rsidRDefault="00CA5C81" w:rsidP="00573033">
      <w:pPr>
        <w:ind w:left="720"/>
      </w:pPr>
    </w:p>
    <w:p w:rsidR="00CA5C81" w:rsidRDefault="00CA5C81" w:rsidP="00CA5C81"/>
    <w:p w:rsidR="00CA5C81" w:rsidRDefault="00CA5C81" w:rsidP="00CA5C81">
      <w:r>
        <w:tab/>
      </w:r>
      <w:r>
        <w:tab/>
      </w:r>
      <w:r>
        <w:tab/>
      </w:r>
      <w:r>
        <w:tab/>
      </w:r>
      <w:r w:rsidR="00D20827">
        <w:t xml:space="preserve">                                      </w:t>
      </w:r>
      <w:r>
        <w:t>a. Long Term</w:t>
      </w:r>
    </w:p>
    <w:p w:rsidR="00CA5C81" w:rsidRDefault="00CA5C81" w:rsidP="00CA5C81">
      <w:pPr>
        <w:ind w:left="720"/>
      </w:pPr>
      <w:r>
        <w:rPr>
          <w:noProof/>
          <w:lang w:val="en-US"/>
        </w:rPr>
        <w:drawing>
          <wp:inline distT="0" distB="0" distL="0" distR="0">
            <wp:extent cx="3886200" cy="201168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7"/>
                    <a:srcRect/>
                    <a:stretch>
                      <a:fillRect/>
                    </a:stretch>
                  </pic:blipFill>
                  <pic:spPr bwMode="auto">
                    <a:xfrm>
                      <a:off x="0" y="0"/>
                      <a:ext cx="3886200" cy="2011680"/>
                    </a:xfrm>
                    <a:prstGeom prst="rect">
                      <a:avLst/>
                    </a:prstGeom>
                    <a:noFill/>
                    <a:ln w="9525">
                      <a:noFill/>
                      <a:miter lim="800000"/>
                      <a:headEnd/>
                      <a:tailEnd/>
                    </a:ln>
                  </pic:spPr>
                </pic:pic>
              </a:graphicData>
            </a:graphic>
          </wp:inline>
        </w:drawing>
      </w:r>
    </w:p>
    <w:p w:rsidR="00CA5C81" w:rsidRDefault="00CA5C81" w:rsidP="00573033">
      <w:pPr>
        <w:ind w:left="720"/>
      </w:pPr>
    </w:p>
    <w:p w:rsidR="00CA5C81" w:rsidRDefault="00CA5C81" w:rsidP="00CA5C81">
      <w:r>
        <w:tab/>
      </w:r>
      <w:r>
        <w:tab/>
      </w:r>
      <w:r>
        <w:tab/>
      </w:r>
      <w:r>
        <w:tab/>
      </w:r>
      <w:r w:rsidR="00D20827">
        <w:t xml:space="preserve">                                           </w:t>
      </w:r>
      <w:r>
        <w:t>b. Temporary</w:t>
      </w:r>
    </w:p>
    <w:p w:rsidR="00CA5C81" w:rsidRDefault="00CA5C81" w:rsidP="00CA5C81">
      <w:pPr>
        <w:ind w:left="720"/>
      </w:pPr>
      <w:r>
        <w:rPr>
          <w:noProof/>
          <w:lang w:val="en-US"/>
        </w:rPr>
        <w:drawing>
          <wp:inline distT="0" distB="0" distL="0" distR="0">
            <wp:extent cx="3886200" cy="211074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8"/>
                    <a:srcRect/>
                    <a:stretch>
                      <a:fillRect/>
                    </a:stretch>
                  </pic:blipFill>
                  <pic:spPr bwMode="auto">
                    <a:xfrm>
                      <a:off x="0" y="0"/>
                      <a:ext cx="3886200" cy="2110740"/>
                    </a:xfrm>
                    <a:prstGeom prst="rect">
                      <a:avLst/>
                    </a:prstGeom>
                    <a:noFill/>
                    <a:ln w="9525">
                      <a:noFill/>
                      <a:miter lim="800000"/>
                      <a:headEnd/>
                      <a:tailEnd/>
                    </a:ln>
                  </pic:spPr>
                </pic:pic>
              </a:graphicData>
            </a:graphic>
          </wp:inline>
        </w:drawing>
      </w:r>
    </w:p>
    <w:p w:rsidR="00CA5C81" w:rsidRDefault="00CA5C81" w:rsidP="00CA5C81"/>
    <w:p w:rsidR="004742C8" w:rsidRPr="007C4719" w:rsidRDefault="004742C8" w:rsidP="00573033">
      <w:pPr>
        <w:ind w:left="720"/>
        <w:rPr>
          <w:sz w:val="2"/>
        </w:rPr>
      </w:pPr>
    </w:p>
    <w:p w:rsidR="004742C8" w:rsidRPr="007C4719" w:rsidRDefault="004742C8" w:rsidP="00573033">
      <w:pPr>
        <w:ind w:left="720"/>
        <w:rPr>
          <w:sz w:val="2"/>
          <w:szCs w:val="22"/>
        </w:rPr>
      </w:pPr>
    </w:p>
    <w:p w:rsidR="009571FA" w:rsidRDefault="009571FA" w:rsidP="00581596">
      <w:pPr>
        <w:pStyle w:val="ListParagraph"/>
        <w:numPr>
          <w:ilvl w:val="0"/>
          <w:numId w:val="17"/>
        </w:numPr>
        <w:rPr>
          <w:b/>
          <w:sz w:val="22"/>
          <w:szCs w:val="22"/>
        </w:rPr>
      </w:pPr>
      <w:r>
        <w:rPr>
          <w:b/>
          <w:sz w:val="22"/>
          <w:szCs w:val="22"/>
        </w:rPr>
        <w:t xml:space="preserve">By location: </w:t>
      </w:r>
      <w:r w:rsidRPr="00954CE1">
        <w:rPr>
          <w:b/>
          <w:sz w:val="22"/>
          <w:szCs w:val="22"/>
        </w:rPr>
        <w:t>Head Quarters and Country Offices</w:t>
      </w:r>
    </w:p>
    <w:p w:rsidR="009571FA" w:rsidRPr="00167211" w:rsidRDefault="009571FA" w:rsidP="00167211">
      <w:pPr>
        <w:pStyle w:val="ListParagraph"/>
        <w:ind w:left="1260"/>
        <w:rPr>
          <w:b/>
          <w:sz w:val="10"/>
          <w:szCs w:val="22"/>
        </w:rPr>
      </w:pPr>
    </w:p>
    <w:p w:rsidR="009571FA" w:rsidRPr="00954CE1" w:rsidRDefault="009571FA" w:rsidP="00573033">
      <w:pPr>
        <w:rPr>
          <w:sz w:val="22"/>
          <w:szCs w:val="22"/>
        </w:rPr>
      </w:pPr>
      <w:r w:rsidRPr="00954CE1">
        <w:rPr>
          <w:sz w:val="22"/>
          <w:szCs w:val="22"/>
        </w:rPr>
        <w:t xml:space="preserve">Women’s share of professional staff in PAHO/HQ (Washington DC) reaches parity at </w:t>
      </w:r>
      <w:r w:rsidRPr="00954CE1">
        <w:rPr>
          <w:b/>
          <w:sz w:val="22"/>
          <w:szCs w:val="22"/>
        </w:rPr>
        <w:t xml:space="preserve">50%. </w:t>
      </w:r>
      <w:r w:rsidRPr="00954CE1">
        <w:rPr>
          <w:sz w:val="22"/>
          <w:szCs w:val="22"/>
        </w:rPr>
        <w:t>This figure is higher than the corresponding 44% reported for WHO/HQ (Geneva), as it will be seen in the following section</w:t>
      </w:r>
      <w:r w:rsidR="00B7413D">
        <w:rPr>
          <w:sz w:val="22"/>
          <w:szCs w:val="22"/>
        </w:rPr>
        <w:t>.</w:t>
      </w:r>
      <w:r w:rsidRPr="00954CE1">
        <w:rPr>
          <w:sz w:val="22"/>
          <w:szCs w:val="22"/>
        </w:rPr>
        <w:t xml:space="preserve">  </w:t>
      </w:r>
    </w:p>
    <w:p w:rsidR="009571FA" w:rsidRDefault="007C4719" w:rsidP="00573033">
      <w:pPr>
        <w:rPr>
          <w:sz w:val="22"/>
          <w:szCs w:val="22"/>
        </w:rPr>
      </w:pPr>
      <w:r>
        <w:rPr>
          <w:sz w:val="22"/>
          <w:szCs w:val="22"/>
        </w:rPr>
        <w:t>W</w:t>
      </w:r>
      <w:r w:rsidR="009571FA" w:rsidRPr="00954CE1">
        <w:rPr>
          <w:sz w:val="22"/>
          <w:szCs w:val="22"/>
        </w:rPr>
        <w:t xml:space="preserve">omen in </w:t>
      </w:r>
      <w:r w:rsidR="00C028D4">
        <w:rPr>
          <w:sz w:val="22"/>
          <w:szCs w:val="22"/>
        </w:rPr>
        <w:t>PAHO/</w:t>
      </w:r>
      <w:r w:rsidR="009571FA" w:rsidRPr="00954CE1">
        <w:rPr>
          <w:sz w:val="22"/>
          <w:szCs w:val="22"/>
        </w:rPr>
        <w:t xml:space="preserve">HQ are over represented at the lowest two P grades, constituting ¾ of the P1, 2/3 of the P2, and slightly over ½ half of the P3 grades.  At the P4 to D1 levels their share stays in the lower 40% and, as already stated, it goes up to 100% at the Directorial level. </w:t>
      </w:r>
    </w:p>
    <w:p w:rsidR="009571FA" w:rsidRPr="006B45DD" w:rsidRDefault="009571FA" w:rsidP="00573033">
      <w:pPr>
        <w:rPr>
          <w:sz w:val="12"/>
          <w:szCs w:val="22"/>
        </w:rPr>
      </w:pPr>
    </w:p>
    <w:p w:rsidR="009571FA" w:rsidRPr="00954CE1" w:rsidRDefault="009571FA" w:rsidP="00573033">
      <w:pPr>
        <w:rPr>
          <w:sz w:val="22"/>
          <w:szCs w:val="22"/>
        </w:rPr>
      </w:pPr>
      <w:r w:rsidRPr="00954CE1">
        <w:rPr>
          <w:sz w:val="22"/>
          <w:szCs w:val="22"/>
        </w:rPr>
        <w:t xml:space="preserve">At country offices, women’s share of all professional staff declines to </w:t>
      </w:r>
      <w:r w:rsidR="008B046F">
        <w:rPr>
          <w:b/>
          <w:sz w:val="22"/>
          <w:szCs w:val="22"/>
        </w:rPr>
        <w:t xml:space="preserve">30%, </w:t>
      </w:r>
      <w:r w:rsidR="008B046F" w:rsidRPr="008B046F">
        <w:rPr>
          <w:sz w:val="22"/>
          <w:szCs w:val="22"/>
        </w:rPr>
        <w:t>reaching its lowest</w:t>
      </w:r>
      <w:r w:rsidR="008B046F">
        <w:rPr>
          <w:sz w:val="22"/>
          <w:szCs w:val="22"/>
        </w:rPr>
        <w:t xml:space="preserve"> levels </w:t>
      </w:r>
      <w:r w:rsidR="008B046F" w:rsidRPr="008B046F">
        <w:rPr>
          <w:sz w:val="22"/>
          <w:szCs w:val="22"/>
        </w:rPr>
        <w:t xml:space="preserve">at the P3 </w:t>
      </w:r>
      <w:r w:rsidR="008B046F">
        <w:rPr>
          <w:sz w:val="22"/>
          <w:szCs w:val="22"/>
        </w:rPr>
        <w:t>(12%) and P4 (29%) grades</w:t>
      </w:r>
      <w:r w:rsidRPr="00954CE1">
        <w:rPr>
          <w:sz w:val="22"/>
          <w:szCs w:val="22"/>
        </w:rPr>
        <w:t xml:space="preserve">.  </w:t>
      </w:r>
    </w:p>
    <w:p w:rsidR="009571FA" w:rsidRPr="007C4719" w:rsidRDefault="009571FA" w:rsidP="00777306">
      <w:pPr>
        <w:ind w:left="1260" w:hanging="540"/>
        <w:rPr>
          <w:b/>
          <w:sz w:val="8"/>
        </w:rPr>
      </w:pPr>
    </w:p>
    <w:p w:rsidR="009571FA" w:rsidRDefault="009571FA" w:rsidP="00777306">
      <w:pPr>
        <w:ind w:left="1260" w:hanging="540"/>
        <w:rPr>
          <w:b/>
          <w:sz w:val="22"/>
        </w:rPr>
      </w:pPr>
    </w:p>
    <w:p w:rsidR="00D20827" w:rsidRDefault="00B7413D" w:rsidP="00D20827">
      <w:pPr>
        <w:ind w:left="828" w:hanging="540"/>
        <w:rPr>
          <w:sz w:val="22"/>
        </w:rPr>
      </w:pPr>
      <w:r>
        <w:rPr>
          <w:b/>
          <w:sz w:val="22"/>
        </w:rPr>
        <w:t xml:space="preserve">         </w:t>
      </w:r>
      <w:r w:rsidR="009571FA" w:rsidRPr="00777306">
        <w:rPr>
          <w:b/>
          <w:sz w:val="22"/>
        </w:rPr>
        <w:t>Figure 3.</w:t>
      </w:r>
      <w:r w:rsidR="009571FA" w:rsidRPr="00954CE1">
        <w:rPr>
          <w:b/>
          <w:sz w:val="22"/>
        </w:rPr>
        <w:t xml:space="preserve"> </w:t>
      </w:r>
      <w:r w:rsidR="00C8762E" w:rsidRPr="00C8762E">
        <w:rPr>
          <w:sz w:val="22"/>
        </w:rPr>
        <w:t>AMRO/PAHO</w:t>
      </w:r>
      <w:r w:rsidR="00C8762E">
        <w:rPr>
          <w:b/>
          <w:sz w:val="22"/>
        </w:rPr>
        <w:t xml:space="preserve"> </w:t>
      </w:r>
      <w:r w:rsidR="00D20827">
        <w:rPr>
          <w:b/>
          <w:sz w:val="22"/>
        </w:rPr>
        <w:t>Percent and absolute s</w:t>
      </w:r>
      <w:r w:rsidR="009571FA" w:rsidRPr="00954CE1">
        <w:rPr>
          <w:sz w:val="22"/>
        </w:rPr>
        <w:t xml:space="preserve">ex distribution of all PAHO professional staff, by location </w:t>
      </w:r>
      <w:r w:rsidR="00C8762E">
        <w:rPr>
          <w:sz w:val="22"/>
        </w:rPr>
        <w:t>and grade</w:t>
      </w:r>
      <w:r w:rsidR="009571FA" w:rsidRPr="00954CE1">
        <w:rPr>
          <w:sz w:val="22"/>
        </w:rPr>
        <w:t xml:space="preserve">. December 31, 2007  </w:t>
      </w:r>
    </w:p>
    <w:p w:rsidR="00D20827" w:rsidRDefault="00D20827" w:rsidP="00777306">
      <w:pPr>
        <w:ind w:left="1260" w:hanging="540"/>
        <w:rPr>
          <w:sz w:val="22"/>
        </w:rPr>
      </w:pPr>
    </w:p>
    <w:p w:rsidR="00D20827" w:rsidRDefault="009571FA" w:rsidP="00D20827">
      <w:pPr>
        <w:numPr>
          <w:ilvl w:val="0"/>
          <w:numId w:val="63"/>
        </w:numPr>
      </w:pPr>
      <w:r w:rsidRPr="00D20827">
        <w:rPr>
          <w:sz w:val="22"/>
        </w:rPr>
        <w:t xml:space="preserve"> </w:t>
      </w:r>
      <w:r w:rsidR="00D20827">
        <w:t>Headquarters</w:t>
      </w:r>
      <w:r w:rsidR="00D20827">
        <w:tab/>
      </w:r>
      <w:r w:rsidR="00D20827">
        <w:tab/>
      </w:r>
      <w:r w:rsidR="00D20827">
        <w:tab/>
      </w:r>
      <w:r w:rsidR="00D20827">
        <w:tab/>
      </w:r>
      <w:r w:rsidR="00D20827">
        <w:tab/>
      </w:r>
      <w:r w:rsidR="00D20827">
        <w:tab/>
      </w:r>
      <w:r w:rsidR="00D20827">
        <w:tab/>
      </w:r>
      <w:r w:rsidR="00D20827">
        <w:tab/>
      </w:r>
      <w:r w:rsidR="00D20827">
        <w:tab/>
      </w:r>
      <w:r w:rsidR="00D20827">
        <w:tab/>
      </w:r>
      <w:r w:rsidR="00D20827">
        <w:tab/>
      </w:r>
      <w:r w:rsidR="00D20827">
        <w:tab/>
      </w:r>
      <w:r w:rsidR="00D20827">
        <w:tab/>
        <w:t>b. Country Offices</w:t>
      </w:r>
    </w:p>
    <w:p w:rsidR="009571FA" w:rsidRDefault="00D20827" w:rsidP="00D20827">
      <w:pPr>
        <w:ind w:left="1260" w:hanging="1350"/>
        <w:rPr>
          <w:sz w:val="22"/>
        </w:rPr>
      </w:pPr>
      <w:r>
        <w:rPr>
          <w:noProof/>
          <w:lang w:val="en-US"/>
        </w:rPr>
        <w:drawing>
          <wp:inline distT="0" distB="0" distL="0" distR="0">
            <wp:extent cx="2956560" cy="185928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9"/>
                    <a:srcRect/>
                    <a:stretch>
                      <a:fillRect/>
                    </a:stretch>
                  </pic:blipFill>
                  <pic:spPr bwMode="auto">
                    <a:xfrm>
                      <a:off x="0" y="0"/>
                      <a:ext cx="2956918" cy="1859505"/>
                    </a:xfrm>
                    <a:prstGeom prst="rect">
                      <a:avLst/>
                    </a:prstGeom>
                    <a:noFill/>
                    <a:ln w="9525">
                      <a:noFill/>
                      <a:miter lim="800000"/>
                      <a:headEnd/>
                      <a:tailEnd/>
                    </a:ln>
                  </pic:spPr>
                </pic:pic>
              </a:graphicData>
            </a:graphic>
          </wp:inline>
        </w:drawing>
      </w:r>
      <w:r>
        <w:rPr>
          <w:noProof/>
          <w:lang w:val="en-US"/>
        </w:rPr>
        <w:drawing>
          <wp:inline distT="0" distB="0" distL="0" distR="0">
            <wp:extent cx="3007640" cy="1760220"/>
            <wp:effectExtent l="0" t="0" r="0" b="0"/>
            <wp:docPr id="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0"/>
                    <a:srcRect/>
                    <a:stretch>
                      <a:fillRect/>
                    </a:stretch>
                  </pic:blipFill>
                  <pic:spPr bwMode="auto">
                    <a:xfrm>
                      <a:off x="0" y="0"/>
                      <a:ext cx="3007640" cy="1760220"/>
                    </a:xfrm>
                    <a:prstGeom prst="rect">
                      <a:avLst/>
                    </a:prstGeom>
                    <a:noFill/>
                    <a:ln w="9525">
                      <a:noFill/>
                      <a:miter lim="800000"/>
                      <a:headEnd/>
                      <a:tailEnd/>
                    </a:ln>
                  </pic:spPr>
                </pic:pic>
              </a:graphicData>
            </a:graphic>
          </wp:inline>
        </w:drawing>
      </w:r>
    </w:p>
    <w:p w:rsidR="009571FA" w:rsidRDefault="009571FA" w:rsidP="00777306">
      <w:pPr>
        <w:ind w:left="1260" w:hanging="540"/>
        <w:rPr>
          <w:szCs w:val="22"/>
        </w:rPr>
      </w:pPr>
    </w:p>
    <w:p w:rsidR="009571FA" w:rsidRDefault="009571FA" w:rsidP="00581596">
      <w:pPr>
        <w:numPr>
          <w:ilvl w:val="0"/>
          <w:numId w:val="17"/>
        </w:numPr>
        <w:contextualSpacing/>
        <w:rPr>
          <w:b/>
          <w:sz w:val="22"/>
          <w:szCs w:val="22"/>
        </w:rPr>
      </w:pPr>
      <w:r w:rsidRPr="00954CE1">
        <w:rPr>
          <w:b/>
          <w:sz w:val="22"/>
          <w:szCs w:val="22"/>
        </w:rPr>
        <w:t>Comparison with other WHO Regions</w:t>
      </w:r>
    </w:p>
    <w:p w:rsidR="009571FA" w:rsidRPr="00167211" w:rsidRDefault="009571FA" w:rsidP="00167211">
      <w:pPr>
        <w:ind w:left="1260"/>
        <w:contextualSpacing/>
        <w:rPr>
          <w:b/>
          <w:sz w:val="14"/>
          <w:szCs w:val="22"/>
        </w:rPr>
      </w:pPr>
    </w:p>
    <w:p w:rsidR="006436C3" w:rsidRDefault="009571FA" w:rsidP="00167211">
      <w:pPr>
        <w:contextualSpacing/>
        <w:rPr>
          <w:sz w:val="22"/>
          <w:szCs w:val="22"/>
        </w:rPr>
      </w:pPr>
      <w:r w:rsidRPr="00954CE1">
        <w:rPr>
          <w:sz w:val="22"/>
          <w:szCs w:val="22"/>
        </w:rPr>
        <w:t>As stated above, the interregional comparison</w:t>
      </w:r>
      <w:r w:rsidR="00CC72E6">
        <w:rPr>
          <w:sz w:val="22"/>
          <w:szCs w:val="22"/>
        </w:rPr>
        <w:t>s</w:t>
      </w:r>
      <w:r w:rsidRPr="00954CE1">
        <w:rPr>
          <w:sz w:val="22"/>
          <w:szCs w:val="22"/>
        </w:rPr>
        <w:t xml:space="preserve"> w</w:t>
      </w:r>
      <w:r w:rsidR="00CC72E6">
        <w:rPr>
          <w:sz w:val="22"/>
          <w:szCs w:val="22"/>
        </w:rPr>
        <w:t>ere</w:t>
      </w:r>
      <w:r w:rsidRPr="00954CE1">
        <w:rPr>
          <w:sz w:val="22"/>
          <w:szCs w:val="22"/>
        </w:rPr>
        <w:t xml:space="preserve"> restricted to the ‘long- term’ category, </w:t>
      </w:r>
      <w:r w:rsidR="00F71D06">
        <w:rPr>
          <w:sz w:val="22"/>
          <w:szCs w:val="22"/>
        </w:rPr>
        <w:t xml:space="preserve">due to this category </w:t>
      </w:r>
      <w:r w:rsidRPr="00954CE1">
        <w:rPr>
          <w:sz w:val="22"/>
          <w:szCs w:val="22"/>
        </w:rPr>
        <w:t xml:space="preserve">being the only </w:t>
      </w:r>
      <w:r w:rsidR="00CC72E6">
        <w:rPr>
          <w:sz w:val="22"/>
          <w:szCs w:val="22"/>
        </w:rPr>
        <w:t>common denominator for all regions and WHO/HQ</w:t>
      </w:r>
      <w:r w:rsidRPr="00954CE1">
        <w:rPr>
          <w:sz w:val="22"/>
          <w:szCs w:val="22"/>
        </w:rPr>
        <w:t xml:space="preserve">.  </w:t>
      </w:r>
    </w:p>
    <w:p w:rsidR="007C4719" w:rsidRPr="007C7B1C" w:rsidRDefault="007C4719" w:rsidP="00167211">
      <w:pPr>
        <w:contextualSpacing/>
        <w:rPr>
          <w:sz w:val="10"/>
          <w:szCs w:val="22"/>
        </w:rPr>
      </w:pPr>
    </w:p>
    <w:p w:rsidR="006436C3" w:rsidRDefault="003413A5" w:rsidP="00167211">
      <w:pPr>
        <w:contextualSpacing/>
        <w:rPr>
          <w:sz w:val="22"/>
          <w:szCs w:val="22"/>
        </w:rPr>
      </w:pPr>
      <w:r>
        <w:rPr>
          <w:sz w:val="22"/>
          <w:szCs w:val="22"/>
        </w:rPr>
        <w:t xml:space="preserve">Regarding </w:t>
      </w:r>
      <w:r w:rsidRPr="00954CE1">
        <w:rPr>
          <w:sz w:val="22"/>
          <w:szCs w:val="22"/>
        </w:rPr>
        <w:t xml:space="preserve">long-term </w:t>
      </w:r>
      <w:r w:rsidRPr="0046120A">
        <w:rPr>
          <w:b/>
          <w:sz w:val="22"/>
          <w:szCs w:val="22"/>
        </w:rPr>
        <w:t xml:space="preserve">professional </w:t>
      </w:r>
      <w:r>
        <w:rPr>
          <w:sz w:val="22"/>
          <w:szCs w:val="22"/>
        </w:rPr>
        <w:t xml:space="preserve">staff, women’s share was </w:t>
      </w:r>
      <w:r w:rsidRPr="00954CE1">
        <w:rPr>
          <w:b/>
          <w:sz w:val="22"/>
          <w:szCs w:val="22"/>
        </w:rPr>
        <w:t>39.5%</w:t>
      </w:r>
      <w:r w:rsidRPr="00954CE1">
        <w:rPr>
          <w:sz w:val="22"/>
          <w:szCs w:val="22"/>
        </w:rPr>
        <w:t xml:space="preserve"> </w:t>
      </w:r>
      <w:r>
        <w:rPr>
          <w:sz w:val="22"/>
          <w:szCs w:val="22"/>
        </w:rPr>
        <w:t xml:space="preserve">in </w:t>
      </w:r>
      <w:r w:rsidR="00CC72E6">
        <w:rPr>
          <w:sz w:val="22"/>
          <w:szCs w:val="22"/>
        </w:rPr>
        <w:t>PAHO</w:t>
      </w:r>
      <w:r>
        <w:rPr>
          <w:sz w:val="22"/>
          <w:szCs w:val="22"/>
        </w:rPr>
        <w:t xml:space="preserve">, making </w:t>
      </w:r>
      <w:r w:rsidR="00CC72E6">
        <w:rPr>
          <w:sz w:val="22"/>
          <w:szCs w:val="22"/>
        </w:rPr>
        <w:t>this Region</w:t>
      </w:r>
      <w:r>
        <w:rPr>
          <w:sz w:val="22"/>
          <w:szCs w:val="22"/>
        </w:rPr>
        <w:t xml:space="preserve"> </w:t>
      </w:r>
      <w:r w:rsidR="009571FA" w:rsidRPr="003413A5">
        <w:rPr>
          <w:sz w:val="22"/>
          <w:szCs w:val="22"/>
        </w:rPr>
        <w:t xml:space="preserve">rank third </w:t>
      </w:r>
      <w:r w:rsidR="009571FA" w:rsidRPr="00954CE1">
        <w:rPr>
          <w:sz w:val="22"/>
          <w:szCs w:val="22"/>
        </w:rPr>
        <w:t>to EURO</w:t>
      </w:r>
      <w:r w:rsidR="00B94DF9">
        <w:rPr>
          <w:sz w:val="22"/>
          <w:szCs w:val="22"/>
        </w:rPr>
        <w:t xml:space="preserve"> (47%)</w:t>
      </w:r>
      <w:r w:rsidR="009571FA" w:rsidRPr="00954CE1">
        <w:rPr>
          <w:sz w:val="22"/>
          <w:szCs w:val="22"/>
        </w:rPr>
        <w:t xml:space="preserve"> and WHO/HQ</w:t>
      </w:r>
      <w:r>
        <w:rPr>
          <w:sz w:val="22"/>
          <w:szCs w:val="22"/>
        </w:rPr>
        <w:t xml:space="preserve"> </w:t>
      </w:r>
      <w:r w:rsidR="00B94DF9">
        <w:rPr>
          <w:sz w:val="22"/>
          <w:szCs w:val="22"/>
        </w:rPr>
        <w:t>(</w:t>
      </w:r>
      <w:r w:rsidR="009571FA" w:rsidRPr="0046120A">
        <w:rPr>
          <w:sz w:val="22"/>
          <w:szCs w:val="22"/>
        </w:rPr>
        <w:t>44%</w:t>
      </w:r>
      <w:r w:rsidR="00B94DF9">
        <w:rPr>
          <w:sz w:val="22"/>
          <w:szCs w:val="22"/>
        </w:rPr>
        <w:t>).</w:t>
      </w:r>
      <w:r w:rsidR="009571FA" w:rsidRPr="00954CE1">
        <w:rPr>
          <w:sz w:val="22"/>
          <w:szCs w:val="22"/>
        </w:rPr>
        <w:t xml:space="preserve">  </w:t>
      </w:r>
      <w:r w:rsidR="007C4719">
        <w:rPr>
          <w:sz w:val="22"/>
          <w:szCs w:val="22"/>
        </w:rPr>
        <w:t>PAHO’s third place derives from its comparative</w:t>
      </w:r>
      <w:r w:rsidR="00214392">
        <w:rPr>
          <w:sz w:val="22"/>
          <w:szCs w:val="22"/>
        </w:rPr>
        <w:t>ly</w:t>
      </w:r>
      <w:r w:rsidR="007C4719">
        <w:rPr>
          <w:sz w:val="22"/>
          <w:szCs w:val="22"/>
        </w:rPr>
        <w:t xml:space="preserve"> low</w:t>
      </w:r>
      <w:r w:rsidR="00214392">
        <w:rPr>
          <w:sz w:val="22"/>
          <w:szCs w:val="22"/>
        </w:rPr>
        <w:t>er</w:t>
      </w:r>
      <w:r w:rsidR="007C4719">
        <w:rPr>
          <w:sz w:val="22"/>
          <w:szCs w:val="22"/>
        </w:rPr>
        <w:t xml:space="preserve"> ranking with respect to the P4 grade</w:t>
      </w:r>
      <w:r w:rsidR="007C4719" w:rsidRPr="00571D4C">
        <w:rPr>
          <w:sz w:val="22"/>
          <w:szCs w:val="22"/>
        </w:rPr>
        <w:t xml:space="preserve">. In fact, </w:t>
      </w:r>
      <w:r w:rsidR="00214392" w:rsidRPr="00571D4C">
        <w:rPr>
          <w:sz w:val="22"/>
          <w:szCs w:val="22"/>
        </w:rPr>
        <w:t xml:space="preserve">PAHO ranks first </w:t>
      </w:r>
      <w:r w:rsidR="008B046F">
        <w:rPr>
          <w:sz w:val="22"/>
          <w:szCs w:val="22"/>
        </w:rPr>
        <w:t xml:space="preserve">among </w:t>
      </w:r>
      <w:r w:rsidR="00571D4C" w:rsidRPr="00571D4C">
        <w:rPr>
          <w:sz w:val="22"/>
          <w:szCs w:val="22"/>
        </w:rPr>
        <w:t xml:space="preserve">all WHO </w:t>
      </w:r>
      <w:r w:rsidR="008B046F">
        <w:rPr>
          <w:sz w:val="22"/>
          <w:szCs w:val="22"/>
        </w:rPr>
        <w:t xml:space="preserve">Regions and WHO HQ </w:t>
      </w:r>
      <w:r w:rsidR="00571D4C" w:rsidRPr="00571D4C">
        <w:rPr>
          <w:sz w:val="22"/>
          <w:szCs w:val="22"/>
        </w:rPr>
        <w:t xml:space="preserve">in </w:t>
      </w:r>
      <w:r w:rsidR="00214392" w:rsidRPr="00571D4C">
        <w:rPr>
          <w:sz w:val="22"/>
          <w:szCs w:val="22"/>
        </w:rPr>
        <w:t xml:space="preserve">terms of </w:t>
      </w:r>
      <w:r w:rsidR="007C4719" w:rsidRPr="00571D4C">
        <w:rPr>
          <w:sz w:val="22"/>
          <w:szCs w:val="22"/>
        </w:rPr>
        <w:t xml:space="preserve">women’s share </w:t>
      </w:r>
      <w:r w:rsidR="00AA5555" w:rsidRPr="00571D4C">
        <w:rPr>
          <w:sz w:val="22"/>
          <w:szCs w:val="22"/>
        </w:rPr>
        <w:t xml:space="preserve">among </w:t>
      </w:r>
      <w:r w:rsidR="00571D4C" w:rsidRPr="00571D4C">
        <w:rPr>
          <w:sz w:val="22"/>
          <w:szCs w:val="22"/>
        </w:rPr>
        <w:t xml:space="preserve">the higher grades of </w:t>
      </w:r>
      <w:r w:rsidR="007C4719" w:rsidRPr="00571D4C">
        <w:rPr>
          <w:sz w:val="22"/>
          <w:szCs w:val="22"/>
        </w:rPr>
        <w:t>P</w:t>
      </w:r>
      <w:r w:rsidR="00AA5555" w:rsidRPr="00571D4C">
        <w:rPr>
          <w:sz w:val="22"/>
          <w:szCs w:val="22"/>
        </w:rPr>
        <w:t>5, P6,</w:t>
      </w:r>
      <w:r w:rsidR="007C4719" w:rsidRPr="00571D4C">
        <w:rPr>
          <w:sz w:val="22"/>
          <w:szCs w:val="22"/>
        </w:rPr>
        <w:t xml:space="preserve"> </w:t>
      </w:r>
      <w:r w:rsidR="00B94DF9" w:rsidRPr="00571D4C">
        <w:rPr>
          <w:sz w:val="22"/>
          <w:szCs w:val="22"/>
        </w:rPr>
        <w:t>D</w:t>
      </w:r>
      <w:r w:rsidR="00AA5555" w:rsidRPr="00571D4C">
        <w:rPr>
          <w:sz w:val="22"/>
          <w:szCs w:val="22"/>
        </w:rPr>
        <w:t xml:space="preserve"> and UG</w:t>
      </w:r>
      <w:r w:rsidR="00571D4C" w:rsidRPr="00571D4C">
        <w:rPr>
          <w:sz w:val="22"/>
          <w:szCs w:val="22"/>
        </w:rPr>
        <w:t>;</w:t>
      </w:r>
      <w:r w:rsidR="007C4719" w:rsidRPr="00571D4C">
        <w:rPr>
          <w:sz w:val="22"/>
          <w:szCs w:val="22"/>
        </w:rPr>
        <w:t xml:space="preserve"> </w:t>
      </w:r>
      <w:r w:rsidR="00AA5555" w:rsidRPr="00571D4C">
        <w:rPr>
          <w:sz w:val="22"/>
          <w:szCs w:val="22"/>
        </w:rPr>
        <w:t xml:space="preserve">but </w:t>
      </w:r>
      <w:r w:rsidR="00571D4C" w:rsidRPr="00571D4C">
        <w:rPr>
          <w:sz w:val="22"/>
          <w:szCs w:val="22"/>
        </w:rPr>
        <w:t>when it came to P4,</w:t>
      </w:r>
      <w:r w:rsidR="00AA5555" w:rsidRPr="00571D4C">
        <w:rPr>
          <w:sz w:val="22"/>
          <w:szCs w:val="22"/>
        </w:rPr>
        <w:t xml:space="preserve"> </w:t>
      </w:r>
      <w:r w:rsidR="00214392" w:rsidRPr="00571D4C">
        <w:rPr>
          <w:sz w:val="22"/>
          <w:szCs w:val="22"/>
        </w:rPr>
        <w:t xml:space="preserve">PAHO’s percentage of 34, </w:t>
      </w:r>
      <w:r w:rsidR="00571D4C" w:rsidRPr="00571D4C">
        <w:rPr>
          <w:sz w:val="22"/>
          <w:szCs w:val="22"/>
        </w:rPr>
        <w:t xml:space="preserve">fell </w:t>
      </w:r>
      <w:r w:rsidR="00214392" w:rsidRPr="00571D4C">
        <w:rPr>
          <w:sz w:val="22"/>
          <w:szCs w:val="22"/>
        </w:rPr>
        <w:t xml:space="preserve">below the </w:t>
      </w:r>
      <w:r w:rsidR="00571D4C" w:rsidRPr="00571D4C">
        <w:rPr>
          <w:sz w:val="22"/>
          <w:szCs w:val="22"/>
        </w:rPr>
        <w:t>WHO overall average of 37, placing</w:t>
      </w:r>
      <w:r w:rsidR="00214392">
        <w:rPr>
          <w:sz w:val="22"/>
          <w:szCs w:val="22"/>
        </w:rPr>
        <w:t xml:space="preserve"> the Region in fourth place after WHO/HQ (56), EURO (45), and EMRO (40). </w:t>
      </w:r>
      <w:r w:rsidR="007C7B1C">
        <w:rPr>
          <w:sz w:val="22"/>
          <w:szCs w:val="22"/>
        </w:rPr>
        <w:t xml:space="preserve"> </w:t>
      </w:r>
    </w:p>
    <w:p w:rsidR="00571D4C" w:rsidRPr="00571D4C" w:rsidRDefault="00571D4C" w:rsidP="00167211">
      <w:pPr>
        <w:contextualSpacing/>
        <w:rPr>
          <w:sz w:val="14"/>
          <w:szCs w:val="22"/>
        </w:rPr>
      </w:pPr>
    </w:p>
    <w:p w:rsidR="009571FA" w:rsidRDefault="002E5AA6" w:rsidP="00167211">
      <w:pPr>
        <w:contextualSpacing/>
        <w:rPr>
          <w:sz w:val="22"/>
          <w:szCs w:val="22"/>
        </w:rPr>
      </w:pPr>
      <w:r>
        <w:rPr>
          <w:sz w:val="22"/>
          <w:szCs w:val="22"/>
        </w:rPr>
        <w:t xml:space="preserve">Among </w:t>
      </w:r>
      <w:r w:rsidR="0046120A">
        <w:rPr>
          <w:sz w:val="22"/>
          <w:szCs w:val="22"/>
        </w:rPr>
        <w:t xml:space="preserve">long-term </w:t>
      </w:r>
      <w:r w:rsidRPr="0046120A">
        <w:rPr>
          <w:b/>
          <w:sz w:val="22"/>
          <w:szCs w:val="22"/>
        </w:rPr>
        <w:t>National Professional Officers</w:t>
      </w:r>
      <w:r w:rsidR="0046120A" w:rsidRPr="0046120A">
        <w:rPr>
          <w:b/>
          <w:sz w:val="22"/>
          <w:szCs w:val="22"/>
        </w:rPr>
        <w:t>,</w:t>
      </w:r>
      <w:r w:rsidR="0046120A">
        <w:rPr>
          <w:sz w:val="22"/>
          <w:szCs w:val="22"/>
        </w:rPr>
        <w:t xml:space="preserve"> PAHO</w:t>
      </w:r>
      <w:r w:rsidR="00154BB7">
        <w:rPr>
          <w:sz w:val="22"/>
          <w:szCs w:val="22"/>
        </w:rPr>
        <w:t xml:space="preserve"> </w:t>
      </w:r>
      <w:r w:rsidR="00CC72E6">
        <w:rPr>
          <w:sz w:val="22"/>
          <w:szCs w:val="22"/>
        </w:rPr>
        <w:t xml:space="preserve">amply </w:t>
      </w:r>
      <w:r w:rsidR="00154BB7">
        <w:rPr>
          <w:sz w:val="22"/>
          <w:szCs w:val="22"/>
        </w:rPr>
        <w:t>surpassed the sex- parity level with a proportion of 70% of women, the highest of all Regions</w:t>
      </w:r>
      <w:r w:rsidR="00CC72E6">
        <w:rPr>
          <w:sz w:val="22"/>
          <w:szCs w:val="22"/>
        </w:rPr>
        <w:t xml:space="preserve"> in that category</w:t>
      </w:r>
      <w:r w:rsidR="00154BB7">
        <w:rPr>
          <w:sz w:val="22"/>
          <w:szCs w:val="22"/>
        </w:rPr>
        <w:t xml:space="preserve">, well above the overall WHO figure of 38%. </w:t>
      </w:r>
      <w:r w:rsidR="0046120A">
        <w:rPr>
          <w:sz w:val="22"/>
          <w:szCs w:val="22"/>
        </w:rPr>
        <w:t xml:space="preserve"> And within the long-term</w:t>
      </w:r>
      <w:r w:rsidR="0046120A" w:rsidRPr="0046120A">
        <w:rPr>
          <w:b/>
          <w:sz w:val="22"/>
          <w:szCs w:val="22"/>
        </w:rPr>
        <w:t xml:space="preserve"> G</w:t>
      </w:r>
      <w:r w:rsidR="0046120A">
        <w:rPr>
          <w:b/>
          <w:sz w:val="22"/>
          <w:szCs w:val="22"/>
        </w:rPr>
        <w:t>eneral Service</w:t>
      </w:r>
      <w:r w:rsidR="0046120A">
        <w:rPr>
          <w:sz w:val="22"/>
          <w:szCs w:val="22"/>
        </w:rPr>
        <w:t xml:space="preserve"> category, women</w:t>
      </w:r>
      <w:r w:rsidR="00154BB7">
        <w:rPr>
          <w:sz w:val="22"/>
          <w:szCs w:val="22"/>
        </w:rPr>
        <w:t xml:space="preserve"> </w:t>
      </w:r>
      <w:r w:rsidR="00CC72E6">
        <w:rPr>
          <w:sz w:val="22"/>
          <w:szCs w:val="22"/>
        </w:rPr>
        <w:t>were</w:t>
      </w:r>
      <w:r w:rsidR="00154BB7">
        <w:rPr>
          <w:sz w:val="22"/>
          <w:szCs w:val="22"/>
        </w:rPr>
        <w:t xml:space="preserve"> overwhelmingly over represented with a </w:t>
      </w:r>
      <w:r w:rsidR="0046120A">
        <w:rPr>
          <w:sz w:val="22"/>
          <w:szCs w:val="22"/>
        </w:rPr>
        <w:t xml:space="preserve">share </w:t>
      </w:r>
      <w:r w:rsidR="00154BB7">
        <w:rPr>
          <w:sz w:val="22"/>
          <w:szCs w:val="22"/>
        </w:rPr>
        <w:t>of</w:t>
      </w:r>
      <w:r w:rsidR="0046120A">
        <w:rPr>
          <w:sz w:val="22"/>
          <w:szCs w:val="22"/>
        </w:rPr>
        <w:t xml:space="preserve"> 80%, also the largest of all WHO Regions, far above the overall </w:t>
      </w:r>
      <w:r w:rsidR="003413A5">
        <w:rPr>
          <w:sz w:val="22"/>
          <w:szCs w:val="22"/>
        </w:rPr>
        <w:t xml:space="preserve">WHO </w:t>
      </w:r>
      <w:r w:rsidR="0046120A">
        <w:rPr>
          <w:sz w:val="22"/>
          <w:szCs w:val="22"/>
        </w:rPr>
        <w:t>percentage of 38.</w:t>
      </w:r>
      <w:r>
        <w:rPr>
          <w:sz w:val="22"/>
          <w:szCs w:val="22"/>
        </w:rPr>
        <w:t xml:space="preserve"> </w:t>
      </w:r>
    </w:p>
    <w:p w:rsidR="009571FA" w:rsidRPr="00167211" w:rsidRDefault="009571FA" w:rsidP="00167211">
      <w:pPr>
        <w:contextualSpacing/>
        <w:rPr>
          <w:szCs w:val="22"/>
        </w:rPr>
      </w:pPr>
    </w:p>
    <w:p w:rsidR="009571FA" w:rsidRDefault="009571FA" w:rsidP="00581596">
      <w:pPr>
        <w:pStyle w:val="ListParagraph"/>
        <w:numPr>
          <w:ilvl w:val="0"/>
          <w:numId w:val="17"/>
        </w:numPr>
        <w:rPr>
          <w:b/>
          <w:sz w:val="22"/>
          <w:szCs w:val="22"/>
        </w:rPr>
      </w:pPr>
      <w:r w:rsidRPr="00954CE1">
        <w:rPr>
          <w:b/>
          <w:sz w:val="22"/>
          <w:szCs w:val="22"/>
        </w:rPr>
        <w:t xml:space="preserve">Changes between 2006 and 2007 </w:t>
      </w:r>
    </w:p>
    <w:p w:rsidR="009571FA" w:rsidRPr="00167211" w:rsidRDefault="009571FA" w:rsidP="00167211">
      <w:pPr>
        <w:pStyle w:val="ListParagraph"/>
        <w:ind w:left="1260"/>
        <w:rPr>
          <w:b/>
          <w:sz w:val="10"/>
          <w:szCs w:val="22"/>
        </w:rPr>
      </w:pPr>
    </w:p>
    <w:p w:rsidR="009571FA" w:rsidRDefault="009571FA" w:rsidP="00167211">
      <w:pPr>
        <w:contextualSpacing/>
        <w:rPr>
          <w:sz w:val="22"/>
          <w:szCs w:val="22"/>
        </w:rPr>
      </w:pPr>
      <w:r w:rsidRPr="00954CE1">
        <w:rPr>
          <w:sz w:val="22"/>
          <w:szCs w:val="22"/>
        </w:rPr>
        <w:t xml:space="preserve">Data in Figure 4 shows that between December 31 of 2006 and December 31 of 2007 there was an increase of women’s participation at the ungraded Director level (from 2 to all 3 posts). In the remaining professional grades no other gain was registered but rather a loss in absolute and proportional terms at the total level, </w:t>
      </w:r>
      <w:r w:rsidR="00B94DF9">
        <w:rPr>
          <w:sz w:val="22"/>
          <w:szCs w:val="22"/>
        </w:rPr>
        <w:t xml:space="preserve">more </w:t>
      </w:r>
      <w:r w:rsidRPr="00954CE1">
        <w:rPr>
          <w:sz w:val="22"/>
          <w:szCs w:val="22"/>
        </w:rPr>
        <w:t xml:space="preserve">pronounced at P3 and P6/D1 levels, but also noticeable at P4 and P1 positions.  Given the small size of the numbers, both absolute and proportional changes are depicted in Figure 4.  </w:t>
      </w:r>
    </w:p>
    <w:p w:rsidR="009571FA" w:rsidRPr="00954CE1" w:rsidRDefault="009571FA" w:rsidP="00954CE1">
      <w:pPr>
        <w:spacing w:after="200" w:line="276" w:lineRule="auto"/>
        <w:ind w:left="1440"/>
        <w:rPr>
          <w:szCs w:val="22"/>
        </w:rPr>
      </w:pPr>
      <w:r w:rsidRPr="006B45DD">
        <w:rPr>
          <w:b/>
          <w:sz w:val="22"/>
          <w:szCs w:val="22"/>
        </w:rPr>
        <w:t xml:space="preserve">Figure 4.  </w:t>
      </w:r>
      <w:r w:rsidRPr="00C8762E">
        <w:rPr>
          <w:szCs w:val="22"/>
        </w:rPr>
        <w:t>AMRO/PAHO:</w:t>
      </w:r>
      <w:r>
        <w:rPr>
          <w:b/>
          <w:szCs w:val="22"/>
        </w:rPr>
        <w:t xml:space="preserve"> </w:t>
      </w:r>
      <w:r>
        <w:rPr>
          <w:szCs w:val="22"/>
        </w:rPr>
        <w:t xml:space="preserve">Changes in the number and proportion of                       </w:t>
      </w:r>
      <w:r w:rsidRPr="00C8762E">
        <w:rPr>
          <w:b/>
          <w:szCs w:val="22"/>
        </w:rPr>
        <w:t>professional</w:t>
      </w:r>
      <w:r>
        <w:rPr>
          <w:szCs w:val="22"/>
        </w:rPr>
        <w:t xml:space="preserve"> </w:t>
      </w:r>
      <w:r w:rsidR="006F643D">
        <w:rPr>
          <w:szCs w:val="22"/>
        </w:rPr>
        <w:t>(P</w:t>
      </w:r>
      <w:r>
        <w:rPr>
          <w:szCs w:val="22"/>
        </w:rPr>
        <w:t xml:space="preserve">) women between 12/31/2006 &amp; 12/31/2007, by grade.                  </w:t>
      </w:r>
      <w:r w:rsidR="00BD4C31" w:rsidRPr="00BD4C31">
        <w:pict>
          <v:group id="_x0000_s1709" editas="canvas" style="width:306pt;height:195.75pt;mso-position-horizontal-relative:char;mso-position-vertical-relative:line" coordsize="6120,3915">
            <o:lock v:ext="edit" aspectratio="t"/>
            <v:shape id="_x0000_s1710" type="#_x0000_t75" style="position:absolute;width:6120;height:3915" o:preferrelative="f">
              <v:fill o:detectmouseclick="t"/>
              <v:path o:extrusionok="t" o:connecttype="none"/>
            </v:shape>
            <v:rect id="_x0000_s1711" style="position:absolute;left:62;top:112;width:5996;height:3803" stroked="f"/>
            <v:rect id="_x0000_s1712" style="position:absolute;left:535;top:360;width:5400;height:2623" stroked="f"/>
            <v:line id="_x0000_s1713" style="position:absolute" from="534,2548" to="5934,2549" strokeweight="0">
              <v:stroke dashstyle="1 1"/>
            </v:line>
            <v:line id="_x0000_s1714" style="position:absolute" from="534,2026" to="5934,2027" strokeweight="0">
              <v:stroke dashstyle="1 1"/>
            </v:line>
            <v:line id="_x0000_s1715" style="position:absolute" from="534,1491" to="5934,1492" strokeweight="0">
              <v:stroke dashstyle="1 1"/>
            </v:line>
            <v:line id="_x0000_s1716" style="position:absolute" from="534,969" to="5934,970" strokeweight="0">
              <v:stroke dashstyle="1 1"/>
            </v:line>
            <v:line id="_x0000_s1717" style="position:absolute" from="534,447" to="5934,448" strokeweight="0">
              <v:stroke dashstyle="1 1"/>
            </v:line>
            <v:rect id="_x0000_s1718" style="position:absolute;left:534;top:447;width:5400;height:2623" filled="f" strokecolor="gray" strokeweight="33e-5mm"/>
            <v:rect id="_x0000_s1719" style="position:absolute;left:658;top:2759;width:211;height:311" fillcolor="#ffc" strokeweight="33e-5mm"/>
            <v:rect id="_x0000_s1720" style="position:absolute;left:1328;top:2287;width:211;height:783" fillcolor="#ffc" strokeweight="33e-5mm"/>
            <v:rect id="_x0000_s1721" style="position:absolute;left:2011;top:2026;width:211;height:1044" fillcolor="#ffc" strokeweight="33e-5mm"/>
            <v:rect id="_x0000_s1722" style="position:absolute;left:2681;top:820;width:211;height:2250" fillcolor="#ffc" strokeweight="33e-5mm"/>
            <v:rect id="_x0000_s1723" style="position:absolute;left:3364;top:2361;width:211;height:709" fillcolor="#ffc" strokeweight="33e-5mm"/>
            <v:rect id="_x0000_s1724" style="position:absolute;left:4035;top:2672;width:211;height:398" fillcolor="#ffc" strokeweight="33e-5mm"/>
            <v:rect id="_x0000_s1725" style="position:absolute;left:5388;top:3020;width:211;height:50" fillcolor="#ffc" strokeweight="33e-5mm"/>
            <v:rect id="_x0000_s1726" style="position:absolute;left:869;top:2883;width:199;height:187" fillcolor="teal" strokeweight="33e-5mm"/>
            <v:rect id="_x0000_s1727" style="position:absolute;left:1539;top:2312;width:211;height:758" fillcolor="teal" strokeweight="33e-5mm"/>
            <v:rect id="_x0000_s1728" style="position:absolute;left:2222;top:2262;width:199;height:808" fillcolor="teal" strokeweight="33e-5mm"/>
            <v:rect id="_x0000_s1729" style="position:absolute;left:2892;top:1082;width:211;height:1989" fillcolor="teal" strokeweight="33e-5mm"/>
            <v:rect id="_x0000_s1730" style="position:absolute;left:3575;top:2361;width:199;height:709" fillcolor="teal" strokeweight="33e-5mm"/>
            <v:rect id="_x0000_s1731" style="position:absolute;left:4246;top:2697;width:198;height:373" fillcolor="teal" strokeweight="33e-5mm"/>
            <v:rect id="_x0000_s1732" style="position:absolute;left:5599;top:2995;width:198;height:75" fillcolor="teal" strokeweight="33e-5mm"/>
            <v:line id="_x0000_s1733" style="position:absolute" from="534,447" to="535,3070" strokeweight="0"/>
            <v:line id="_x0000_s1734" style="position:absolute" from="497,3070" to="534,3071" strokeweight="0"/>
            <v:line id="_x0000_s1735" style="position:absolute" from="497,2548" to="534,2549" strokeweight="0"/>
            <v:line id="_x0000_s1736" style="position:absolute" from="497,2026" to="534,2027" strokeweight="0"/>
            <v:line id="_x0000_s1737" style="position:absolute" from="497,1491" to="534,1492" strokeweight="0"/>
            <v:line id="_x0000_s1738" style="position:absolute" from="497,969" to="534,970" strokeweight="0"/>
            <v:line id="_x0000_s1739" style="position:absolute" from="497,447" to="534,448" strokeweight="0"/>
            <v:line id="_x0000_s1740" style="position:absolute" from="534,3070" to="5934,3071" strokeweight="0"/>
            <v:line id="_x0000_s1741" style="position:absolute;flip:y" from="534,3070" to="535,3107" strokeweight="0"/>
            <v:line id="_x0000_s1742" style="position:absolute;flip:y" from="1204,3070" to="1205,3107" strokeweight="0"/>
            <v:line id="_x0000_s1743" style="position:absolute;flip:y" from="1887,3070" to="1888,3107" strokeweight="0"/>
            <v:line id="_x0000_s1744" style="position:absolute;flip:y" from="2557,3070" to="2558,3107" strokeweight="0"/>
            <v:line id="_x0000_s1745" style="position:absolute;flip:y" from="3240,3070" to="3241,3107" strokeweight="0"/>
            <v:line id="_x0000_s1746" style="position:absolute;flip:y" from="3910,3070" to="3911,3107" strokeweight="0"/>
            <v:line id="_x0000_s1747" style="position:absolute;flip:y" from="4581,3070" to="4582,3107" strokeweight="0"/>
            <v:line id="_x0000_s1748" style="position:absolute;flip:y" from="5264,3070" to="5265,3107" strokeweight="0"/>
            <v:line id="_x0000_s1749" style="position:absolute;flip:y" from="5934,3070" to="5935,3107" strokeweight="0"/>
            <v:rect id="_x0000_s1750" style="position:absolute;left:348;top:99;width:3698;height:230;mso-wrap-style:none" filled="f" stroked="f">
              <v:textbox style="mso-next-textbox:#_x0000_s1750;mso-fit-shape-to-text:t" inset="0,0,0,0">
                <w:txbxContent>
                  <w:p w:rsidR="00D345DF" w:rsidRDefault="00D345DF" w:rsidP="00581596">
                    <w:pPr>
                      <w:numPr>
                        <w:ilvl w:val="0"/>
                        <w:numId w:val="46"/>
                      </w:numPr>
                      <w:rPr>
                        <w:sz w:val="32"/>
                      </w:rPr>
                    </w:pPr>
                    <w:r>
                      <w:rPr>
                        <w:rFonts w:cs="Arial"/>
                        <w:color w:val="000000"/>
                        <w:szCs w:val="14"/>
                      </w:rPr>
                      <w:t xml:space="preserve">Number of women </w:t>
                    </w:r>
                  </w:p>
                </w:txbxContent>
              </v:textbox>
            </v:rect>
            <v:rect id="_x0000_s1751" style="position:absolute;left:683;top:2511;width:156;height:161;mso-wrap-style:none" filled="f" stroked="f">
              <v:textbox style="mso-next-textbox:#_x0000_s1751;mso-fit-shape-to-text:t" inset="0,0,0,0">
                <w:txbxContent>
                  <w:p w:rsidR="00D345DF" w:rsidRDefault="00D345DF" w:rsidP="00573033">
                    <w:r>
                      <w:rPr>
                        <w:rFonts w:cs="Arial"/>
                        <w:color w:val="000000"/>
                        <w:sz w:val="14"/>
                        <w:szCs w:val="14"/>
                      </w:rPr>
                      <w:t>12</w:t>
                    </w:r>
                  </w:p>
                </w:txbxContent>
              </v:textbox>
            </v:rect>
            <v:rect id="_x0000_s1752" style="position:absolute;left:1353;top:2038;width:156;height:161;mso-wrap-style:none" filled="f" stroked="f">
              <v:textbox style="mso-next-textbox:#_x0000_s1752;mso-fit-shape-to-text:t" inset="0,0,0,0">
                <w:txbxContent>
                  <w:p w:rsidR="00D345DF" w:rsidRDefault="00D345DF" w:rsidP="00573033">
                    <w:r>
                      <w:rPr>
                        <w:rFonts w:cs="Arial"/>
                        <w:color w:val="000000"/>
                        <w:sz w:val="14"/>
                        <w:szCs w:val="14"/>
                      </w:rPr>
                      <w:t>30</w:t>
                    </w:r>
                  </w:p>
                </w:txbxContent>
              </v:textbox>
            </v:rect>
            <v:rect id="_x0000_s1753" style="position:absolute;left:2036;top:1777;width:156;height:161;mso-wrap-style:none" filled="f" stroked="f">
              <v:textbox style="mso-next-textbox:#_x0000_s1753;mso-fit-shape-to-text:t" inset="0,0,0,0">
                <w:txbxContent>
                  <w:p w:rsidR="00D345DF" w:rsidRDefault="00D345DF" w:rsidP="00573033">
                    <w:r>
                      <w:rPr>
                        <w:rFonts w:cs="Arial"/>
                        <w:color w:val="000000"/>
                        <w:sz w:val="14"/>
                        <w:szCs w:val="14"/>
                      </w:rPr>
                      <w:t>40</w:t>
                    </w:r>
                  </w:p>
                </w:txbxContent>
              </v:textbox>
            </v:rect>
            <v:rect id="_x0000_s1754" style="position:absolute;left:2706;top:572;width:156;height:161;mso-wrap-style:none" filled="f" stroked="f">
              <v:textbox style="mso-next-textbox:#_x0000_s1754;mso-fit-shape-to-text:t" inset="0,0,0,0">
                <w:txbxContent>
                  <w:p w:rsidR="00D345DF" w:rsidRDefault="00D345DF" w:rsidP="00573033">
                    <w:r>
                      <w:rPr>
                        <w:rFonts w:cs="Arial"/>
                        <w:color w:val="000000"/>
                        <w:sz w:val="14"/>
                        <w:szCs w:val="14"/>
                      </w:rPr>
                      <w:t>86</w:t>
                    </w:r>
                  </w:p>
                </w:txbxContent>
              </v:textbox>
            </v:rect>
            <v:rect id="_x0000_s1755" style="position:absolute;left:3389;top:2113;width:156;height:161;mso-wrap-style:none" filled="f" stroked="f">
              <v:textbox style="mso-next-textbox:#_x0000_s1755;mso-fit-shape-to-text:t" inset="0,0,0,0">
                <w:txbxContent>
                  <w:p w:rsidR="00D345DF" w:rsidRDefault="00D345DF" w:rsidP="00573033">
                    <w:r>
                      <w:rPr>
                        <w:rFonts w:cs="Arial"/>
                        <w:color w:val="000000"/>
                        <w:sz w:val="14"/>
                        <w:szCs w:val="14"/>
                      </w:rPr>
                      <w:t>27</w:t>
                    </w:r>
                  </w:p>
                </w:txbxContent>
              </v:textbox>
            </v:rect>
            <v:rect id="_x0000_s1756" style="position:absolute;left:4059;top:2424;width:156;height:161;mso-wrap-style:none" filled="f" stroked="f">
              <v:textbox style="mso-next-textbox:#_x0000_s1756;mso-fit-shape-to-text:t" inset="0,0,0,0">
                <w:txbxContent>
                  <w:p w:rsidR="00D345DF" w:rsidRDefault="00D345DF" w:rsidP="00573033">
                    <w:r>
                      <w:rPr>
                        <w:rFonts w:cs="Arial"/>
                        <w:color w:val="000000"/>
                        <w:sz w:val="14"/>
                        <w:szCs w:val="14"/>
                      </w:rPr>
                      <w:t>15</w:t>
                    </w:r>
                  </w:p>
                </w:txbxContent>
              </v:textbox>
            </v:rect>
            <v:rect id="_x0000_s1757" style="position:absolute;left:4767;top:2821;width:78;height:161;mso-wrap-style:none" filled="f" stroked="f">
              <v:textbox style="mso-next-textbox:#_x0000_s1757;mso-fit-shape-to-text:t" inset="0,0,0,0">
                <w:txbxContent>
                  <w:p w:rsidR="00D345DF" w:rsidRDefault="00D345DF" w:rsidP="00573033">
                    <w:r>
                      <w:rPr>
                        <w:rFonts w:cs="Arial"/>
                        <w:color w:val="000000"/>
                        <w:sz w:val="14"/>
                        <w:szCs w:val="14"/>
                      </w:rPr>
                      <w:t>0</w:t>
                    </w:r>
                  </w:p>
                </w:txbxContent>
              </v:textbox>
            </v:rect>
            <v:rect id="_x0000_s1758" style="position:absolute;left:5450;top:2772;width:78;height:161;mso-wrap-style:none" filled="f" stroked="f">
              <v:textbox style="mso-next-textbox:#_x0000_s1758;mso-fit-shape-to-text:t" inset="0,0,0,0">
                <w:txbxContent>
                  <w:p w:rsidR="00D345DF" w:rsidRDefault="00D345DF" w:rsidP="00573033">
                    <w:r>
                      <w:rPr>
                        <w:rFonts w:cs="Arial"/>
                        <w:color w:val="000000"/>
                        <w:sz w:val="14"/>
                        <w:szCs w:val="14"/>
                      </w:rPr>
                      <w:t>2</w:t>
                    </w:r>
                  </w:p>
                </w:txbxContent>
              </v:textbox>
            </v:rect>
            <v:rect id="_x0000_s1759" style="position:absolute;left:931;top:2635;width:78;height:161;mso-wrap-style:none" filled="f" stroked="f">
              <v:textbox style="mso-next-textbox:#_x0000_s1759;mso-fit-shape-to-text:t" inset="0,0,0,0">
                <w:txbxContent>
                  <w:p w:rsidR="00D345DF" w:rsidRDefault="00D345DF" w:rsidP="00573033">
                    <w:r>
                      <w:rPr>
                        <w:rFonts w:cs="Arial"/>
                        <w:color w:val="000000"/>
                        <w:sz w:val="14"/>
                        <w:szCs w:val="14"/>
                      </w:rPr>
                      <w:t>7</w:t>
                    </w:r>
                  </w:p>
                </w:txbxContent>
              </v:textbox>
            </v:rect>
            <v:rect id="_x0000_s1760" style="position:absolute;left:1564;top:2063;width:156;height:161;mso-wrap-style:none" filled="f" stroked="f">
              <v:textbox style="mso-next-textbox:#_x0000_s1760;mso-fit-shape-to-text:t" inset="0,0,0,0">
                <w:txbxContent>
                  <w:p w:rsidR="00D345DF" w:rsidRDefault="00D345DF" w:rsidP="00573033">
                    <w:r>
                      <w:rPr>
                        <w:rFonts w:cs="Arial"/>
                        <w:color w:val="000000"/>
                        <w:sz w:val="14"/>
                        <w:szCs w:val="14"/>
                      </w:rPr>
                      <w:t>29</w:t>
                    </w:r>
                  </w:p>
                </w:txbxContent>
              </v:textbox>
            </v:rect>
            <v:rect id="_x0000_s1761" style="position:absolute;left:2247;top:2013;width:156;height:161;mso-wrap-style:none" filled="f" stroked="f">
              <v:textbox style="mso-next-textbox:#_x0000_s1761;mso-fit-shape-to-text:t" inset="0,0,0,0">
                <w:txbxContent>
                  <w:p w:rsidR="00D345DF" w:rsidRDefault="00D345DF" w:rsidP="00573033">
                    <w:r>
                      <w:rPr>
                        <w:rFonts w:cs="Arial"/>
                        <w:color w:val="000000"/>
                        <w:sz w:val="14"/>
                        <w:szCs w:val="14"/>
                      </w:rPr>
                      <w:t>31</w:t>
                    </w:r>
                  </w:p>
                </w:txbxContent>
              </v:textbox>
            </v:rect>
            <v:rect id="_x0000_s1762" style="position:absolute;left:2917;top:833;width:156;height:161;mso-wrap-style:none" filled="f" stroked="f">
              <v:textbox style="mso-next-textbox:#_x0000_s1762;mso-fit-shape-to-text:t" inset="0,0,0,0">
                <w:txbxContent>
                  <w:p w:rsidR="00D345DF" w:rsidRDefault="00D345DF" w:rsidP="00573033">
                    <w:r>
                      <w:rPr>
                        <w:rFonts w:cs="Arial"/>
                        <w:color w:val="000000"/>
                        <w:sz w:val="14"/>
                        <w:szCs w:val="14"/>
                      </w:rPr>
                      <w:t>76</w:t>
                    </w:r>
                  </w:p>
                </w:txbxContent>
              </v:textbox>
            </v:rect>
            <v:rect id="_x0000_s1763" style="position:absolute;left:3600;top:2113;width:156;height:161;mso-wrap-style:none" filled="f" stroked="f">
              <v:textbox style="mso-next-textbox:#_x0000_s1763;mso-fit-shape-to-text:t" inset="0,0,0,0">
                <w:txbxContent>
                  <w:p w:rsidR="00D345DF" w:rsidRDefault="00D345DF" w:rsidP="00573033">
                    <w:r>
                      <w:rPr>
                        <w:rFonts w:cs="Arial"/>
                        <w:color w:val="000000"/>
                        <w:sz w:val="14"/>
                        <w:szCs w:val="14"/>
                      </w:rPr>
                      <w:t>27</w:t>
                    </w:r>
                  </w:p>
                </w:txbxContent>
              </v:textbox>
            </v:rect>
            <v:rect id="_x0000_s1764" style="position:absolute;left:4270;top:2448;width:156;height:161;mso-wrap-style:none" filled="f" stroked="f">
              <v:textbox style="mso-next-textbox:#_x0000_s1764;mso-fit-shape-to-text:t" inset="0,0,0,0">
                <w:txbxContent>
                  <w:p w:rsidR="00D345DF" w:rsidRDefault="00D345DF" w:rsidP="00573033">
                    <w:r>
                      <w:rPr>
                        <w:rFonts w:cs="Arial"/>
                        <w:color w:val="000000"/>
                        <w:sz w:val="14"/>
                        <w:szCs w:val="14"/>
                      </w:rPr>
                      <w:t>14</w:t>
                    </w:r>
                  </w:p>
                </w:txbxContent>
              </v:textbox>
            </v:rect>
            <v:rect id="_x0000_s1765" style="position:absolute;left:4978;top:2821;width:78;height:161;mso-wrap-style:none" filled="f" stroked="f">
              <v:textbox style="mso-next-textbox:#_x0000_s1765;mso-fit-shape-to-text:t" inset="0,0,0,0">
                <w:txbxContent>
                  <w:p w:rsidR="00D345DF" w:rsidRDefault="00D345DF" w:rsidP="00573033">
                    <w:r>
                      <w:rPr>
                        <w:rFonts w:cs="Arial"/>
                        <w:color w:val="000000"/>
                        <w:sz w:val="14"/>
                        <w:szCs w:val="14"/>
                      </w:rPr>
                      <w:t>0</w:t>
                    </w:r>
                  </w:p>
                </w:txbxContent>
              </v:textbox>
            </v:rect>
            <v:rect id="_x0000_s1766" style="position:absolute;left:5661;top:2747;width:78;height:161;mso-wrap-style:none" filled="f" stroked="f">
              <v:textbox style="mso-next-textbox:#_x0000_s1766;mso-fit-shape-to-text:t" inset="0,0,0,0">
                <w:txbxContent>
                  <w:p w:rsidR="00D345DF" w:rsidRDefault="00D345DF" w:rsidP="00573033">
                    <w:r>
                      <w:rPr>
                        <w:rFonts w:cs="Arial"/>
                        <w:color w:val="000000"/>
                        <w:sz w:val="14"/>
                        <w:szCs w:val="14"/>
                      </w:rPr>
                      <w:t>3</w:t>
                    </w:r>
                  </w:p>
                </w:txbxContent>
              </v:textbox>
            </v:rect>
            <v:rect id="_x0000_s1767" style="position:absolute;left:360;top:2983;width:78;height:161;mso-wrap-style:none" filled="f" stroked="f">
              <v:textbox style="mso-next-textbox:#_x0000_s1767;mso-fit-shape-to-text:t" inset="0,0,0,0">
                <w:txbxContent>
                  <w:p w:rsidR="00D345DF" w:rsidRDefault="00D345DF" w:rsidP="00573033">
                    <w:r>
                      <w:rPr>
                        <w:rFonts w:cs="Arial"/>
                        <w:color w:val="000000"/>
                        <w:sz w:val="14"/>
                        <w:szCs w:val="14"/>
                      </w:rPr>
                      <w:t>0</w:t>
                    </w:r>
                  </w:p>
                </w:txbxContent>
              </v:textbox>
            </v:rect>
            <v:rect id="_x0000_s1768" style="position:absolute;left:286;top:2461;width:156;height:161;mso-wrap-style:none" filled="f" stroked="f">
              <v:textbox style="mso-next-textbox:#_x0000_s1768;mso-fit-shape-to-text:t" inset="0,0,0,0">
                <w:txbxContent>
                  <w:p w:rsidR="00D345DF" w:rsidRDefault="00D345DF" w:rsidP="00573033">
                    <w:r>
                      <w:rPr>
                        <w:rFonts w:cs="Arial"/>
                        <w:color w:val="000000"/>
                        <w:sz w:val="14"/>
                        <w:szCs w:val="14"/>
                      </w:rPr>
                      <w:t>20</w:t>
                    </w:r>
                  </w:p>
                </w:txbxContent>
              </v:textbox>
            </v:rect>
            <v:rect id="_x0000_s1769" style="position:absolute;left:286;top:1939;width:156;height:161;mso-wrap-style:none" filled="f" stroked="f">
              <v:textbox style="mso-next-textbox:#_x0000_s1769;mso-fit-shape-to-text:t" inset="0,0,0,0">
                <w:txbxContent>
                  <w:p w:rsidR="00D345DF" w:rsidRDefault="00D345DF" w:rsidP="00573033">
                    <w:r>
                      <w:rPr>
                        <w:rFonts w:cs="Arial"/>
                        <w:color w:val="000000"/>
                        <w:sz w:val="14"/>
                        <w:szCs w:val="14"/>
                      </w:rPr>
                      <w:t>40</w:t>
                    </w:r>
                  </w:p>
                </w:txbxContent>
              </v:textbox>
            </v:rect>
            <v:rect id="_x0000_s1770" style="position:absolute;left:286;top:1404;width:156;height:161;mso-wrap-style:none" filled="f" stroked="f">
              <v:textbox style="mso-next-textbox:#_x0000_s1770;mso-fit-shape-to-text:t" inset="0,0,0,0">
                <w:txbxContent>
                  <w:p w:rsidR="00D345DF" w:rsidRDefault="00D345DF" w:rsidP="00573033">
                    <w:r>
                      <w:rPr>
                        <w:rFonts w:cs="Arial"/>
                        <w:color w:val="000000"/>
                        <w:sz w:val="14"/>
                        <w:szCs w:val="14"/>
                      </w:rPr>
                      <w:t>60</w:t>
                    </w:r>
                  </w:p>
                </w:txbxContent>
              </v:textbox>
            </v:rect>
            <v:rect id="_x0000_s1771" style="position:absolute;left:286;top:882;width:156;height:161;mso-wrap-style:none" filled="f" stroked="f">
              <v:textbox style="mso-next-textbox:#_x0000_s1771;mso-fit-shape-to-text:t" inset="0,0,0,0">
                <w:txbxContent>
                  <w:p w:rsidR="00D345DF" w:rsidRDefault="00D345DF" w:rsidP="00573033">
                    <w:r>
                      <w:rPr>
                        <w:rFonts w:cs="Arial"/>
                        <w:color w:val="000000"/>
                        <w:sz w:val="14"/>
                        <w:szCs w:val="14"/>
                      </w:rPr>
                      <w:t>80</w:t>
                    </w:r>
                  </w:p>
                </w:txbxContent>
              </v:textbox>
            </v:rect>
            <v:rect id="_x0000_s1772" style="position:absolute;left:211;top:360;width:234;height:161;mso-wrap-style:none" filled="f" stroked="f">
              <v:textbox style="mso-next-textbox:#_x0000_s1772;mso-fit-shape-to-text:t" inset="0,0,0,0">
                <w:txbxContent>
                  <w:p w:rsidR="00D345DF" w:rsidRDefault="00D345DF" w:rsidP="00573033">
                    <w:r>
                      <w:rPr>
                        <w:rFonts w:cs="Arial"/>
                        <w:color w:val="000000"/>
                        <w:sz w:val="14"/>
                        <w:szCs w:val="14"/>
                      </w:rPr>
                      <w:t>100</w:t>
                    </w:r>
                  </w:p>
                </w:txbxContent>
              </v:textbox>
            </v:rect>
            <v:rect id="_x0000_s1773" style="position:absolute;left:757;top:3182;width:250;height:161;mso-wrap-style:none" filled="f" stroked="f">
              <v:textbox style="mso-next-textbox:#_x0000_s1773;mso-fit-shape-to-text:t" inset="0,0,0,0">
                <w:txbxContent>
                  <w:p w:rsidR="00D345DF" w:rsidRDefault="00D345DF" w:rsidP="00573033">
                    <w:r>
                      <w:rPr>
                        <w:rFonts w:cs="Arial"/>
                        <w:color w:val="000000"/>
                        <w:sz w:val="14"/>
                        <w:szCs w:val="14"/>
                      </w:rPr>
                      <w:t>P01</w:t>
                    </w:r>
                  </w:p>
                </w:txbxContent>
              </v:textbox>
            </v:rect>
            <v:rect id="_x0000_s1774" style="position:absolute;left:1440;top:3182;width:250;height:161;mso-wrap-style:none" filled="f" stroked="f">
              <v:textbox style="mso-next-textbox:#_x0000_s1774;mso-fit-shape-to-text:t" inset="0,0,0,0">
                <w:txbxContent>
                  <w:p w:rsidR="00D345DF" w:rsidRDefault="00D345DF" w:rsidP="00573033">
                    <w:r>
                      <w:rPr>
                        <w:rFonts w:cs="Arial"/>
                        <w:color w:val="000000"/>
                        <w:sz w:val="14"/>
                        <w:szCs w:val="14"/>
                      </w:rPr>
                      <w:t>P02</w:t>
                    </w:r>
                  </w:p>
                </w:txbxContent>
              </v:textbox>
            </v:rect>
            <v:rect id="_x0000_s1775" style="position:absolute;left:2110;top:3182;width:250;height:161;mso-wrap-style:none" filled="f" stroked="f">
              <v:textbox style="mso-next-textbox:#_x0000_s1775;mso-fit-shape-to-text:t" inset="0,0,0,0">
                <w:txbxContent>
                  <w:p w:rsidR="00D345DF" w:rsidRDefault="00D345DF" w:rsidP="00573033">
                    <w:r>
                      <w:rPr>
                        <w:rFonts w:cs="Arial"/>
                        <w:color w:val="000000"/>
                        <w:sz w:val="14"/>
                        <w:szCs w:val="14"/>
                      </w:rPr>
                      <w:t>P03</w:t>
                    </w:r>
                  </w:p>
                </w:txbxContent>
              </v:textbox>
            </v:rect>
            <v:rect id="_x0000_s1776" style="position:absolute;left:2781;top:3182;width:250;height:161;mso-wrap-style:none" filled="f" stroked="f">
              <v:textbox style="mso-next-textbox:#_x0000_s1776;mso-fit-shape-to-text:t" inset="0,0,0,0">
                <w:txbxContent>
                  <w:p w:rsidR="00D345DF" w:rsidRDefault="00D345DF" w:rsidP="00573033">
                    <w:r>
                      <w:rPr>
                        <w:rFonts w:cs="Arial"/>
                        <w:color w:val="000000"/>
                        <w:sz w:val="14"/>
                        <w:szCs w:val="14"/>
                      </w:rPr>
                      <w:t>P04</w:t>
                    </w:r>
                  </w:p>
                </w:txbxContent>
              </v:textbox>
            </v:rect>
            <v:rect id="_x0000_s1777" style="position:absolute;left:3464;top:3182;width:250;height:161;mso-wrap-style:none" filled="f" stroked="f">
              <v:textbox style="mso-next-textbox:#_x0000_s1777;mso-fit-shape-to-text:t" inset="0,0,0,0">
                <w:txbxContent>
                  <w:p w:rsidR="00D345DF" w:rsidRDefault="00D345DF" w:rsidP="00573033">
                    <w:r>
                      <w:rPr>
                        <w:rFonts w:cs="Arial"/>
                        <w:color w:val="000000"/>
                        <w:sz w:val="14"/>
                        <w:szCs w:val="14"/>
                      </w:rPr>
                      <w:t>P05</w:t>
                    </w:r>
                  </w:p>
                </w:txbxContent>
              </v:textbox>
            </v:rect>
            <v:rect id="_x0000_s1778" style="position:absolute;left:3997;top:3182;width:545;height:161;mso-wrap-style:none" filled="f" stroked="f">
              <v:textbox style="mso-next-textbox:#_x0000_s1778;mso-fit-shape-to-text:t" inset="0,0,0,0">
                <w:txbxContent>
                  <w:p w:rsidR="00D345DF" w:rsidRDefault="00D345DF" w:rsidP="00573033">
                    <w:r>
                      <w:rPr>
                        <w:rFonts w:cs="Arial"/>
                        <w:color w:val="000000"/>
                        <w:sz w:val="14"/>
                        <w:szCs w:val="14"/>
                      </w:rPr>
                      <w:t>P06/D01</w:t>
                    </w:r>
                  </w:p>
                </w:txbxContent>
              </v:textbox>
            </v:rect>
            <v:rect id="_x0000_s1779" style="position:absolute;left:4804;top:3182;width:257;height:161;mso-wrap-style:none" filled="f" stroked="f">
              <v:textbox style="mso-next-textbox:#_x0000_s1779;mso-fit-shape-to-text:t" inset="0,0,0,0">
                <w:txbxContent>
                  <w:p w:rsidR="00D345DF" w:rsidRDefault="00D345DF" w:rsidP="00573033">
                    <w:r>
                      <w:rPr>
                        <w:rFonts w:cs="Arial"/>
                        <w:color w:val="000000"/>
                        <w:sz w:val="14"/>
                        <w:szCs w:val="14"/>
                      </w:rPr>
                      <w:t>D02</w:t>
                    </w:r>
                  </w:p>
                </w:txbxContent>
              </v:textbox>
            </v:rect>
            <v:rect id="_x0000_s1780" style="position:absolute;left:5512;top:3182;width:211;height:161;mso-wrap-style:none" filled="f" stroked="f">
              <v:textbox style="mso-next-textbox:#_x0000_s1780;mso-fit-shape-to-text:t" inset="0,0,0,0">
                <w:txbxContent>
                  <w:p w:rsidR="00D345DF" w:rsidRDefault="00D345DF" w:rsidP="00573033">
                    <w:r>
                      <w:rPr>
                        <w:rFonts w:cs="Arial"/>
                        <w:color w:val="000000"/>
                        <w:sz w:val="14"/>
                        <w:szCs w:val="14"/>
                      </w:rPr>
                      <w:t>UG</w:t>
                    </w:r>
                  </w:p>
                </w:txbxContent>
              </v:textbox>
            </v:rect>
            <v:rect id="_x0000_s1781" style="position:absolute;left:2738;top:3542;width:1018;height:261" strokeweight="0"/>
            <v:rect id="_x0000_s1782" style="position:absolute;left:2768;top:3629;width:75;height:75" fillcolor="#ffc" strokeweight="33e-5mm"/>
            <v:rect id="_x0000_s1783" style="position:absolute;left:2892;top:3579;width:312;height:161;mso-wrap-style:none" filled="f" stroked="f">
              <v:textbox style="mso-next-textbox:#_x0000_s1783;mso-fit-shape-to-text:t" inset="0,0,0,0">
                <w:txbxContent>
                  <w:p w:rsidR="00D345DF" w:rsidRDefault="00D345DF" w:rsidP="00573033">
                    <w:r>
                      <w:rPr>
                        <w:rFonts w:cs="Arial"/>
                        <w:color w:val="000000"/>
                        <w:sz w:val="14"/>
                        <w:szCs w:val="14"/>
                      </w:rPr>
                      <w:t>2006</w:t>
                    </w:r>
                  </w:p>
                </w:txbxContent>
              </v:textbox>
            </v:rect>
            <v:rect id="_x0000_s1784" style="position:absolute;left:3252;top:3629;width:75;height:75" fillcolor="teal" strokeweight="33e-5mm"/>
            <v:rect id="_x0000_s1785" style="position:absolute;left:3377;top:3579;width:312;height:161;mso-wrap-style:none" filled="f" stroked="f">
              <v:textbox style="mso-next-textbox:#_x0000_s1785;mso-fit-shape-to-text:t" inset="0,0,0,0">
                <w:txbxContent>
                  <w:p w:rsidR="00D345DF" w:rsidRDefault="00D345DF" w:rsidP="00573033">
                    <w:r>
                      <w:rPr>
                        <w:rFonts w:cs="Arial"/>
                        <w:color w:val="000000"/>
                        <w:sz w:val="14"/>
                        <w:szCs w:val="14"/>
                      </w:rPr>
                      <w:t>2007</w:t>
                    </w:r>
                  </w:p>
                </w:txbxContent>
              </v:textbox>
            </v:rect>
            <w10:wrap type="none"/>
            <w10:anchorlock/>
          </v:group>
        </w:pict>
      </w:r>
    </w:p>
    <w:p w:rsidR="00273A55" w:rsidRDefault="009571FA" w:rsidP="00954CE1">
      <w:pPr>
        <w:spacing w:after="200" w:line="276" w:lineRule="auto"/>
        <w:ind w:left="900" w:hanging="450"/>
      </w:pPr>
      <w:r>
        <w:t xml:space="preserve">     </w:t>
      </w:r>
    </w:p>
    <w:p w:rsidR="009571FA" w:rsidRDefault="009571FA" w:rsidP="00954CE1">
      <w:pPr>
        <w:spacing w:after="200" w:line="276" w:lineRule="auto"/>
        <w:ind w:left="900" w:hanging="450"/>
        <w:rPr>
          <w:b/>
          <w:szCs w:val="22"/>
        </w:rPr>
      </w:pPr>
      <w:r>
        <w:t xml:space="preserve">       </w:t>
      </w:r>
      <w:r w:rsidR="00BD4C31">
        <w:pict>
          <v:group id="_x0000_s1786" editas="canvas" style="width:321.2pt;height:197.6pt;mso-position-horizontal-relative:char;mso-position-vertical-relative:line" coordsize="6424,3952">
            <o:lock v:ext="edit" aspectratio="t"/>
            <v:shape id="_x0000_s1787" type="#_x0000_t75" style="position:absolute;width:6424;height:3952" o:preferrelative="f">
              <v:fill o:detectmouseclick="t"/>
              <v:path o:extrusionok="t" o:connecttype="none"/>
            </v:shape>
            <v:rect id="_x0000_s1788" style="position:absolute;left:64;width:6172;height:3924" stroked="f"/>
            <v:rect id="_x0000_s1789" style="position:absolute;left:743;top:780;width:5493;height:1917" stroked="f"/>
            <v:line id="_x0000_s1790" style="position:absolute" from="743,2275" to="6236,2276" strokeweight="0">
              <v:stroke dashstyle="1 1"/>
            </v:line>
            <v:line id="_x0000_s1791" style="position:absolute" from="743,1892" to="6236,1893" strokeweight="0">
              <v:stroke dashstyle="1 1"/>
            </v:line>
            <v:line id="_x0000_s1792" style="position:absolute" from="743,1508" to="6236,1509" strokeweight="0">
              <v:stroke dashstyle="1 1"/>
            </v:line>
            <v:line id="_x0000_s1793" style="position:absolute" from="743,1125" to="6236,1126" strokeweight="0">
              <v:stroke dashstyle="1 1"/>
            </v:line>
            <v:line id="_x0000_s1794" style="position:absolute" from="743,741" to="6236,742" strokeweight="0">
              <v:stroke dashstyle="1 1"/>
            </v:line>
            <v:rect id="_x0000_s1795" style="position:absolute;left:743;top:741;width:5493;height:1917" filled="f" strokecolor="gray" strokeweight="36e-5mm"/>
            <v:rect id="_x0000_s1796" style="position:absolute;left:845;top:1125;width:205;height:1533" fillcolor="#ffc" strokeweight="36e-5mm"/>
            <v:rect id="_x0000_s1797" style="position:absolute;left:1460;top:1406;width:192;height:1252" fillcolor="#ffc" strokeweight="36e-5mm"/>
            <v:rect id="_x0000_s1798" style="position:absolute;left:2062;top:1713;width:204;height:945" fillcolor="#ffc" strokeweight="36e-5mm"/>
            <v:rect id="_x0000_s1799" style="position:absolute;left:2676;top:1968;width:205;height:690" fillcolor="#ffc" strokeweight="36e-5mm"/>
            <v:rect id="_x0000_s1800" style="position:absolute;left:3291;top:1917;width:192;height:741" fillcolor="#ffc" strokeweight="36e-5mm"/>
            <v:rect id="_x0000_s1801" style="position:absolute;left:3893;top:1853;width:205;height:805" fillcolor="#ffc" strokeweight="36e-5mm"/>
            <v:rect id="_x0000_s1802" style="position:absolute;left:5122;top:1380;width:192;height:1278" fillcolor="#ffc" strokeweight="36e-5mm"/>
            <v:rect id="_x0000_s1803" style="position:absolute;left:5724;top:1828;width:205;height:830" fillcolor="#ffc" strokeweight="36e-5mm"/>
            <v:rect id="_x0000_s1804" style="position:absolute;left:1050;top:1163;width:192;height:1495" fillcolor="teal" strokeweight="36e-5mm"/>
            <v:rect id="_x0000_s1805" style="position:absolute;left:1652;top:1393;width:192;height:1265" fillcolor="teal" strokeweight="36e-5mm"/>
            <v:rect id="_x0000_s1806" style="position:absolute;left:2266;top:1853;width:193;height:805" fillcolor="teal" strokeweight="36e-5mm"/>
            <v:rect id="_x0000_s1807" style="position:absolute;left:2881;top:2007;width:192;height:651" fillcolor="teal" strokeweight="36e-5mm"/>
            <v:rect id="_x0000_s1808" style="position:absolute;left:3483;top:1904;width:192;height:754" fillcolor="teal" strokeweight="36e-5mm"/>
            <v:rect id="_x0000_s1809" style="position:absolute;left:4098;top:1917;width:192;height:741" fillcolor="teal" strokeweight="36e-5mm"/>
            <v:rect id="_x0000_s1810" style="position:absolute;left:5314;top:741;width:192;height:1917" fillcolor="teal" strokeweight="36e-5mm"/>
            <v:rect id="_x0000_s1811" style="position:absolute;left:5929;top:1879;width:192;height:779" fillcolor="teal" strokeweight="36e-5mm"/>
            <v:line id="_x0000_s1812" style="position:absolute" from="743,741" to="744,2658" strokeweight="0"/>
            <v:line id="_x0000_s1813" style="position:absolute" from="704,2658" to="743,2659" strokeweight="0"/>
            <v:line id="_x0000_s1814" style="position:absolute" from="704,2275" to="743,2276" strokeweight="0"/>
            <v:line id="_x0000_s1815" style="position:absolute" from="704,1892" to="743,1893" strokeweight="0"/>
            <v:line id="_x0000_s1816" style="position:absolute" from="704,1508" to="743,1509" strokeweight="0"/>
            <v:line id="_x0000_s1817" style="position:absolute" from="704,1125" to="743,1126" strokeweight="0"/>
            <v:line id="_x0000_s1818" style="position:absolute" from="704,741" to="743,742" strokeweight="0"/>
            <v:line id="_x0000_s1819" style="position:absolute" from="743,2658" to="6236,2659" strokeweight="0"/>
            <v:rect id="_x0000_s1820" style="position:absolute;left:2459;top:179;width:2068;height:230;mso-wrap-style:none" filled="f" stroked="f">
              <v:textbox style="mso-next-textbox:#_x0000_s1820;mso-fit-shape-to-text:t" inset="0,0,0,0">
                <w:txbxContent>
                  <w:p w:rsidR="00D345DF" w:rsidRDefault="00D345DF" w:rsidP="00573033">
                    <w:pPr>
                      <w:rPr>
                        <w:sz w:val="32"/>
                      </w:rPr>
                    </w:pPr>
                    <w:r>
                      <w:rPr>
                        <w:rFonts w:cs="Arial"/>
                        <w:color w:val="000000"/>
                        <w:szCs w:val="14"/>
                      </w:rPr>
                      <w:t>b. Women as % of total</w:t>
                    </w:r>
                  </w:p>
                </w:txbxContent>
              </v:textbox>
            </v:rect>
            <v:rect id="_x0000_s1821" style="position:absolute;left:563;top:2569;width:78;height:161;mso-wrap-style:none" filled="f" stroked="f">
              <v:textbox style="mso-next-textbox:#_x0000_s1821;mso-fit-shape-to-text:t" inset="0,0,0,0">
                <w:txbxContent>
                  <w:p w:rsidR="00D345DF" w:rsidRDefault="00D345DF" w:rsidP="00573033">
                    <w:r>
                      <w:rPr>
                        <w:rFonts w:cs="Arial"/>
                        <w:color w:val="000000"/>
                        <w:sz w:val="14"/>
                        <w:szCs w:val="14"/>
                      </w:rPr>
                      <w:t>0</w:t>
                    </w:r>
                  </w:p>
                </w:txbxContent>
              </v:textbox>
            </v:rect>
            <v:rect id="_x0000_s1822" style="position:absolute;left:487;top:2186;width:156;height:161;mso-wrap-style:none" filled="f" stroked="f">
              <v:textbox style="mso-next-textbox:#_x0000_s1822;mso-fit-shape-to-text:t" inset="0,0,0,0">
                <w:txbxContent>
                  <w:p w:rsidR="00D345DF" w:rsidRDefault="00D345DF" w:rsidP="00573033">
                    <w:r>
                      <w:rPr>
                        <w:rFonts w:cs="Arial"/>
                        <w:color w:val="000000"/>
                        <w:sz w:val="14"/>
                        <w:szCs w:val="14"/>
                      </w:rPr>
                      <w:t>20</w:t>
                    </w:r>
                  </w:p>
                </w:txbxContent>
              </v:textbox>
            </v:rect>
            <v:rect id="_x0000_s1823" style="position:absolute;left:487;top:1802;width:156;height:161;mso-wrap-style:none" filled="f" stroked="f">
              <v:textbox style="mso-next-textbox:#_x0000_s1823;mso-fit-shape-to-text:t" inset="0,0,0,0">
                <w:txbxContent>
                  <w:p w:rsidR="00D345DF" w:rsidRDefault="00D345DF" w:rsidP="00573033">
                    <w:r>
                      <w:rPr>
                        <w:rFonts w:cs="Arial"/>
                        <w:color w:val="000000"/>
                        <w:sz w:val="14"/>
                        <w:szCs w:val="14"/>
                      </w:rPr>
                      <w:t>40</w:t>
                    </w:r>
                  </w:p>
                </w:txbxContent>
              </v:textbox>
            </v:rect>
            <v:rect id="_x0000_s1824" style="position:absolute;left:487;top:1419;width:156;height:161;mso-wrap-style:none" filled="f" stroked="f">
              <v:textbox style="mso-next-textbox:#_x0000_s1824;mso-fit-shape-to-text:t" inset="0,0,0,0">
                <w:txbxContent>
                  <w:p w:rsidR="00D345DF" w:rsidRDefault="00D345DF" w:rsidP="00573033">
                    <w:r>
                      <w:rPr>
                        <w:rFonts w:cs="Arial"/>
                        <w:color w:val="000000"/>
                        <w:sz w:val="14"/>
                        <w:szCs w:val="14"/>
                      </w:rPr>
                      <w:t>60</w:t>
                    </w:r>
                  </w:p>
                </w:txbxContent>
              </v:textbox>
            </v:rect>
            <v:rect id="_x0000_s1825" style="position:absolute;left:487;top:1035;width:156;height:161;mso-wrap-style:none" filled="f" stroked="f">
              <v:textbox style="mso-next-textbox:#_x0000_s1825;mso-fit-shape-to-text:t" inset="0,0,0,0">
                <w:txbxContent>
                  <w:p w:rsidR="00D345DF" w:rsidRDefault="00D345DF" w:rsidP="00573033">
                    <w:r>
                      <w:rPr>
                        <w:rFonts w:cs="Arial"/>
                        <w:color w:val="000000"/>
                        <w:sz w:val="14"/>
                        <w:szCs w:val="14"/>
                      </w:rPr>
                      <w:t>80</w:t>
                    </w:r>
                  </w:p>
                </w:txbxContent>
              </v:textbox>
            </v:rect>
            <v:rect id="_x0000_s1826" style="position:absolute;left:410;top:652;width:234;height:161;mso-wrap-style:none" filled="f" stroked="f">
              <v:textbox style="mso-next-textbox:#_x0000_s1826;mso-fit-shape-to-text:t" inset="0,0,0,0">
                <w:txbxContent>
                  <w:p w:rsidR="00D345DF" w:rsidRDefault="00D345DF" w:rsidP="00573033">
                    <w:r>
                      <w:rPr>
                        <w:rFonts w:cs="Arial"/>
                        <w:color w:val="000000"/>
                        <w:sz w:val="14"/>
                        <w:szCs w:val="14"/>
                      </w:rPr>
                      <w:t>100</w:t>
                    </w:r>
                  </w:p>
                </w:txbxContent>
              </v:textbox>
            </v:rect>
            <v:rect id="_x0000_s1827" style="position:absolute;left:2894;top:3591;width:1050;height:269" strokeweight="0"/>
            <v:rect id="_x0000_s1828" style="position:absolute;left:2945;top:3681;width:77;height:77" fillcolor="#ffc" strokeweight="36e-5mm"/>
            <v:rect id="_x0000_s1829" style="position:absolute;left:3073;top:3630;width:312;height:161;mso-wrap-style:none" filled="f" stroked="f">
              <v:textbox style="mso-next-textbox:#_x0000_s1829;mso-fit-shape-to-text:t" inset="0,0,0,0">
                <w:txbxContent>
                  <w:p w:rsidR="00D345DF" w:rsidRDefault="00D345DF" w:rsidP="00573033">
                    <w:r>
                      <w:rPr>
                        <w:rFonts w:cs="Arial"/>
                        <w:color w:val="000000"/>
                        <w:sz w:val="14"/>
                        <w:szCs w:val="14"/>
                      </w:rPr>
                      <w:t>2006</w:t>
                    </w:r>
                  </w:p>
                </w:txbxContent>
              </v:textbox>
            </v:rect>
            <v:rect id="_x0000_s1830" style="position:absolute;left:3445;top:3681;width:76;height:77" fillcolor="teal" strokeweight="36e-5mm"/>
            <v:rect id="_x0000_s1831" style="position:absolute;left:3573;top:3630;width:312;height:161;mso-wrap-style:none" filled="f" stroked="f">
              <v:textbox style="mso-next-textbox:#_x0000_s1831;mso-fit-shape-to-text:t" inset="0,0,0,0">
                <w:txbxContent>
                  <w:p w:rsidR="00D345DF" w:rsidRDefault="00D345DF" w:rsidP="00573033">
                    <w:r>
                      <w:rPr>
                        <w:rFonts w:cs="Arial"/>
                        <w:color w:val="000000"/>
                        <w:sz w:val="14"/>
                        <w:szCs w:val="14"/>
                      </w:rPr>
                      <w:t>2007</w:t>
                    </w:r>
                  </w:p>
                </w:txbxContent>
              </v:textbox>
            </v:rect>
            <v:line id="_x0000_s1832" style="position:absolute" from="205,2927" to="6236,2928" strokeweight="0"/>
            <v:line id="_x0000_s1833" style="position:absolute" from="205,3438" to="6236,3439" strokeweight="0"/>
            <v:line id="_x0000_s1834" style="position:absolute" from="743,2658" to="6236,2659" strokeweight="0"/>
            <v:line id="_x0000_s1835" style="position:absolute" from="205,2927" to="206,3438" strokeweight="0"/>
            <v:line id="_x0000_s1836" style="position:absolute" from="743,2658" to="744,3438" strokeweight="0"/>
            <v:line id="_x0000_s1837" style="position:absolute" from="1357,2658" to="1358,3438" strokeweight="0"/>
            <v:line id="_x0000_s1838" style="position:absolute" from="1959,2658" to="1960,3438" strokeweight="0"/>
            <v:line id="_x0000_s1839" style="position:absolute" from="2574,2658" to="2575,3438" strokeweight="0"/>
            <v:line id="_x0000_s1840" style="position:absolute" from="3188,2658" to="3189,3438" strokeweight="0"/>
            <v:line id="_x0000_s1841" style="position:absolute" from="3790,2658" to="3791,3438" strokeweight="0"/>
            <v:line id="_x0000_s1842" style="position:absolute" from="4405,2658" to="4406,3438" strokeweight="0"/>
            <v:line id="_x0000_s1843" style="position:absolute" from="5020,2658" to="5021,3438" strokeweight="0"/>
            <v:line id="_x0000_s1844" style="position:absolute" from="5621,2658" to="5622,3438" strokeweight="0"/>
            <v:line id="_x0000_s1845" style="position:absolute" from="6236,2658" to="6237,3438" strokeweight="0"/>
            <v:rect id="_x0000_s1846" style="position:absolute;left:243;top:3042;width:77;height:77" fillcolor="#ffc" strokeweight="36e-5mm"/>
            <v:rect id="_x0000_s1847" style="position:absolute;left:371;top:2991;width:312;height:161;mso-wrap-style:none" filled="f" stroked="f">
              <v:textbox style="mso-next-textbox:#_x0000_s1847;mso-fit-shape-to-text:t" inset="0,0,0,0">
                <w:txbxContent>
                  <w:p w:rsidR="00D345DF" w:rsidRDefault="00D345DF" w:rsidP="00573033">
                    <w:r>
                      <w:rPr>
                        <w:rFonts w:cs="Arial"/>
                        <w:color w:val="000000"/>
                        <w:sz w:val="14"/>
                        <w:szCs w:val="14"/>
                      </w:rPr>
                      <w:t>2006</w:t>
                    </w:r>
                  </w:p>
                </w:txbxContent>
              </v:textbox>
            </v:rect>
            <v:rect id="_x0000_s1848" style="position:absolute;left:909;top:2978;width:273;height:161;mso-wrap-style:none" filled="f" stroked="f">
              <v:textbox style="mso-next-textbox:#_x0000_s1848;mso-fit-shape-to-text:t" inset="0,0,0,0">
                <w:txbxContent>
                  <w:p w:rsidR="00D345DF" w:rsidRDefault="00D345DF" w:rsidP="00573033">
                    <w:r>
                      <w:rPr>
                        <w:rFonts w:cs="Arial"/>
                        <w:color w:val="000000"/>
                        <w:sz w:val="14"/>
                        <w:szCs w:val="14"/>
                      </w:rPr>
                      <w:t>80.0</w:t>
                    </w:r>
                  </w:p>
                </w:txbxContent>
              </v:textbox>
            </v:rect>
            <v:rect id="_x0000_s1849" style="position:absolute;left:1524;top:2978;width:273;height:161;mso-wrap-style:none" filled="f" stroked="f">
              <v:textbox style="mso-next-textbox:#_x0000_s1849;mso-fit-shape-to-text:t" inset="0,0,0,0">
                <w:txbxContent>
                  <w:p w:rsidR="00D345DF" w:rsidRDefault="00D345DF" w:rsidP="00573033">
                    <w:r>
                      <w:rPr>
                        <w:rFonts w:cs="Arial"/>
                        <w:color w:val="000000"/>
                        <w:sz w:val="14"/>
                        <w:szCs w:val="14"/>
                      </w:rPr>
                      <w:t>65.2</w:t>
                    </w:r>
                  </w:p>
                </w:txbxContent>
              </v:textbox>
            </v:rect>
            <v:rect id="_x0000_s1850" style="position:absolute;left:2126;top:2978;width:273;height:161;mso-wrap-style:none" filled="f" stroked="f">
              <v:textbox style="mso-next-textbox:#_x0000_s1850;mso-fit-shape-to-text:t" inset="0,0,0,0">
                <w:txbxContent>
                  <w:p w:rsidR="00D345DF" w:rsidRDefault="00D345DF" w:rsidP="00573033">
                    <w:r>
                      <w:rPr>
                        <w:rFonts w:cs="Arial"/>
                        <w:color w:val="000000"/>
                        <w:sz w:val="14"/>
                        <w:szCs w:val="14"/>
                      </w:rPr>
                      <w:t>49.4</w:t>
                    </w:r>
                  </w:p>
                </w:txbxContent>
              </v:textbox>
            </v:rect>
            <v:rect id="_x0000_s1851" style="position:absolute;left:2740;top:2978;width:273;height:161;mso-wrap-style:none" filled="f" stroked="f">
              <v:textbox style="mso-next-textbox:#_x0000_s1851;mso-fit-shape-to-text:t" inset="0,0,0,0">
                <w:txbxContent>
                  <w:p w:rsidR="00D345DF" w:rsidRDefault="00D345DF" w:rsidP="00573033">
                    <w:r>
                      <w:rPr>
                        <w:rFonts w:cs="Arial"/>
                        <w:color w:val="000000"/>
                        <w:sz w:val="14"/>
                        <w:szCs w:val="14"/>
                      </w:rPr>
                      <w:t>35.8</w:t>
                    </w:r>
                  </w:p>
                </w:txbxContent>
              </v:textbox>
            </v:rect>
            <v:rect id="_x0000_s1852" style="position:absolute;left:3355;top:2978;width:273;height:161;mso-wrap-style:none" filled="f" stroked="f">
              <v:textbox style="mso-next-textbox:#_x0000_s1852;mso-fit-shape-to-text:t" inset="0,0,0,0">
                <w:txbxContent>
                  <w:p w:rsidR="00D345DF" w:rsidRDefault="00D345DF" w:rsidP="00573033">
                    <w:r>
                      <w:rPr>
                        <w:rFonts w:cs="Arial"/>
                        <w:color w:val="000000"/>
                        <w:sz w:val="14"/>
                        <w:szCs w:val="14"/>
                      </w:rPr>
                      <w:t>38.6</w:t>
                    </w:r>
                  </w:p>
                </w:txbxContent>
              </v:textbox>
            </v:rect>
            <v:rect id="_x0000_s1853" style="position:absolute;left:3957;top:2978;width:273;height:161;mso-wrap-style:none" filled="f" stroked="f">
              <v:textbox style="mso-next-textbox:#_x0000_s1853;mso-fit-shape-to-text:t" inset="0,0,0,0">
                <w:txbxContent>
                  <w:p w:rsidR="00D345DF" w:rsidRDefault="00D345DF" w:rsidP="00573033">
                    <w:r>
                      <w:rPr>
                        <w:rFonts w:cs="Arial"/>
                        <w:color w:val="000000"/>
                        <w:sz w:val="14"/>
                        <w:szCs w:val="14"/>
                      </w:rPr>
                      <w:t>41.7</w:t>
                    </w:r>
                  </w:p>
                </w:txbxContent>
              </v:textbox>
            </v:rect>
            <v:rect id="_x0000_s1854" style="position:absolute;left:4610;top:2978;width:195;height:161;mso-wrap-style:none" filled="f" stroked="f">
              <v:textbox style="mso-next-textbox:#_x0000_s1854;mso-fit-shape-to-text:t" inset="0,0,0,0">
                <w:txbxContent>
                  <w:p w:rsidR="00D345DF" w:rsidRDefault="00D345DF" w:rsidP="00573033">
                    <w:r>
                      <w:rPr>
                        <w:rFonts w:cs="Arial"/>
                        <w:color w:val="000000"/>
                        <w:sz w:val="14"/>
                        <w:szCs w:val="14"/>
                      </w:rPr>
                      <w:t>0.0</w:t>
                    </w:r>
                  </w:p>
                </w:txbxContent>
              </v:textbox>
            </v:rect>
            <v:rect id="_x0000_s1855" style="position:absolute;left:5186;top:2978;width:273;height:161;mso-wrap-style:none" filled="f" stroked="f">
              <v:textbox style="mso-next-textbox:#_x0000_s1855;mso-fit-shape-to-text:t" inset="0,0,0,0">
                <w:txbxContent>
                  <w:p w:rsidR="00D345DF" w:rsidRDefault="00D345DF" w:rsidP="00573033">
                    <w:r>
                      <w:rPr>
                        <w:rFonts w:cs="Arial"/>
                        <w:color w:val="000000"/>
                        <w:sz w:val="14"/>
                        <w:szCs w:val="14"/>
                      </w:rPr>
                      <w:t>66.7</w:t>
                    </w:r>
                  </w:p>
                </w:txbxContent>
              </v:textbox>
            </v:rect>
            <v:rect id="_x0000_s1856" style="position:absolute;left:5788;top:2978;width:273;height:161;mso-wrap-style:none" filled="f" stroked="f">
              <v:textbox style="mso-next-textbox:#_x0000_s1856;mso-fit-shape-to-text:t" inset="0,0,0,0">
                <w:txbxContent>
                  <w:p w:rsidR="00D345DF" w:rsidRDefault="00D345DF" w:rsidP="00573033">
                    <w:r>
                      <w:rPr>
                        <w:rFonts w:cs="Arial"/>
                        <w:color w:val="000000"/>
                        <w:sz w:val="14"/>
                        <w:szCs w:val="14"/>
                      </w:rPr>
                      <w:t>43.2</w:t>
                    </w:r>
                  </w:p>
                </w:txbxContent>
              </v:textbox>
            </v:rect>
            <v:line id="_x0000_s1857" style="position:absolute" from="218,3195" to="6223,3196" strokeweight="0"/>
            <v:rect id="_x0000_s1858" style="position:absolute;left:243;top:3298;width:77;height:76" fillcolor="teal" strokeweight="36e-5mm"/>
            <v:rect id="_x0000_s1859" style="position:absolute;left:371;top:3246;width:312;height:161;mso-wrap-style:none" filled="f" stroked="f">
              <v:textbox style="mso-next-textbox:#_x0000_s1859;mso-fit-shape-to-text:t" inset="0,0,0,0">
                <w:txbxContent>
                  <w:p w:rsidR="00D345DF" w:rsidRDefault="00D345DF" w:rsidP="00573033">
                    <w:r>
                      <w:rPr>
                        <w:rFonts w:cs="Arial"/>
                        <w:color w:val="000000"/>
                        <w:sz w:val="14"/>
                        <w:szCs w:val="14"/>
                      </w:rPr>
                      <w:t>2007</w:t>
                    </w:r>
                  </w:p>
                </w:txbxContent>
              </v:textbox>
            </v:rect>
            <v:rect id="_x0000_s1860" style="position:absolute;left:909;top:3234;width:273;height:161;mso-wrap-style:none" filled="f" stroked="f">
              <v:textbox style="mso-next-textbox:#_x0000_s1860;mso-fit-shape-to-text:t" inset="0,0,0,0">
                <w:txbxContent>
                  <w:p w:rsidR="00D345DF" w:rsidRDefault="00D345DF" w:rsidP="00573033">
                    <w:r>
                      <w:rPr>
                        <w:rFonts w:cs="Arial"/>
                        <w:color w:val="000000"/>
                        <w:sz w:val="14"/>
                        <w:szCs w:val="14"/>
                      </w:rPr>
                      <w:t>77.8</w:t>
                    </w:r>
                  </w:p>
                </w:txbxContent>
              </v:textbox>
            </v:rect>
            <v:rect id="_x0000_s1861" style="position:absolute;left:1524;top:3234;width:273;height:161;mso-wrap-style:none" filled="f" stroked="f">
              <v:textbox style="mso-next-textbox:#_x0000_s1861;mso-fit-shape-to-text:t" inset="0,0,0,0">
                <w:txbxContent>
                  <w:p w:rsidR="00D345DF" w:rsidRDefault="00D345DF" w:rsidP="00573033">
                    <w:r>
                      <w:rPr>
                        <w:rFonts w:cs="Arial"/>
                        <w:color w:val="000000"/>
                        <w:sz w:val="14"/>
                        <w:szCs w:val="14"/>
                      </w:rPr>
                      <w:t>65.9</w:t>
                    </w:r>
                  </w:p>
                </w:txbxContent>
              </v:textbox>
            </v:rect>
            <v:rect id="_x0000_s1862" style="position:absolute;left:2126;top:3234;width:273;height:161;mso-wrap-style:none" filled="f" stroked="f">
              <v:textbox style="mso-next-textbox:#_x0000_s1862;mso-fit-shape-to-text:t" inset="0,0,0,0">
                <w:txbxContent>
                  <w:p w:rsidR="00D345DF" w:rsidRDefault="00D345DF" w:rsidP="00573033">
                    <w:r>
                      <w:rPr>
                        <w:rFonts w:cs="Arial"/>
                        <w:color w:val="000000"/>
                        <w:sz w:val="14"/>
                        <w:szCs w:val="14"/>
                      </w:rPr>
                      <w:t>41.9</w:t>
                    </w:r>
                  </w:p>
                </w:txbxContent>
              </v:textbox>
            </v:rect>
            <v:rect id="_x0000_s1863" style="position:absolute;left:2740;top:3234;width:273;height:161;mso-wrap-style:none" filled="f" stroked="f">
              <v:textbox style="mso-next-textbox:#_x0000_s1863;mso-fit-shape-to-text:t" inset="0,0,0,0">
                <w:txbxContent>
                  <w:p w:rsidR="00D345DF" w:rsidRDefault="00D345DF" w:rsidP="00573033">
                    <w:r>
                      <w:rPr>
                        <w:rFonts w:cs="Arial"/>
                        <w:color w:val="000000"/>
                        <w:sz w:val="14"/>
                        <w:szCs w:val="14"/>
                      </w:rPr>
                      <w:t>34.1</w:t>
                    </w:r>
                  </w:p>
                </w:txbxContent>
              </v:textbox>
            </v:rect>
            <v:rect id="_x0000_s1864" style="position:absolute;left:3355;top:3234;width:273;height:161;mso-wrap-style:none" filled="f" stroked="f">
              <v:textbox style="mso-next-textbox:#_x0000_s1864;mso-fit-shape-to-text:t" inset="0,0,0,0">
                <w:txbxContent>
                  <w:p w:rsidR="00D345DF" w:rsidRDefault="00D345DF" w:rsidP="00573033">
                    <w:r>
                      <w:rPr>
                        <w:rFonts w:cs="Arial"/>
                        <w:color w:val="000000"/>
                        <w:sz w:val="14"/>
                        <w:szCs w:val="14"/>
                      </w:rPr>
                      <w:t>39.1</w:t>
                    </w:r>
                  </w:p>
                </w:txbxContent>
              </v:textbox>
            </v:rect>
            <v:rect id="_x0000_s1865" style="position:absolute;left:3957;top:3234;width:273;height:161;mso-wrap-style:none" filled="f" stroked="f">
              <v:textbox style="mso-next-textbox:#_x0000_s1865;mso-fit-shape-to-text:t" inset="0,0,0,0">
                <w:txbxContent>
                  <w:p w:rsidR="00D345DF" w:rsidRDefault="00D345DF" w:rsidP="00573033">
                    <w:r>
                      <w:rPr>
                        <w:rFonts w:cs="Arial"/>
                        <w:color w:val="000000"/>
                        <w:sz w:val="14"/>
                        <w:szCs w:val="14"/>
                      </w:rPr>
                      <w:t>38.9</w:t>
                    </w:r>
                  </w:p>
                </w:txbxContent>
              </v:textbox>
            </v:rect>
            <v:rect id="_x0000_s1866" style="position:absolute;left:4610;top:3234;width:195;height:161;mso-wrap-style:none" filled="f" stroked="f">
              <v:textbox style="mso-next-textbox:#_x0000_s1866;mso-fit-shape-to-text:t" inset="0,0,0,0">
                <w:txbxContent>
                  <w:p w:rsidR="00D345DF" w:rsidRDefault="00D345DF" w:rsidP="00573033">
                    <w:r>
                      <w:rPr>
                        <w:rFonts w:cs="Arial"/>
                        <w:color w:val="000000"/>
                        <w:sz w:val="14"/>
                        <w:szCs w:val="14"/>
                      </w:rPr>
                      <w:t>0.0</w:t>
                    </w:r>
                  </w:p>
                </w:txbxContent>
              </v:textbox>
            </v:rect>
            <v:rect id="_x0000_s1867" style="position:absolute;left:5212;top:3234;width:234;height:161;mso-wrap-style:none" filled="f" stroked="f">
              <v:textbox style="mso-next-textbox:#_x0000_s1867;mso-fit-shape-to-text:t" inset="0,0,0,0">
                <w:txbxContent>
                  <w:p w:rsidR="00D345DF" w:rsidRDefault="00D345DF" w:rsidP="00573033">
                    <w:r>
                      <w:rPr>
                        <w:rFonts w:cs="Arial"/>
                        <w:color w:val="000000"/>
                        <w:sz w:val="14"/>
                        <w:szCs w:val="14"/>
                      </w:rPr>
                      <w:t>100</w:t>
                    </w:r>
                  </w:p>
                </w:txbxContent>
              </v:textbox>
            </v:rect>
            <v:rect id="_x0000_s1868" style="position:absolute;left:5788;top:3234;width:273;height:161;mso-wrap-style:none" filled="f" stroked="f">
              <v:textbox style="mso-next-textbox:#_x0000_s1868;mso-fit-shape-to-text:t" inset="0,0,0,0">
                <w:txbxContent>
                  <w:p w:rsidR="00D345DF" w:rsidRDefault="00D345DF" w:rsidP="00573033">
                    <w:r>
                      <w:rPr>
                        <w:rFonts w:cs="Arial"/>
                        <w:color w:val="000000"/>
                        <w:sz w:val="14"/>
                        <w:szCs w:val="14"/>
                      </w:rPr>
                      <w:t>40.7</w:t>
                    </w:r>
                  </w:p>
                </w:txbxContent>
              </v:textbox>
            </v:rect>
            <v:rect id="_x0000_s1869" style="position:absolute;left:922;top:2697;width:250;height:161;mso-wrap-style:none" filled="f" stroked="f">
              <v:textbox style="mso-next-textbox:#_x0000_s1869;mso-fit-shape-to-text:t" inset="0,0,0,0">
                <w:txbxContent>
                  <w:p w:rsidR="00D345DF" w:rsidRDefault="00D345DF" w:rsidP="00573033">
                    <w:r>
                      <w:rPr>
                        <w:rFonts w:cs="Arial"/>
                        <w:color w:val="000000"/>
                        <w:sz w:val="14"/>
                        <w:szCs w:val="14"/>
                      </w:rPr>
                      <w:t>P01</w:t>
                    </w:r>
                  </w:p>
                </w:txbxContent>
              </v:textbox>
            </v:rect>
            <v:rect id="_x0000_s1870" style="position:absolute;left:1537;top:2697;width:250;height:161;mso-wrap-style:none" filled="f" stroked="f">
              <v:textbox style="mso-next-textbox:#_x0000_s1870;mso-fit-shape-to-text:t" inset="0,0,0,0">
                <w:txbxContent>
                  <w:p w:rsidR="00D345DF" w:rsidRDefault="00D345DF" w:rsidP="00573033">
                    <w:r>
                      <w:rPr>
                        <w:rFonts w:cs="Arial"/>
                        <w:color w:val="000000"/>
                        <w:sz w:val="14"/>
                        <w:szCs w:val="14"/>
                      </w:rPr>
                      <w:t>P02</w:t>
                    </w:r>
                  </w:p>
                </w:txbxContent>
              </v:textbox>
            </v:rect>
            <v:rect id="_x0000_s1871" style="position:absolute;left:2138;top:2697;width:250;height:161;mso-wrap-style:none" filled="f" stroked="f">
              <v:textbox style="mso-next-textbox:#_x0000_s1871;mso-fit-shape-to-text:t" inset="0,0,0,0">
                <w:txbxContent>
                  <w:p w:rsidR="00D345DF" w:rsidRDefault="00D345DF" w:rsidP="00573033">
                    <w:r>
                      <w:rPr>
                        <w:rFonts w:cs="Arial"/>
                        <w:color w:val="000000"/>
                        <w:sz w:val="14"/>
                        <w:szCs w:val="14"/>
                      </w:rPr>
                      <w:t>P03</w:t>
                    </w:r>
                  </w:p>
                </w:txbxContent>
              </v:textbox>
            </v:rect>
            <v:rect id="_x0000_s1872" style="position:absolute;left:2753;top:2697;width:250;height:161;mso-wrap-style:none" filled="f" stroked="f">
              <v:textbox style="mso-next-textbox:#_x0000_s1872;mso-fit-shape-to-text:t" inset="0,0,0,0">
                <w:txbxContent>
                  <w:p w:rsidR="00D345DF" w:rsidRDefault="00D345DF" w:rsidP="00573033">
                    <w:r>
                      <w:rPr>
                        <w:rFonts w:cs="Arial"/>
                        <w:color w:val="000000"/>
                        <w:sz w:val="14"/>
                        <w:szCs w:val="14"/>
                      </w:rPr>
                      <w:t>P04</w:t>
                    </w:r>
                  </w:p>
                </w:txbxContent>
              </v:textbox>
            </v:rect>
            <v:rect id="_x0000_s1873" style="position:absolute;left:3368;top:2697;width:250;height:161;mso-wrap-style:none" filled="f" stroked="f">
              <v:textbox style="mso-next-textbox:#_x0000_s1873;mso-fit-shape-to-text:t" inset="0,0,0,0">
                <w:txbxContent>
                  <w:p w:rsidR="00D345DF" w:rsidRDefault="00D345DF" w:rsidP="00573033">
                    <w:r>
                      <w:rPr>
                        <w:rFonts w:cs="Arial"/>
                        <w:color w:val="000000"/>
                        <w:sz w:val="14"/>
                        <w:szCs w:val="14"/>
                      </w:rPr>
                      <w:t>P05</w:t>
                    </w:r>
                  </w:p>
                </w:txbxContent>
              </v:textbox>
            </v:rect>
            <v:rect id="_x0000_s1874" style="position:absolute;left:3829;top:2697;width:545;height:161;mso-wrap-style:none" filled="f" stroked="f">
              <v:textbox style="mso-next-textbox:#_x0000_s1874;mso-fit-shape-to-text:t" inset="0,0,0,0">
                <w:txbxContent>
                  <w:p w:rsidR="00D345DF" w:rsidRDefault="00D345DF" w:rsidP="00573033">
                    <w:r>
                      <w:rPr>
                        <w:rFonts w:cs="Arial"/>
                        <w:color w:val="000000"/>
                        <w:sz w:val="14"/>
                        <w:szCs w:val="14"/>
                      </w:rPr>
                      <w:t>P06/D01</w:t>
                    </w:r>
                  </w:p>
                </w:txbxContent>
              </v:textbox>
            </v:rect>
            <v:rect id="_x0000_s1875" style="position:absolute;left:4584;top:2697;width:257;height:161;mso-wrap-style:none" filled="f" stroked="f">
              <v:textbox style="mso-next-textbox:#_x0000_s1875;mso-fit-shape-to-text:t" inset="0,0,0,0">
                <w:txbxContent>
                  <w:p w:rsidR="00D345DF" w:rsidRDefault="00D345DF" w:rsidP="00573033">
                    <w:r>
                      <w:rPr>
                        <w:rFonts w:cs="Arial"/>
                        <w:color w:val="000000"/>
                        <w:sz w:val="14"/>
                        <w:szCs w:val="14"/>
                      </w:rPr>
                      <w:t>D02</w:t>
                    </w:r>
                  </w:p>
                </w:txbxContent>
              </v:textbox>
            </v:rect>
            <v:rect id="_x0000_s1876" style="position:absolute;left:5224;top:2697;width:211;height:161;mso-wrap-style:none" filled="f" stroked="f">
              <v:textbox style="mso-next-textbox:#_x0000_s1876;mso-fit-shape-to-text:t" inset="0,0,0,0">
                <w:txbxContent>
                  <w:p w:rsidR="00D345DF" w:rsidRDefault="00D345DF" w:rsidP="00573033">
                    <w:r>
                      <w:rPr>
                        <w:rFonts w:cs="Arial"/>
                        <w:color w:val="000000"/>
                        <w:sz w:val="14"/>
                        <w:szCs w:val="14"/>
                      </w:rPr>
                      <w:t>UG</w:t>
                    </w:r>
                  </w:p>
                </w:txbxContent>
              </v:textbox>
            </v:rect>
            <v:rect id="_x0000_s1877" style="position:absolute;left:5775;top:2697;width:312;height:161;mso-wrap-style:none" filled="f" stroked="f">
              <v:textbox style="mso-next-textbox:#_x0000_s1877;mso-fit-shape-to-text:t" inset="0,0,0,0">
                <w:txbxContent>
                  <w:p w:rsidR="00D345DF" w:rsidRDefault="00D345DF" w:rsidP="00573033">
                    <w:r>
                      <w:rPr>
                        <w:rFonts w:cs="Arial"/>
                        <w:color w:val="000000"/>
                        <w:sz w:val="14"/>
                        <w:szCs w:val="14"/>
                      </w:rPr>
                      <w:t>Total</w:t>
                    </w:r>
                  </w:p>
                </w:txbxContent>
              </v:textbox>
            </v:rect>
            <w10:wrap type="none"/>
            <w10:anchorlock/>
          </v:group>
        </w:pict>
      </w:r>
      <w:r>
        <w:rPr>
          <w:b/>
          <w:szCs w:val="22"/>
        </w:rPr>
        <w:t xml:space="preserve">   </w:t>
      </w:r>
    </w:p>
    <w:p w:rsidR="009571FA" w:rsidRDefault="009571FA" w:rsidP="005210C1">
      <w:pPr>
        <w:spacing w:after="200" w:line="276" w:lineRule="auto"/>
        <w:rPr>
          <w:b/>
          <w:szCs w:val="22"/>
        </w:rPr>
      </w:pPr>
      <w:r w:rsidRPr="00AD16A4">
        <w:rPr>
          <w:b/>
          <w:sz w:val="24"/>
          <w:szCs w:val="22"/>
        </w:rPr>
        <w:t xml:space="preserve">        </w:t>
      </w:r>
      <w:r>
        <w:rPr>
          <w:b/>
          <w:sz w:val="24"/>
          <w:szCs w:val="22"/>
        </w:rPr>
        <w:t xml:space="preserve">3.1.2.  </w:t>
      </w:r>
      <w:r>
        <w:rPr>
          <w:b/>
          <w:sz w:val="24"/>
        </w:rPr>
        <w:t>Sex parity among Professional National Officers</w:t>
      </w:r>
    </w:p>
    <w:p w:rsidR="009571FA" w:rsidRPr="00265478" w:rsidRDefault="009571FA" w:rsidP="00581596">
      <w:pPr>
        <w:numPr>
          <w:ilvl w:val="0"/>
          <w:numId w:val="17"/>
        </w:numPr>
        <w:ind w:firstLine="0"/>
        <w:rPr>
          <w:sz w:val="22"/>
          <w:szCs w:val="22"/>
        </w:rPr>
      </w:pPr>
      <w:r w:rsidRPr="00265478">
        <w:rPr>
          <w:i/>
          <w:sz w:val="22"/>
          <w:szCs w:val="22"/>
        </w:rPr>
        <w:t>By grade (A to D)</w:t>
      </w:r>
    </w:p>
    <w:p w:rsidR="009571FA" w:rsidRPr="00265478" w:rsidRDefault="009571FA" w:rsidP="00265478">
      <w:pPr>
        <w:ind w:left="1080"/>
        <w:rPr>
          <w:sz w:val="6"/>
          <w:szCs w:val="22"/>
        </w:rPr>
      </w:pPr>
    </w:p>
    <w:p w:rsidR="009571FA" w:rsidRDefault="009571FA" w:rsidP="00265478">
      <w:pPr>
        <w:rPr>
          <w:sz w:val="22"/>
          <w:szCs w:val="22"/>
        </w:rPr>
      </w:pPr>
      <w:r w:rsidRPr="00265478">
        <w:rPr>
          <w:sz w:val="22"/>
          <w:szCs w:val="22"/>
        </w:rPr>
        <w:t>Women represent</w:t>
      </w:r>
      <w:r w:rsidR="00B94DF9">
        <w:rPr>
          <w:sz w:val="22"/>
          <w:szCs w:val="22"/>
        </w:rPr>
        <w:t>ed</w:t>
      </w:r>
      <w:r w:rsidRPr="00265478">
        <w:rPr>
          <w:sz w:val="22"/>
          <w:szCs w:val="22"/>
        </w:rPr>
        <w:t xml:space="preserve"> 70% of all PAHO National Officers (NPO)</w:t>
      </w:r>
      <w:r w:rsidR="00F71D06">
        <w:rPr>
          <w:sz w:val="22"/>
          <w:szCs w:val="22"/>
        </w:rPr>
        <w:t xml:space="preserve">, </w:t>
      </w:r>
      <w:r w:rsidRPr="00265478">
        <w:rPr>
          <w:sz w:val="22"/>
          <w:szCs w:val="22"/>
        </w:rPr>
        <w:t>equa</w:t>
      </w:r>
      <w:r w:rsidR="00F71D06">
        <w:rPr>
          <w:sz w:val="22"/>
          <w:szCs w:val="22"/>
        </w:rPr>
        <w:t>ting</w:t>
      </w:r>
      <w:r w:rsidRPr="00265478">
        <w:rPr>
          <w:sz w:val="22"/>
          <w:szCs w:val="22"/>
        </w:rPr>
        <w:t xml:space="preserve"> or surpass</w:t>
      </w:r>
      <w:r w:rsidR="00F71D06">
        <w:rPr>
          <w:sz w:val="22"/>
          <w:szCs w:val="22"/>
        </w:rPr>
        <w:t>ing</w:t>
      </w:r>
      <w:r w:rsidRPr="00265478">
        <w:rPr>
          <w:sz w:val="22"/>
          <w:szCs w:val="22"/>
        </w:rPr>
        <w:t xml:space="preserve"> men’s </w:t>
      </w:r>
      <w:r w:rsidR="00F71D06">
        <w:rPr>
          <w:sz w:val="22"/>
          <w:szCs w:val="22"/>
        </w:rPr>
        <w:t xml:space="preserve">share </w:t>
      </w:r>
      <w:r w:rsidRPr="00265478">
        <w:rPr>
          <w:sz w:val="22"/>
          <w:szCs w:val="22"/>
        </w:rPr>
        <w:t xml:space="preserve">in all four NPO levels. </w:t>
      </w:r>
      <w:r w:rsidR="00F71D06">
        <w:rPr>
          <w:sz w:val="22"/>
          <w:szCs w:val="22"/>
        </w:rPr>
        <w:t>It must be kept in mind, h</w:t>
      </w:r>
      <w:r w:rsidRPr="00265478">
        <w:rPr>
          <w:sz w:val="22"/>
          <w:szCs w:val="22"/>
        </w:rPr>
        <w:t xml:space="preserve">owever, </w:t>
      </w:r>
      <w:r w:rsidR="00F71D06">
        <w:rPr>
          <w:sz w:val="22"/>
          <w:szCs w:val="22"/>
        </w:rPr>
        <w:t xml:space="preserve">that </w:t>
      </w:r>
      <w:r w:rsidRPr="00265478">
        <w:rPr>
          <w:sz w:val="22"/>
          <w:szCs w:val="22"/>
        </w:rPr>
        <w:t xml:space="preserve">compared to their </w:t>
      </w:r>
      <w:r w:rsidR="00F71D06">
        <w:rPr>
          <w:sz w:val="22"/>
          <w:szCs w:val="22"/>
        </w:rPr>
        <w:t xml:space="preserve">international </w:t>
      </w:r>
      <w:r w:rsidRPr="00265478">
        <w:rPr>
          <w:sz w:val="22"/>
          <w:szCs w:val="22"/>
        </w:rPr>
        <w:t xml:space="preserve">P counterparts stationed in the field, NPOs enjoy lower levels of salary, benefits, decision making authority and job stability. No distinction could be drawn between long-term and temporary NPOs, since all NPOs appeared under the first </w:t>
      </w:r>
      <w:r w:rsidR="00F71D06" w:rsidRPr="00265478">
        <w:rPr>
          <w:sz w:val="22"/>
          <w:szCs w:val="22"/>
        </w:rPr>
        <w:t>grouping</w:t>
      </w:r>
      <w:r w:rsidRPr="00265478">
        <w:rPr>
          <w:sz w:val="22"/>
          <w:szCs w:val="22"/>
        </w:rPr>
        <w:t>.</w:t>
      </w:r>
    </w:p>
    <w:p w:rsidR="00CB6A0C" w:rsidRDefault="00CB6A0C" w:rsidP="00265478">
      <w:pPr>
        <w:rPr>
          <w:sz w:val="22"/>
          <w:szCs w:val="22"/>
        </w:rPr>
      </w:pPr>
    </w:p>
    <w:p w:rsidR="00CB6A0C" w:rsidRDefault="00CB6A0C" w:rsidP="00265478">
      <w:pPr>
        <w:rPr>
          <w:sz w:val="22"/>
          <w:szCs w:val="22"/>
        </w:rPr>
      </w:pPr>
    </w:p>
    <w:p w:rsidR="009571FA" w:rsidRDefault="009571FA" w:rsidP="00265478">
      <w:pPr>
        <w:rPr>
          <w:sz w:val="8"/>
          <w:szCs w:val="22"/>
        </w:rPr>
      </w:pPr>
    </w:p>
    <w:p w:rsidR="00273A55" w:rsidRDefault="00273A55" w:rsidP="00265478">
      <w:pPr>
        <w:rPr>
          <w:sz w:val="8"/>
          <w:szCs w:val="22"/>
        </w:rPr>
      </w:pPr>
    </w:p>
    <w:p w:rsidR="00273A55" w:rsidRDefault="00273A55" w:rsidP="00265478">
      <w:pPr>
        <w:rPr>
          <w:sz w:val="8"/>
          <w:szCs w:val="22"/>
        </w:rPr>
      </w:pPr>
    </w:p>
    <w:p w:rsidR="00273A55" w:rsidRDefault="00273A55" w:rsidP="00265478">
      <w:pPr>
        <w:rPr>
          <w:sz w:val="8"/>
          <w:szCs w:val="22"/>
        </w:rPr>
      </w:pPr>
    </w:p>
    <w:p w:rsidR="00273A55" w:rsidRDefault="00273A55" w:rsidP="00265478">
      <w:pPr>
        <w:rPr>
          <w:sz w:val="8"/>
          <w:szCs w:val="22"/>
        </w:rPr>
      </w:pPr>
    </w:p>
    <w:p w:rsidR="00273A55" w:rsidRDefault="00273A55" w:rsidP="00265478">
      <w:pPr>
        <w:rPr>
          <w:sz w:val="8"/>
          <w:szCs w:val="22"/>
        </w:rPr>
      </w:pPr>
    </w:p>
    <w:p w:rsidR="00273A55" w:rsidRPr="00167211" w:rsidRDefault="00273A55" w:rsidP="00265478">
      <w:pPr>
        <w:rPr>
          <w:sz w:val="8"/>
          <w:szCs w:val="22"/>
        </w:rPr>
      </w:pPr>
    </w:p>
    <w:p w:rsidR="00CB6A0C" w:rsidRDefault="009571FA" w:rsidP="00573033">
      <w:pPr>
        <w:ind w:left="720"/>
        <w:rPr>
          <w:b/>
          <w:szCs w:val="22"/>
        </w:rPr>
      </w:pPr>
      <w:r>
        <w:rPr>
          <w:b/>
          <w:sz w:val="22"/>
          <w:szCs w:val="22"/>
        </w:rPr>
        <w:t>F</w:t>
      </w:r>
      <w:r w:rsidRPr="00E317A2">
        <w:rPr>
          <w:b/>
          <w:sz w:val="22"/>
          <w:szCs w:val="22"/>
        </w:rPr>
        <w:t>igure 6.</w:t>
      </w:r>
      <w:r w:rsidR="00C8762E">
        <w:rPr>
          <w:b/>
          <w:sz w:val="22"/>
          <w:szCs w:val="22"/>
        </w:rPr>
        <w:t xml:space="preserve"> </w:t>
      </w:r>
      <w:r w:rsidR="00C8762E" w:rsidRPr="00C8762E">
        <w:rPr>
          <w:sz w:val="22"/>
          <w:szCs w:val="22"/>
        </w:rPr>
        <w:t>AMRO/PAHO</w:t>
      </w:r>
      <w:r w:rsidR="00CB6A0C">
        <w:rPr>
          <w:sz w:val="22"/>
          <w:szCs w:val="22"/>
        </w:rPr>
        <w:t>: Percent and absolute</w:t>
      </w:r>
      <w:r w:rsidRPr="00E317A2">
        <w:rPr>
          <w:sz w:val="22"/>
          <w:szCs w:val="22"/>
        </w:rPr>
        <w:t xml:space="preserve"> </w:t>
      </w:r>
      <w:r w:rsidR="00C8762E">
        <w:rPr>
          <w:szCs w:val="22"/>
        </w:rPr>
        <w:t>s</w:t>
      </w:r>
      <w:r w:rsidRPr="00E317A2">
        <w:rPr>
          <w:szCs w:val="22"/>
        </w:rPr>
        <w:t xml:space="preserve">ex distribution </w:t>
      </w:r>
      <w:r w:rsidR="00CB6A0C" w:rsidRPr="00E317A2">
        <w:rPr>
          <w:szCs w:val="22"/>
        </w:rPr>
        <w:t>of</w:t>
      </w:r>
      <w:r w:rsidR="000C7A25">
        <w:rPr>
          <w:szCs w:val="22"/>
        </w:rPr>
        <w:t xml:space="preserve"> </w:t>
      </w:r>
      <w:r w:rsidR="00CB6A0C" w:rsidRPr="00C8762E">
        <w:rPr>
          <w:b/>
          <w:szCs w:val="22"/>
        </w:rPr>
        <w:t>National</w:t>
      </w:r>
      <w:r w:rsidR="00CB6A0C">
        <w:rPr>
          <w:szCs w:val="22"/>
        </w:rPr>
        <w:t xml:space="preserve">                                   </w:t>
      </w:r>
      <w:r w:rsidRPr="00C8762E">
        <w:rPr>
          <w:b/>
          <w:szCs w:val="22"/>
        </w:rPr>
        <w:t>Professional</w:t>
      </w:r>
      <w:r w:rsidR="00CB6A0C">
        <w:rPr>
          <w:b/>
          <w:szCs w:val="22"/>
        </w:rPr>
        <w:t xml:space="preserve"> </w:t>
      </w:r>
      <w:r w:rsidRPr="00C8762E">
        <w:rPr>
          <w:b/>
          <w:szCs w:val="22"/>
        </w:rPr>
        <w:t>Officers</w:t>
      </w:r>
      <w:r w:rsidRPr="00E317A2">
        <w:rPr>
          <w:szCs w:val="22"/>
        </w:rPr>
        <w:t xml:space="preserve"> at Country Offices,</w:t>
      </w:r>
      <w:r>
        <w:rPr>
          <w:szCs w:val="22"/>
        </w:rPr>
        <w:t xml:space="preserve"> </w:t>
      </w:r>
      <w:r w:rsidR="00F71D06">
        <w:rPr>
          <w:szCs w:val="22"/>
        </w:rPr>
        <w:t>by grade.</w:t>
      </w:r>
      <w:r w:rsidRPr="00E317A2">
        <w:rPr>
          <w:szCs w:val="22"/>
        </w:rPr>
        <w:t xml:space="preserve"> December 31, 2007</w:t>
      </w:r>
      <w:r>
        <w:rPr>
          <w:b/>
          <w:szCs w:val="22"/>
        </w:rPr>
        <w:t xml:space="preserve">  </w:t>
      </w:r>
    </w:p>
    <w:p w:rsidR="00CB6A0C" w:rsidRDefault="00CB6A0C" w:rsidP="00CB6A0C">
      <w:pPr>
        <w:ind w:left="720"/>
      </w:pPr>
      <w:r>
        <w:rPr>
          <w:noProof/>
          <w:lang w:val="en-US"/>
        </w:rPr>
        <w:drawing>
          <wp:inline distT="0" distB="0" distL="0" distR="0">
            <wp:extent cx="4517327" cy="217932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1"/>
                    <a:srcRect/>
                    <a:stretch>
                      <a:fillRect/>
                    </a:stretch>
                  </pic:blipFill>
                  <pic:spPr bwMode="auto">
                    <a:xfrm>
                      <a:off x="0" y="0"/>
                      <a:ext cx="4520386" cy="2180796"/>
                    </a:xfrm>
                    <a:prstGeom prst="rect">
                      <a:avLst/>
                    </a:prstGeom>
                    <a:noFill/>
                    <a:ln w="9525">
                      <a:noFill/>
                      <a:miter lim="800000"/>
                      <a:headEnd/>
                      <a:tailEnd/>
                    </a:ln>
                  </pic:spPr>
                </pic:pic>
              </a:graphicData>
            </a:graphic>
          </wp:inline>
        </w:drawing>
      </w:r>
    </w:p>
    <w:p w:rsidR="009571FA" w:rsidRDefault="009571FA" w:rsidP="00573033">
      <w:pPr>
        <w:ind w:left="720"/>
        <w:rPr>
          <w:szCs w:val="22"/>
        </w:rPr>
      </w:pPr>
      <w:r>
        <w:rPr>
          <w:b/>
          <w:szCs w:val="22"/>
        </w:rPr>
        <w:t xml:space="preserve">                        </w:t>
      </w:r>
      <w:r>
        <w:rPr>
          <w:rFonts w:ascii="Calibri" w:hAnsi="Calibri" w:cs="Calibri"/>
          <w:color w:val="000000"/>
        </w:rPr>
        <w:t xml:space="preserve">             </w:t>
      </w:r>
    </w:p>
    <w:p w:rsidR="00B94DF9" w:rsidRPr="00220780" w:rsidRDefault="00B94DF9" w:rsidP="00581596">
      <w:pPr>
        <w:numPr>
          <w:ilvl w:val="0"/>
          <w:numId w:val="17"/>
        </w:numPr>
        <w:ind w:firstLine="0"/>
        <w:rPr>
          <w:i/>
          <w:sz w:val="22"/>
          <w:szCs w:val="22"/>
        </w:rPr>
      </w:pPr>
      <w:r w:rsidRPr="00220780">
        <w:rPr>
          <w:i/>
          <w:sz w:val="22"/>
          <w:szCs w:val="22"/>
        </w:rPr>
        <w:t xml:space="preserve">Changes between 2006 and 2007 </w:t>
      </w:r>
    </w:p>
    <w:p w:rsidR="00B94DF9" w:rsidRPr="00265478" w:rsidRDefault="00B94DF9" w:rsidP="00B94DF9">
      <w:pPr>
        <w:ind w:left="1800"/>
        <w:rPr>
          <w:b/>
          <w:sz w:val="4"/>
          <w:szCs w:val="22"/>
        </w:rPr>
      </w:pPr>
    </w:p>
    <w:p w:rsidR="00B94DF9" w:rsidRDefault="00B94DF9" w:rsidP="00B94DF9">
      <w:pPr>
        <w:rPr>
          <w:sz w:val="22"/>
          <w:szCs w:val="22"/>
        </w:rPr>
      </w:pPr>
      <w:r w:rsidRPr="00957D19">
        <w:rPr>
          <w:sz w:val="22"/>
          <w:szCs w:val="22"/>
        </w:rPr>
        <w:t xml:space="preserve">During the period elapsed between 12/31/06 and 12/31/07 the proportion of women among the NPO staff in CO increased in the two higher grade-levels (C and D) and remained virtually the same in the lower ones (A and B). </w:t>
      </w:r>
      <w:r>
        <w:rPr>
          <w:sz w:val="22"/>
          <w:szCs w:val="22"/>
        </w:rPr>
        <w:t xml:space="preserve">Because of </w:t>
      </w:r>
      <w:r w:rsidRPr="00957D19">
        <w:rPr>
          <w:sz w:val="22"/>
          <w:szCs w:val="22"/>
        </w:rPr>
        <w:t xml:space="preserve">the small size of the numbers, both absolute and proportional changes are depicted in Figure 7.  </w:t>
      </w:r>
    </w:p>
    <w:p w:rsidR="00B94DF9" w:rsidRDefault="00B94DF9" w:rsidP="00E317A2">
      <w:pPr>
        <w:ind w:left="900"/>
        <w:rPr>
          <w:sz w:val="24"/>
          <w:szCs w:val="22"/>
        </w:rPr>
      </w:pPr>
    </w:p>
    <w:p w:rsidR="009571FA" w:rsidRDefault="009571FA" w:rsidP="00B94DF9">
      <w:pPr>
        <w:ind w:left="864"/>
        <w:rPr>
          <w:b/>
          <w:sz w:val="22"/>
          <w:szCs w:val="22"/>
        </w:rPr>
      </w:pPr>
      <w:r w:rsidRPr="00B94DF9">
        <w:rPr>
          <w:b/>
          <w:szCs w:val="22"/>
        </w:rPr>
        <w:t>Figure 7</w:t>
      </w:r>
      <w:r w:rsidRPr="00B94DF9">
        <w:rPr>
          <w:sz w:val="22"/>
          <w:szCs w:val="22"/>
        </w:rPr>
        <w:t>.</w:t>
      </w:r>
      <w:r w:rsidRPr="00B94DF9">
        <w:rPr>
          <w:sz w:val="18"/>
          <w:szCs w:val="22"/>
        </w:rPr>
        <w:t xml:space="preserve"> </w:t>
      </w:r>
      <w:r w:rsidRPr="00E317A2">
        <w:rPr>
          <w:szCs w:val="22"/>
        </w:rPr>
        <w:t>Changes in the number and proportion of women</w:t>
      </w:r>
      <w:r w:rsidR="00B94DF9">
        <w:rPr>
          <w:szCs w:val="22"/>
        </w:rPr>
        <w:t xml:space="preserve"> among</w:t>
      </w:r>
      <w:r w:rsidRPr="00E317A2">
        <w:rPr>
          <w:szCs w:val="22"/>
        </w:rPr>
        <w:t xml:space="preserve"> National </w:t>
      </w:r>
      <w:r w:rsidR="00B94DF9">
        <w:rPr>
          <w:szCs w:val="22"/>
        </w:rPr>
        <w:t xml:space="preserve">            </w:t>
      </w:r>
      <w:r w:rsidRPr="00E317A2">
        <w:rPr>
          <w:szCs w:val="22"/>
        </w:rPr>
        <w:t>Professional Officer</w:t>
      </w:r>
      <w:r w:rsidR="00B94DF9">
        <w:rPr>
          <w:szCs w:val="22"/>
        </w:rPr>
        <w:t>s</w:t>
      </w:r>
      <w:r w:rsidRPr="00E317A2">
        <w:rPr>
          <w:szCs w:val="22"/>
        </w:rPr>
        <w:t xml:space="preserve"> between 12/31/2006 </w:t>
      </w:r>
      <w:r w:rsidR="00B94DF9">
        <w:rPr>
          <w:szCs w:val="22"/>
        </w:rPr>
        <w:t>and</w:t>
      </w:r>
      <w:r w:rsidRPr="00E317A2">
        <w:rPr>
          <w:szCs w:val="22"/>
        </w:rPr>
        <w:t xml:space="preserve"> 12/31/2007, by grade.</w:t>
      </w:r>
      <w:r>
        <w:rPr>
          <w:rFonts w:ascii="Calibri" w:hAnsi="Calibri" w:cs="Calibri"/>
          <w:color w:val="000000"/>
        </w:rPr>
        <w:t xml:space="preserve">                </w:t>
      </w:r>
      <w:r w:rsidR="00BD4C31" w:rsidRPr="00BD4C31">
        <w:pict>
          <v:group id="_x0000_s1941" editas="canvas" style="width:334.6pt;height:149.55pt;mso-position-horizontal-relative:char;mso-position-vertical-relative:line" coordorigin=",-131" coordsize="6692,2991">
            <o:lock v:ext="edit" aspectratio="t"/>
            <v:shape id="_x0000_s1942" type="#_x0000_t75" style="position:absolute;top:-131;width:6692;height:2991" o:preferrelative="f">
              <v:fill o:detectmouseclick="t"/>
              <v:path o:extrusionok="t" o:connecttype="none"/>
            </v:shape>
            <v:rect id="_x0000_s1943" style="position:absolute;top:-2;width:46;height:230;mso-wrap-style:none" filled="f" stroked="f">
              <v:textbox style="mso-next-textbox:#_x0000_s1943;mso-fit-shape-to-text:t" inset="0,0,0,0">
                <w:txbxContent>
                  <w:p w:rsidR="00D345DF" w:rsidRDefault="00D345DF" w:rsidP="00573033">
                    <w:r>
                      <w:rPr>
                        <w:rFonts w:ascii="Calibri" w:hAnsi="Calibri" w:cs="Calibri"/>
                        <w:color w:val="000000"/>
                      </w:rPr>
                      <w:t xml:space="preserve"> </w:t>
                    </w:r>
                  </w:p>
                </w:txbxContent>
              </v:textbox>
            </v:rect>
            <v:group id="_x0000_s1944" style="position:absolute;top:-2;width:6692;height:2530" coordorigin="69,69" coordsize="6692,3246">
              <v:rect id="_x0000_s1945" style="position:absolute;left:69;top:69;width:6692;height:3246" stroked="f"/>
              <v:rect id="_x0000_s1946" style="position:absolute;left:514;top:610;width:6109;height:1901" stroked="f"/>
              <v:line id="_x0000_s1947" style="position:absolute" from="514,1873" to="6623,1874" strokeweight="0">
                <v:stroke dashstyle="1 1"/>
              </v:line>
              <v:line id="_x0000_s1948" style="position:absolute" from="514,1248" to="6623,1249" strokeweight="0">
                <v:stroke dashstyle="1 1"/>
              </v:line>
              <v:line id="_x0000_s1949" style="position:absolute" from="514,610" to="6623,611" strokeweight="0">
                <v:stroke dashstyle="1 1"/>
              </v:line>
              <v:rect id="_x0000_s1950" style="position:absolute;left:514;top:610;width:6109;height:1901" filled="f" strokecolor="gray" strokeweight="39e-5mm"/>
              <v:rect id="_x0000_s1951" style="position:absolute;left:833;top:1748;width:444;height:763" fillcolor="#ffc" strokeweight="39e-5mm"/>
              <v:rect id="_x0000_s1952" style="position:absolute;left:2360;top:1997;width:445;height:514" fillcolor="#ffc" strokeweight="39e-5mm"/>
              <v:rect id="_x0000_s1953" style="position:absolute;left:3887;top:1873;width:445;height:638" fillcolor="#ffc" strokeweight="39e-5mm"/>
              <v:rect id="_x0000_s1954" style="position:absolute;left:1277;top:1748;width:431;height:763" fillcolor="teal" strokeweight="39e-5mm"/>
              <v:rect id="_x0000_s1955" style="position:absolute;left:2805;top:2136;width:430;height:375" fillcolor="teal" strokeweight="39e-5mm"/>
              <v:rect id="_x0000_s1956" style="position:absolute;left:4332;top:1124;width:430;height:1387" fillcolor="teal" strokeweight="39e-5mm"/>
              <v:rect id="_x0000_s1957" style="position:absolute;left:5859;top:2136;width:430;height:375" fillcolor="teal" strokeweight="39e-5mm"/>
              <v:line id="_x0000_s1958" style="position:absolute" from="514,610" to="515,2511" strokeweight="0"/>
              <v:line id="_x0000_s1959" style="position:absolute" from="472,2511" to="514,2512" strokeweight="0"/>
              <v:line id="_x0000_s1960" style="position:absolute" from="472,1873" to="514,1874" strokeweight="0"/>
              <v:line id="_x0000_s1961" style="position:absolute" from="472,1248" to="514,1249" strokeweight="0"/>
              <v:line id="_x0000_s1962" style="position:absolute" from="472,610" to="514,611" strokeweight="0"/>
              <v:line id="_x0000_s1963" style="position:absolute" from="514,2511" to="6623,2512" strokeweight="0"/>
              <v:line id="_x0000_s1964" style="position:absolute;flip:y" from="514,2511" to="515,2552" strokeweight="0"/>
              <v:line id="_x0000_s1965" style="position:absolute;flip:y" from="2041,2511" to="2042,2552" strokeweight="0"/>
              <v:line id="_x0000_s1966" style="position:absolute;flip:y" from="3568,2511" to="3569,2552" strokeweight="0"/>
              <v:line id="_x0000_s1967" style="position:absolute;flip:y" from="5095,2511" to="5096,2552" strokeweight="0"/>
              <v:line id="_x0000_s1968" style="position:absolute;flip:y" from="6623,2511" to="6624,2552" strokeweight="0"/>
              <v:rect id="_x0000_s1969" style="position:absolute;left:403;top:181;width:4145;height:295;mso-wrap-style:none" filled="f" stroked="f">
                <v:textbox style="mso-next-textbox:#_x0000_s1969;mso-fit-shape-to-text:t" inset="0,0,0,0">
                  <w:txbxContent>
                    <w:p w:rsidR="00D345DF" w:rsidRDefault="00D345DF" w:rsidP="00581596">
                      <w:pPr>
                        <w:numPr>
                          <w:ilvl w:val="0"/>
                          <w:numId w:val="19"/>
                        </w:numPr>
                        <w:rPr>
                          <w:b/>
                          <w:sz w:val="28"/>
                        </w:rPr>
                      </w:pPr>
                      <w:r>
                        <w:rPr>
                          <w:rFonts w:cs="Arial"/>
                          <w:b/>
                          <w:color w:val="000000"/>
                          <w:szCs w:val="16"/>
                        </w:rPr>
                        <w:t>Number of women</w:t>
                      </w:r>
                    </w:p>
                  </w:txbxContent>
                </v:textbox>
              </v:rect>
              <v:rect id="_x0000_s1970" style="position:absolute;left:1014;top:1470;width:89;height:236;mso-wrap-style:none" filled="f" stroked="f">
                <v:textbox style="mso-next-textbox:#_x0000_s1970;mso-fit-shape-to-text:t" inset="0,0,0,0">
                  <w:txbxContent>
                    <w:p w:rsidR="00D345DF" w:rsidRDefault="00D345DF" w:rsidP="00573033">
                      <w:r>
                        <w:rPr>
                          <w:rFonts w:cs="Arial"/>
                          <w:color w:val="000000"/>
                          <w:sz w:val="16"/>
                          <w:szCs w:val="16"/>
                        </w:rPr>
                        <w:t>6</w:t>
                      </w:r>
                    </w:p>
                  </w:txbxContent>
                </v:textbox>
              </v:rect>
              <v:rect id="_x0000_s1971" style="position:absolute;left:2541;top:1720;width:89;height:236;mso-wrap-style:none" filled="f" stroked="f">
                <v:textbox style="mso-next-textbox:#_x0000_s1971;mso-fit-shape-to-text:t" inset="0,0,0,0">
                  <w:txbxContent>
                    <w:p w:rsidR="00D345DF" w:rsidRDefault="00D345DF" w:rsidP="00573033">
                      <w:r>
                        <w:rPr>
                          <w:rFonts w:cs="Arial"/>
                          <w:color w:val="000000"/>
                          <w:sz w:val="16"/>
                          <w:szCs w:val="16"/>
                        </w:rPr>
                        <w:t>4</w:t>
                      </w:r>
                    </w:p>
                  </w:txbxContent>
                </v:textbox>
              </v:rect>
              <v:rect id="_x0000_s1972" style="position:absolute;left:4068;top:1594;width:89;height:237;mso-wrap-style:none" filled="f" stroked="f">
                <v:textbox style="mso-next-textbox:#_x0000_s1972;mso-fit-shape-to-text:t" inset="0,0,0,0">
                  <w:txbxContent>
                    <w:p w:rsidR="00D345DF" w:rsidRDefault="00D345DF" w:rsidP="00573033">
                      <w:r>
                        <w:rPr>
                          <w:rFonts w:cs="Arial"/>
                          <w:color w:val="000000"/>
                          <w:sz w:val="16"/>
                          <w:szCs w:val="16"/>
                        </w:rPr>
                        <w:t>5</w:t>
                      </w:r>
                    </w:p>
                  </w:txbxContent>
                </v:textbox>
              </v:rect>
              <v:rect id="_x0000_s1973" style="position:absolute;left:5595;top:2233;width:89;height:237;mso-wrap-style:none" filled="f" stroked="f">
                <v:textbox style="mso-next-textbox:#_x0000_s1973;mso-fit-shape-to-text:t" inset="0,0,0,0">
                  <w:txbxContent>
                    <w:p w:rsidR="00D345DF" w:rsidRDefault="00D345DF" w:rsidP="00573033">
                      <w:r>
                        <w:rPr>
                          <w:rFonts w:cs="Arial"/>
                          <w:color w:val="000000"/>
                          <w:sz w:val="16"/>
                          <w:szCs w:val="16"/>
                        </w:rPr>
                        <w:t>0</w:t>
                      </w:r>
                    </w:p>
                  </w:txbxContent>
                </v:textbox>
              </v:rect>
              <v:rect id="_x0000_s1974" style="position:absolute;left:1444;top:1470;width:89;height:236;mso-wrap-style:none" filled="f" stroked="f">
                <v:textbox style="mso-next-textbox:#_x0000_s1974;mso-fit-shape-to-text:t" inset="0,0,0,0">
                  <w:txbxContent>
                    <w:p w:rsidR="00D345DF" w:rsidRDefault="00D345DF" w:rsidP="00573033">
                      <w:r>
                        <w:rPr>
                          <w:rFonts w:cs="Arial"/>
                          <w:color w:val="000000"/>
                          <w:sz w:val="16"/>
                          <w:szCs w:val="16"/>
                        </w:rPr>
                        <w:t>6</w:t>
                      </w:r>
                    </w:p>
                  </w:txbxContent>
                </v:textbox>
              </v:rect>
              <v:rect id="_x0000_s1975" style="position:absolute;left:2971;top:1859;width:89;height:236;mso-wrap-style:none" filled="f" stroked="f">
                <v:textbox style="mso-next-textbox:#_x0000_s1975;mso-fit-shape-to-text:t" inset="0,0,0,0">
                  <w:txbxContent>
                    <w:p w:rsidR="00D345DF" w:rsidRDefault="00D345DF" w:rsidP="00573033">
                      <w:r>
                        <w:rPr>
                          <w:rFonts w:cs="Arial"/>
                          <w:color w:val="000000"/>
                          <w:sz w:val="16"/>
                          <w:szCs w:val="16"/>
                        </w:rPr>
                        <w:t>3</w:t>
                      </w:r>
                    </w:p>
                  </w:txbxContent>
                </v:textbox>
              </v:rect>
              <v:rect id="_x0000_s1976" style="position:absolute;left:4457;top:847;width:178;height:236;mso-wrap-style:none" filled="f" stroked="f">
                <v:textbox style="mso-next-textbox:#_x0000_s1976;mso-fit-shape-to-text:t" inset="0,0,0,0">
                  <w:txbxContent>
                    <w:p w:rsidR="00D345DF" w:rsidRDefault="00D345DF" w:rsidP="00573033">
                      <w:r>
                        <w:rPr>
                          <w:rFonts w:cs="Arial"/>
                          <w:color w:val="000000"/>
                          <w:sz w:val="16"/>
                          <w:szCs w:val="16"/>
                        </w:rPr>
                        <w:t>11</w:t>
                      </w:r>
                    </w:p>
                  </w:txbxContent>
                </v:textbox>
              </v:rect>
              <v:rect id="_x0000_s1977" style="position:absolute;left:6026;top:1859;width:89;height:236;mso-wrap-style:none" filled="f" stroked="f">
                <v:textbox style="mso-next-textbox:#_x0000_s1977;mso-fit-shape-to-text:t" inset="0,0,0,0">
                  <w:txbxContent>
                    <w:p w:rsidR="00D345DF" w:rsidRDefault="00D345DF" w:rsidP="00573033">
                      <w:r>
                        <w:rPr>
                          <w:rFonts w:cs="Arial"/>
                          <w:color w:val="000000"/>
                          <w:sz w:val="16"/>
                          <w:szCs w:val="16"/>
                        </w:rPr>
                        <w:t>3</w:t>
                      </w:r>
                    </w:p>
                  </w:txbxContent>
                </v:textbox>
              </v:rect>
              <v:rect id="_x0000_s1978" style="position:absolute;left:319;top:2414;width:89;height:236;mso-wrap-style:none" filled="f" stroked="f">
                <v:textbox style="mso-next-textbox:#_x0000_s1978;mso-fit-shape-to-text:t" inset="0,0,0,0">
                  <w:txbxContent>
                    <w:p w:rsidR="00D345DF" w:rsidRDefault="00D345DF" w:rsidP="00573033">
                      <w:r>
                        <w:rPr>
                          <w:rFonts w:cs="Arial"/>
                          <w:color w:val="000000"/>
                          <w:sz w:val="16"/>
                          <w:szCs w:val="16"/>
                        </w:rPr>
                        <w:t>0</w:t>
                      </w:r>
                    </w:p>
                  </w:txbxContent>
                </v:textbox>
              </v:rect>
              <v:rect id="_x0000_s1979" style="position:absolute;left:319;top:1775;width:89;height:236;mso-wrap-style:none" filled="f" stroked="f">
                <v:textbox style="mso-next-textbox:#_x0000_s1979;mso-fit-shape-to-text:t" inset="0,0,0,0">
                  <w:txbxContent>
                    <w:p w:rsidR="00D345DF" w:rsidRDefault="00D345DF" w:rsidP="00573033">
                      <w:r>
                        <w:rPr>
                          <w:rFonts w:cs="Arial"/>
                          <w:color w:val="000000"/>
                          <w:sz w:val="16"/>
                          <w:szCs w:val="16"/>
                        </w:rPr>
                        <w:t>5</w:t>
                      </w:r>
                    </w:p>
                  </w:txbxContent>
                </v:textbox>
              </v:rect>
              <v:rect id="_x0000_s1980" style="position:absolute;left:236;top:1151;width:178;height:236;mso-wrap-style:none" filled="f" stroked="f">
                <v:textbox style="mso-next-textbox:#_x0000_s1980;mso-fit-shape-to-text:t" inset="0,0,0,0">
                  <w:txbxContent>
                    <w:p w:rsidR="00D345DF" w:rsidRDefault="00D345DF" w:rsidP="00573033">
                      <w:r>
                        <w:rPr>
                          <w:rFonts w:cs="Arial"/>
                          <w:color w:val="000000"/>
                          <w:sz w:val="16"/>
                          <w:szCs w:val="16"/>
                        </w:rPr>
                        <w:t>10</w:t>
                      </w:r>
                    </w:p>
                  </w:txbxContent>
                </v:textbox>
              </v:rect>
              <v:rect id="_x0000_s1981" style="position:absolute;left:236;top:512;width:178;height:236;mso-wrap-style:none" filled="f" stroked="f">
                <v:textbox style="mso-next-textbox:#_x0000_s1981;mso-fit-shape-to-text:t" inset="0,0,0,0">
                  <w:txbxContent>
                    <w:p w:rsidR="00D345DF" w:rsidRDefault="00D345DF" w:rsidP="00573033">
                      <w:r>
                        <w:rPr>
                          <w:rFonts w:cs="Arial"/>
                          <w:color w:val="000000"/>
                          <w:sz w:val="16"/>
                          <w:szCs w:val="16"/>
                        </w:rPr>
                        <w:t>15</w:t>
                      </w:r>
                    </w:p>
                  </w:txbxContent>
                </v:textbox>
              </v:rect>
              <v:rect id="_x0000_s1982" style="position:absolute;left:1125;top:2636;width:392;height:236;mso-wrap-style:none" filled="f" stroked="f">
                <v:textbox style="mso-next-textbox:#_x0000_s1982;mso-fit-shape-to-text:t" inset="0,0,0,0">
                  <w:txbxContent>
                    <w:p w:rsidR="00D345DF" w:rsidRDefault="00D345DF" w:rsidP="00573033">
                      <w:r>
                        <w:rPr>
                          <w:rFonts w:cs="Arial"/>
                          <w:color w:val="000000"/>
                          <w:sz w:val="16"/>
                          <w:szCs w:val="16"/>
                        </w:rPr>
                        <w:t>NO A</w:t>
                      </w:r>
                    </w:p>
                  </w:txbxContent>
                </v:textbox>
              </v:rect>
              <v:rect id="_x0000_s1983" style="position:absolute;left:2652;top:2636;width:392;height:236;mso-wrap-style:none" filled="f" stroked="f">
                <v:textbox style="mso-next-textbox:#_x0000_s1983;mso-fit-shape-to-text:t" inset="0,0,0,0">
                  <w:txbxContent>
                    <w:p w:rsidR="00D345DF" w:rsidRDefault="00D345DF" w:rsidP="00573033">
                      <w:r>
                        <w:rPr>
                          <w:rFonts w:cs="Arial"/>
                          <w:color w:val="000000"/>
                          <w:sz w:val="16"/>
                          <w:szCs w:val="16"/>
                        </w:rPr>
                        <w:t>NO B</w:t>
                      </w:r>
                    </w:p>
                  </w:txbxContent>
                </v:textbox>
              </v:rect>
              <v:rect id="_x0000_s1984" style="position:absolute;left:4179;top:2636;width:401;height:236;mso-wrap-style:none" filled="f" stroked="f">
                <v:textbox style="mso-next-textbox:#_x0000_s1984;mso-fit-shape-to-text:t" inset="0,0,0,0">
                  <w:txbxContent>
                    <w:p w:rsidR="00D345DF" w:rsidRDefault="00D345DF" w:rsidP="00573033">
                      <w:r>
                        <w:rPr>
                          <w:rFonts w:cs="Arial"/>
                          <w:color w:val="000000"/>
                          <w:sz w:val="16"/>
                          <w:szCs w:val="16"/>
                        </w:rPr>
                        <w:t>NO C</w:t>
                      </w:r>
                    </w:p>
                  </w:txbxContent>
                </v:textbox>
              </v:rect>
              <v:rect id="_x0000_s1985" style="position:absolute;left:5706;top:2636;width:401;height:236;mso-wrap-style:none" filled="f" stroked="f">
                <v:textbox style="mso-next-textbox:#_x0000_s1985;mso-fit-shape-to-text:t" inset="0,0,0,0">
                  <w:txbxContent>
                    <w:p w:rsidR="00D345DF" w:rsidRDefault="00D345DF" w:rsidP="00573033">
                      <w:r>
                        <w:rPr>
                          <w:rFonts w:cs="Arial"/>
                          <w:color w:val="000000"/>
                          <w:sz w:val="16"/>
                          <w:szCs w:val="16"/>
                        </w:rPr>
                        <w:t>NO D</w:t>
                      </w:r>
                    </w:p>
                  </w:txbxContent>
                </v:textbox>
              </v:rect>
              <v:rect id="_x0000_s1986" style="position:absolute;left:2985;top:2955;width:1139;height:291" strokeweight="0"/>
              <v:rect id="_x0000_s1987" style="position:absolute;left:3041;top:3052;width:83;height:83" fillcolor="#ffc" strokeweight="39e-5mm"/>
              <v:rect id="_x0000_s1988" style="position:absolute;left:3179;top:2996;width:356;height:236;mso-wrap-style:none" filled="f" stroked="f">
                <v:textbox style="mso-next-textbox:#_x0000_s1988;mso-fit-shape-to-text:t" inset="0,0,0,0">
                  <w:txbxContent>
                    <w:p w:rsidR="00D345DF" w:rsidRDefault="00D345DF" w:rsidP="00573033">
                      <w:r>
                        <w:rPr>
                          <w:rFonts w:cs="Arial"/>
                          <w:color w:val="000000"/>
                          <w:sz w:val="16"/>
                          <w:szCs w:val="16"/>
                        </w:rPr>
                        <w:t>2006</w:t>
                      </w:r>
                    </w:p>
                  </w:txbxContent>
                </v:textbox>
              </v:rect>
              <v:rect id="_x0000_s1989" style="position:absolute;left:3582;top:3052;width:83;height:83" fillcolor="teal" strokeweight="39e-5mm"/>
              <v:rect id="_x0000_s1990" style="position:absolute;left:3721;top:2996;width:356;height:236;mso-wrap-style:none" filled="f" stroked="f">
                <v:textbox style="mso-next-textbox:#_x0000_s1990;mso-fit-shape-to-text:t" inset="0,0,0,0">
                  <w:txbxContent>
                    <w:p w:rsidR="00D345DF" w:rsidRDefault="00D345DF" w:rsidP="00573033">
                      <w:r>
                        <w:rPr>
                          <w:rFonts w:cs="Arial"/>
                          <w:color w:val="000000"/>
                          <w:sz w:val="16"/>
                          <w:szCs w:val="16"/>
                        </w:rPr>
                        <w:t>2007</w:t>
                      </w:r>
                    </w:p>
                  </w:txbxContent>
                </v:textbox>
              </v:rect>
            </v:group>
            <w10:wrap type="none"/>
            <w10:anchorlock/>
          </v:group>
        </w:pict>
      </w:r>
    </w:p>
    <w:p w:rsidR="009571FA" w:rsidRDefault="009571FA" w:rsidP="00E317A2">
      <w:pPr>
        <w:ind w:left="540"/>
        <w:rPr>
          <w:szCs w:val="22"/>
        </w:rPr>
      </w:pPr>
      <w:r>
        <w:rPr>
          <w:rFonts w:ascii="Calibri" w:hAnsi="Calibri" w:cs="Calibri"/>
          <w:color w:val="000000"/>
        </w:rPr>
        <w:t xml:space="preserve">   </w:t>
      </w:r>
      <w:r w:rsidR="00BD4C31" w:rsidRPr="00BD4C31">
        <w:pict>
          <v:group id="_x0000_s1991" editas="canvas" style="width:364.4pt;height:181.15pt;mso-position-horizontal-relative:char;mso-position-vertical-relative:line" coordsize="7288,3623">
            <o:lock v:ext="edit" aspectratio="t"/>
            <v:shape id="_x0000_s1992" type="#_x0000_t75" style="position:absolute;width:7288;height:3623" o:preferrelative="f">
              <v:fill o:detectmouseclick="t"/>
              <v:path o:extrusionok="t" o:connecttype="none"/>
            </v:shape>
            <v:rect id="_x0000_s1993" style="position:absolute;top:2;width:46;height:230;mso-wrap-style:none" filled="f" stroked="f">
              <v:textbox style="mso-next-textbox:#_x0000_s1993;mso-fit-shape-to-text:t" inset="0,0,0,0">
                <w:txbxContent>
                  <w:p w:rsidR="00D345DF" w:rsidRDefault="00D345DF" w:rsidP="00573033">
                    <w:r>
                      <w:rPr>
                        <w:rFonts w:ascii="Calibri" w:hAnsi="Calibri" w:cs="Calibri"/>
                        <w:color w:val="000000"/>
                      </w:rPr>
                      <w:t xml:space="preserve"> </w:t>
                    </w:r>
                  </w:p>
                </w:txbxContent>
              </v:textbox>
            </v:rect>
            <v:group id="_x0000_s1994" style="position:absolute;left:138;top:2;width:6868;height:3320" coordorigin="71,74" coordsize="6868,3320">
              <v:rect id="_x0000_s1995" style="position:absolute;left:71;top:74;width:6868;height:3320" stroked="f"/>
              <v:rect id="_x0000_s1996" style="position:absolute;left:826;top:629;width:5971;height:1354" stroked="f"/>
              <v:line id="_x0000_s1997" style="position:absolute" from="826,1641" to="6797,1642" strokeweight="0">
                <v:stroke dashstyle="1 1"/>
              </v:line>
              <v:line id="_x0000_s1998" style="position:absolute" from="826,1313" to="6797,1314" strokeweight="0">
                <v:stroke dashstyle="1 1"/>
              </v:line>
              <v:line id="_x0000_s1999" style="position:absolute" from="826,971" to="6797,972" strokeweight="0">
                <v:stroke dashstyle="1 1"/>
              </v:line>
              <v:line id="_x0000_s2000" style="position:absolute" from="826,629" to="6797,630" strokeweight="0">
                <v:stroke dashstyle="1 1"/>
              </v:line>
              <v:rect id="_x0000_s2001" style="position:absolute;left:826;top:629;width:5971;height:1354" filled="f" strokecolor="gray" strokeweight="39e-5mm"/>
              <v:rect id="_x0000_s2002" style="position:absolute;left:1083;top:971;width:342;height:1012" fillcolor="#ffc" strokeweight="39e-5mm"/>
              <v:rect id="_x0000_s2003" style="position:absolute;left:2280;top:1313;width:342;height:670" fillcolor="#ffc" strokeweight="39e-5mm"/>
              <v:rect id="_x0000_s2004" style="position:absolute;left:3477;top:1142;width:342;height:841" fillcolor="#ffc" strokeweight="39e-5mm"/>
              <v:rect id="_x0000_s2005" style="position:absolute;left:5856;top:1171;width:342;height:812" fillcolor="#ffc" strokeweight="39e-5mm"/>
              <v:rect id="_x0000_s2006" style="position:absolute;left:1425;top:971;width:342;height:1012" fillcolor="teal" strokeweight="39e-5mm"/>
              <v:rect id="_x0000_s2007" style="position:absolute;left:2622;top:1313;width:342;height:670" fillcolor="teal" strokeweight="39e-5mm"/>
              <v:rect id="_x0000_s2008" style="position:absolute;left:3819;top:914;width:327;height:1069" fillcolor="teal" strokeweight="39e-5mm"/>
              <v:rect id="_x0000_s2009" style="position:absolute;left:5001;top:1171;width:342;height:812" fillcolor="teal" strokeweight="39e-5mm"/>
              <v:rect id="_x0000_s2010" style="position:absolute;left:6198;top:1043;width:342;height:940" fillcolor="teal" strokeweight="39e-5mm"/>
              <v:line id="_x0000_s2011" style="position:absolute" from="826,629" to="827,1983" strokeweight="0"/>
              <v:line id="_x0000_s2012" style="position:absolute" from="784,1983" to="826,1984" strokeweight="0"/>
              <v:line id="_x0000_s2013" style="position:absolute" from="784,1641" to="826,1642" strokeweight="0"/>
              <v:line id="_x0000_s2014" style="position:absolute" from="784,1313" to="826,1314" strokeweight="0"/>
              <v:line id="_x0000_s2015" style="position:absolute" from="784,971" to="826,972" strokeweight="0"/>
              <v:line id="_x0000_s2016" style="position:absolute" from="784,629" to="826,630" strokeweight="0"/>
              <v:line id="_x0000_s2017" style="position:absolute" from="826,1983" to="6797,1984" strokeweight="0"/>
              <v:rect id="_x0000_s2018" style="position:absolute;left:2864;top:202;width:2189;height:230;mso-wrap-style:none" filled="f" stroked="f">
                <v:textbox style="mso-next-textbox:#_x0000_s2018;mso-fit-shape-to-text:t" inset="0,0,0,0">
                  <w:txbxContent>
                    <w:p w:rsidR="00D345DF" w:rsidRDefault="00D345DF" w:rsidP="00573033">
                      <w:pPr>
                        <w:rPr>
                          <w:b/>
                          <w:szCs w:val="20"/>
                        </w:rPr>
                      </w:pPr>
                      <w:r>
                        <w:rPr>
                          <w:rFonts w:cs="Arial"/>
                          <w:b/>
                          <w:color w:val="000000"/>
                          <w:szCs w:val="20"/>
                        </w:rPr>
                        <w:t>b. Women as % of total</w:t>
                      </w:r>
                    </w:p>
                  </w:txbxContent>
                </v:textbox>
              </v:rect>
              <v:rect id="_x0000_s2019" style="position:absolute;left:499;top:1883;width:223;height:184;mso-wrap-style:none" filled="f" stroked="f">
                <v:textbox style="mso-next-textbox:#_x0000_s2019;mso-fit-shape-to-text:t" inset="0,0,0,0">
                  <w:txbxContent>
                    <w:p w:rsidR="00D345DF" w:rsidRDefault="00D345DF" w:rsidP="00573033">
                      <w:r>
                        <w:rPr>
                          <w:rFonts w:cs="Arial"/>
                          <w:color w:val="000000"/>
                          <w:sz w:val="16"/>
                          <w:szCs w:val="16"/>
                        </w:rPr>
                        <w:t>0.0</w:t>
                      </w:r>
                    </w:p>
                  </w:txbxContent>
                </v:textbox>
              </v:rect>
              <v:rect id="_x0000_s2020" style="position:absolute;left:413;top:1541;width:312;height:184;mso-wrap-style:none" filled="f" stroked="f">
                <v:textbox style="mso-next-textbox:#_x0000_s2020;mso-fit-shape-to-text:t" inset="0,0,0,0">
                  <w:txbxContent>
                    <w:p w:rsidR="00D345DF" w:rsidRDefault="00D345DF" w:rsidP="00573033">
                      <w:r>
                        <w:rPr>
                          <w:rFonts w:cs="Arial"/>
                          <w:color w:val="000000"/>
                          <w:sz w:val="16"/>
                          <w:szCs w:val="16"/>
                        </w:rPr>
                        <w:t>25.0</w:t>
                      </w:r>
                    </w:p>
                  </w:txbxContent>
                </v:textbox>
              </v:rect>
              <v:rect id="_x0000_s2021" style="position:absolute;left:413;top:1214;width:312;height:184;mso-wrap-style:none" filled="f" stroked="f">
                <v:textbox style="mso-next-textbox:#_x0000_s2021;mso-fit-shape-to-text:t" inset="0,0,0,0">
                  <w:txbxContent>
                    <w:p w:rsidR="00D345DF" w:rsidRDefault="00D345DF" w:rsidP="00265478">
                      <w:pPr>
                        <w:ind w:right="-310"/>
                      </w:pPr>
                      <w:r>
                        <w:rPr>
                          <w:rFonts w:cs="Arial"/>
                          <w:color w:val="000000"/>
                          <w:sz w:val="16"/>
                          <w:szCs w:val="16"/>
                        </w:rPr>
                        <w:t>50.0</w:t>
                      </w:r>
                    </w:p>
                  </w:txbxContent>
                </v:textbox>
              </v:rect>
              <v:rect id="_x0000_s2022" style="position:absolute;left:413;top:872;width:312;height:184;mso-wrap-style:none" filled="f" stroked="f">
                <v:textbox style="mso-next-textbox:#_x0000_s2022;mso-fit-shape-to-text:t" inset="0,0,0,0">
                  <w:txbxContent>
                    <w:p w:rsidR="00D345DF" w:rsidRDefault="00D345DF" w:rsidP="00573033">
                      <w:r>
                        <w:rPr>
                          <w:rFonts w:cs="Arial"/>
                          <w:color w:val="000000"/>
                          <w:sz w:val="16"/>
                          <w:szCs w:val="16"/>
                        </w:rPr>
                        <w:t>75.0</w:t>
                      </w:r>
                    </w:p>
                  </w:txbxContent>
                </v:textbox>
              </v:rect>
              <v:rect id="_x0000_s2023" style="position:absolute;left:328;top:530;width:401;height:184;mso-wrap-style:none" filled="f" stroked="f">
                <v:textbox style="mso-next-textbox:#_x0000_s2023;mso-fit-shape-to-text:t" inset="0,0,0,0">
                  <w:txbxContent>
                    <w:p w:rsidR="00D345DF" w:rsidRDefault="00D345DF" w:rsidP="00573033">
                      <w:r>
                        <w:rPr>
                          <w:rFonts w:cs="Arial"/>
                          <w:color w:val="000000"/>
                          <w:sz w:val="16"/>
                          <w:szCs w:val="16"/>
                        </w:rPr>
                        <w:t>100.0</w:t>
                      </w:r>
                    </w:p>
                  </w:txbxContent>
                </v:textbox>
              </v:rect>
              <v:rect id="_x0000_s2024" style="position:absolute;left:3220;top:3024;width:1169;height:299" strokeweight="0"/>
              <v:rect id="_x0000_s2025" style="position:absolute;left:3277;top:3123;width:86;height:86" fillcolor="#ffc" strokeweight="39e-5mm"/>
              <v:rect id="_x0000_s2026" style="position:absolute;left:3420;top:3066;width:356;height:184;mso-wrap-style:none" filled="f" stroked="f">
                <v:textbox style="mso-next-textbox:#_x0000_s2026;mso-fit-shape-to-text:t" inset="0,0,0,0">
                  <w:txbxContent>
                    <w:p w:rsidR="00D345DF" w:rsidRDefault="00D345DF" w:rsidP="00573033">
                      <w:r>
                        <w:rPr>
                          <w:rFonts w:cs="Arial"/>
                          <w:color w:val="000000"/>
                          <w:sz w:val="16"/>
                          <w:szCs w:val="16"/>
                        </w:rPr>
                        <w:t>2006</w:t>
                      </w:r>
                    </w:p>
                  </w:txbxContent>
                </v:textbox>
              </v:rect>
              <v:rect id="_x0000_s2027" style="position:absolute;left:3833;top:3123;width:85;height:86" fillcolor="teal" strokeweight="39e-5mm"/>
              <v:rect id="_x0000_s2028" style="position:absolute;left:3975;top:3066;width:356;height:184;mso-wrap-style:none" filled="f" stroked="f">
                <v:textbox style="mso-next-textbox:#_x0000_s2028;mso-fit-shape-to-text:t" inset="0,0,0,0">
                  <w:txbxContent>
                    <w:p w:rsidR="00D345DF" w:rsidRDefault="00D345DF" w:rsidP="00573033">
                      <w:r>
                        <w:rPr>
                          <w:rFonts w:cs="Arial"/>
                          <w:color w:val="000000"/>
                          <w:sz w:val="16"/>
                          <w:szCs w:val="16"/>
                        </w:rPr>
                        <w:t>2007</w:t>
                      </w:r>
                    </w:p>
                  </w:txbxContent>
                </v:textbox>
              </v:rect>
              <v:line id="_x0000_s2029" style="position:absolute" from="228,2283" to="6797,2284" strokeweight="0"/>
              <v:line id="_x0000_s2030" style="position:absolute" from="228,2853" to="6797,2854" strokeweight="0"/>
              <v:line id="_x0000_s2031" style="position:absolute" from="826,1983" to="6797,1984" strokeweight="0"/>
              <v:line id="_x0000_s2032" style="position:absolute" from="228,2283" to="229,2853" strokeweight="0"/>
              <v:line id="_x0000_s2033" style="position:absolute" from="826,1983" to="827,2853" strokeweight="0"/>
              <v:line id="_x0000_s2034" style="position:absolute" from="2023,1983" to="2024,2853" strokeweight="0"/>
              <v:line id="_x0000_s2035" style="position:absolute" from="3220,1983" to="3221,2853" strokeweight="0"/>
              <v:line id="_x0000_s2036" style="position:absolute" from="4403,1983" to="4404,2853" strokeweight="0"/>
              <v:line id="_x0000_s2037" style="position:absolute" from="5600,1983" to="5601,2853" strokeweight="0"/>
              <v:line id="_x0000_s2038" style="position:absolute" from="6797,1983" to="6798,2853" strokeweight="0"/>
              <v:rect id="_x0000_s2039" style="position:absolute;left:271;top:2411;width:85;height:85" fillcolor="#ffc" strokeweight="39e-5mm"/>
              <v:rect id="_x0000_s2040" style="position:absolute;left:413;top:2354;width:356;height:184;mso-wrap-style:none" filled="f" stroked="f">
                <v:textbox style="mso-next-textbox:#_x0000_s2040;mso-fit-shape-to-text:t" inset="0,0,0,0">
                  <w:txbxContent>
                    <w:p w:rsidR="00D345DF" w:rsidRDefault="00D345DF" w:rsidP="00573033">
                      <w:r>
                        <w:rPr>
                          <w:rFonts w:cs="Arial"/>
                          <w:color w:val="000000"/>
                          <w:sz w:val="16"/>
                          <w:szCs w:val="16"/>
                        </w:rPr>
                        <w:t>2006</w:t>
                      </w:r>
                    </w:p>
                  </w:txbxContent>
                </v:textbox>
              </v:rect>
              <v:rect id="_x0000_s2041" style="position:absolute;left:1268;top:2340;width:312;height:184;mso-wrap-style:none" filled="f" stroked="f">
                <v:textbox style="mso-next-textbox:#_x0000_s2041;mso-fit-shape-to-text:t" inset="0,0,0,0">
                  <w:txbxContent>
                    <w:p w:rsidR="00D345DF" w:rsidRDefault="00D345DF" w:rsidP="00573033">
                      <w:r>
                        <w:rPr>
                          <w:rFonts w:cs="Arial"/>
                          <w:color w:val="000000"/>
                          <w:sz w:val="16"/>
                          <w:szCs w:val="16"/>
                        </w:rPr>
                        <w:t>75.0</w:t>
                      </w:r>
                    </w:p>
                  </w:txbxContent>
                </v:textbox>
              </v:rect>
              <v:rect id="_x0000_s2042" style="position:absolute;left:2465;top:2340;width:312;height:184;mso-wrap-style:none" filled="f" stroked="f">
                <v:textbox style="mso-next-textbox:#_x0000_s2042;mso-fit-shape-to-text:t" inset="0,0,0,0">
                  <w:txbxContent>
                    <w:p w:rsidR="00D345DF" w:rsidRDefault="00D345DF" w:rsidP="00573033">
                      <w:r>
                        <w:rPr>
                          <w:rFonts w:cs="Arial"/>
                          <w:color w:val="000000"/>
                          <w:sz w:val="16"/>
                          <w:szCs w:val="16"/>
                        </w:rPr>
                        <w:t>50.0</w:t>
                      </w:r>
                    </w:p>
                  </w:txbxContent>
                </v:textbox>
              </v:rect>
              <v:rect id="_x0000_s2043" style="position:absolute;left:3662;top:2340;width:312;height:184;mso-wrap-style:none" filled="f" stroked="f">
                <v:textbox style="mso-next-textbox:#_x0000_s2043;mso-fit-shape-to-text:t" inset="0,0,0,0">
                  <w:txbxContent>
                    <w:p w:rsidR="00D345DF" w:rsidRDefault="00D345DF" w:rsidP="00573033">
                      <w:r>
                        <w:rPr>
                          <w:rFonts w:cs="Arial"/>
                          <w:color w:val="000000"/>
                          <w:sz w:val="16"/>
                          <w:szCs w:val="16"/>
                        </w:rPr>
                        <w:t>62.5</w:t>
                      </w:r>
                    </w:p>
                  </w:txbxContent>
                </v:textbox>
              </v:rect>
              <v:rect id="_x0000_s2044" style="position:absolute;left:4887;top:2340;width:223;height:184;mso-wrap-style:none" filled="f" stroked="f">
                <v:textbox style="mso-next-textbox:#_x0000_s2044;mso-fit-shape-to-text:t" inset="0,0,0,0">
                  <w:txbxContent>
                    <w:p w:rsidR="00D345DF" w:rsidRDefault="00D345DF" w:rsidP="00573033">
                      <w:r>
                        <w:rPr>
                          <w:rFonts w:cs="Arial"/>
                          <w:color w:val="000000"/>
                          <w:sz w:val="16"/>
                          <w:szCs w:val="16"/>
                        </w:rPr>
                        <w:t>0.0</w:t>
                      </w:r>
                    </w:p>
                  </w:txbxContent>
                </v:textbox>
              </v:rect>
              <v:rect id="_x0000_s2045" style="position:absolute;left:6041;top:2340;width:312;height:184;mso-wrap-style:none" filled="f" stroked="f">
                <v:textbox style="mso-next-textbox:#_x0000_s2045;mso-fit-shape-to-text:t" inset="0,0,0,0">
                  <w:txbxContent>
                    <w:p w:rsidR="00D345DF" w:rsidRDefault="00D345DF" w:rsidP="00573033">
                      <w:r>
                        <w:rPr>
                          <w:rFonts w:cs="Arial"/>
                          <w:color w:val="000000"/>
                          <w:sz w:val="16"/>
                          <w:szCs w:val="16"/>
                        </w:rPr>
                        <w:t>60.0</w:t>
                      </w:r>
                    </w:p>
                  </w:txbxContent>
                </v:textbox>
              </v:rect>
              <v:line id="_x0000_s2046" style="position:absolute" from="242,2582" to="6782,2583" strokeweight="0"/>
              <v:rect id="_x0000_s2047" style="position:absolute;left:271;top:2696;width:85;height:85" fillcolor="teal" strokeweight="39e-5mm"/>
              <v:rect id="_x0000_s2048" style="position:absolute;left:413;top:2639;width:356;height:184;mso-wrap-style:none" filled="f" stroked="f">
                <v:textbox style="mso-next-textbox:#_x0000_s2048;mso-fit-shape-to-text:t" inset="0,0,0,0">
                  <w:txbxContent>
                    <w:p w:rsidR="00D345DF" w:rsidRDefault="00D345DF" w:rsidP="00573033">
                      <w:r>
                        <w:rPr>
                          <w:rFonts w:cs="Arial"/>
                          <w:color w:val="000000"/>
                          <w:sz w:val="16"/>
                          <w:szCs w:val="16"/>
                        </w:rPr>
                        <w:t>2007</w:t>
                      </w:r>
                    </w:p>
                  </w:txbxContent>
                </v:textbox>
              </v:rect>
              <v:rect id="_x0000_s2049" style="position:absolute;left:1268;top:2625;width:312;height:184;mso-wrap-style:none" filled="f" stroked="f">
                <v:textbox style="mso-next-textbox:#_x0000_s2049;mso-fit-shape-to-text:t" inset="0,0,0,0">
                  <w:txbxContent>
                    <w:p w:rsidR="00D345DF" w:rsidRDefault="00D345DF" w:rsidP="00573033">
                      <w:r>
                        <w:rPr>
                          <w:rFonts w:cs="Arial"/>
                          <w:color w:val="000000"/>
                          <w:sz w:val="16"/>
                          <w:szCs w:val="16"/>
                        </w:rPr>
                        <w:t>75.0</w:t>
                      </w:r>
                    </w:p>
                  </w:txbxContent>
                </v:textbox>
              </v:rect>
              <v:rect id="_x0000_s2050" style="position:absolute;left:2465;top:2625;width:312;height:184;mso-wrap-style:none" filled="f" stroked="f">
                <v:textbox style="mso-next-textbox:#_x0000_s2050;mso-fit-shape-to-text:t" inset="0,0,0,0">
                  <w:txbxContent>
                    <w:p w:rsidR="00D345DF" w:rsidRDefault="00D345DF" w:rsidP="00573033">
                      <w:r>
                        <w:rPr>
                          <w:rFonts w:cs="Arial"/>
                          <w:color w:val="000000"/>
                          <w:sz w:val="16"/>
                          <w:szCs w:val="16"/>
                        </w:rPr>
                        <w:t>50.0</w:t>
                      </w:r>
                    </w:p>
                  </w:txbxContent>
                </v:textbox>
              </v:rect>
              <v:rect id="_x0000_s2051" style="position:absolute;left:3662;top:2625;width:312;height:184;mso-wrap-style:none" filled="f" stroked="f">
                <v:textbox style="mso-next-textbox:#_x0000_s2051;mso-fit-shape-to-text:t" inset="0,0,0,0">
                  <w:txbxContent>
                    <w:p w:rsidR="00D345DF" w:rsidRDefault="00D345DF" w:rsidP="00573033">
                      <w:r>
                        <w:rPr>
                          <w:rFonts w:cs="Arial"/>
                          <w:color w:val="000000"/>
                          <w:sz w:val="16"/>
                          <w:szCs w:val="16"/>
                        </w:rPr>
                        <w:t>78.6</w:t>
                      </w:r>
                    </w:p>
                  </w:txbxContent>
                </v:textbox>
              </v:rect>
              <v:rect id="_x0000_s2052" style="position:absolute;left:4845;top:2625;width:312;height:184;mso-wrap-style:none" filled="f" stroked="f">
                <v:textbox style="mso-next-textbox:#_x0000_s2052;mso-fit-shape-to-text:t" inset="0,0,0,0">
                  <w:txbxContent>
                    <w:p w:rsidR="00D345DF" w:rsidRDefault="00D345DF" w:rsidP="00573033">
                      <w:r>
                        <w:rPr>
                          <w:rFonts w:cs="Arial"/>
                          <w:color w:val="000000"/>
                          <w:sz w:val="16"/>
                          <w:szCs w:val="16"/>
                        </w:rPr>
                        <w:t>60.0</w:t>
                      </w:r>
                    </w:p>
                  </w:txbxContent>
                </v:textbox>
              </v:rect>
              <v:rect id="_x0000_s2053" style="position:absolute;left:6041;top:2625;width:312;height:184;mso-wrap-style:none" filled="f" stroked="f">
                <v:textbox style="mso-next-textbox:#_x0000_s2053;mso-fit-shape-to-text:t" inset="0,0,0,0">
                  <w:txbxContent>
                    <w:p w:rsidR="00D345DF" w:rsidRDefault="00D345DF" w:rsidP="00573033">
                      <w:r>
                        <w:rPr>
                          <w:rFonts w:cs="Arial"/>
                          <w:color w:val="000000"/>
                          <w:sz w:val="16"/>
                          <w:szCs w:val="16"/>
                        </w:rPr>
                        <w:t>69.7</w:t>
                      </w:r>
                    </w:p>
                  </w:txbxContent>
                </v:textbox>
              </v:rect>
              <v:rect id="_x0000_s2054" style="position:absolute;left:1254;top:2026;width:392;height:184;mso-wrap-style:none" filled="f" stroked="f">
                <v:textbox style="mso-next-textbox:#_x0000_s2054;mso-fit-shape-to-text:t" inset="0,0,0,0">
                  <w:txbxContent>
                    <w:p w:rsidR="00D345DF" w:rsidRDefault="00D345DF" w:rsidP="00573033">
                      <w:r>
                        <w:rPr>
                          <w:rFonts w:cs="Arial"/>
                          <w:color w:val="000000"/>
                          <w:sz w:val="16"/>
                          <w:szCs w:val="16"/>
                        </w:rPr>
                        <w:t>NO A</w:t>
                      </w:r>
                    </w:p>
                  </w:txbxContent>
                </v:textbox>
              </v:rect>
              <v:rect id="_x0000_s2055" style="position:absolute;left:2451;top:2026;width:392;height:184;mso-wrap-style:none" filled="f" stroked="f">
                <v:textbox style="mso-next-textbox:#_x0000_s2055;mso-fit-shape-to-text:t" inset="0,0,0,0">
                  <w:txbxContent>
                    <w:p w:rsidR="00D345DF" w:rsidRDefault="00D345DF" w:rsidP="00573033">
                      <w:r>
                        <w:rPr>
                          <w:rFonts w:cs="Arial"/>
                          <w:color w:val="000000"/>
                          <w:sz w:val="16"/>
                          <w:szCs w:val="16"/>
                        </w:rPr>
                        <w:t>NO B</w:t>
                      </w:r>
                    </w:p>
                  </w:txbxContent>
                </v:textbox>
              </v:rect>
              <v:rect id="_x0000_s2056" style="position:absolute;left:3648;top:2026;width:401;height:184;mso-wrap-style:none" filled="f" stroked="f">
                <v:textbox style="mso-next-textbox:#_x0000_s2056;mso-fit-shape-to-text:t" inset="0,0,0,0">
                  <w:txbxContent>
                    <w:p w:rsidR="00D345DF" w:rsidRDefault="00D345DF" w:rsidP="00573033">
                      <w:r>
                        <w:rPr>
                          <w:rFonts w:cs="Arial"/>
                          <w:color w:val="000000"/>
                          <w:sz w:val="16"/>
                          <w:szCs w:val="16"/>
                        </w:rPr>
                        <w:t>NO C</w:t>
                      </w:r>
                    </w:p>
                  </w:txbxContent>
                </v:textbox>
              </v:rect>
              <v:rect id="_x0000_s2057" style="position:absolute;left:4830;top:2026;width:401;height:184;mso-wrap-style:none" filled="f" stroked="f">
                <v:textbox style="mso-next-textbox:#_x0000_s2057;mso-fit-shape-to-text:t" inset="0,0,0,0">
                  <w:txbxContent>
                    <w:p w:rsidR="00D345DF" w:rsidRDefault="00D345DF" w:rsidP="00573033">
                      <w:r>
                        <w:rPr>
                          <w:rFonts w:cs="Arial"/>
                          <w:color w:val="000000"/>
                          <w:sz w:val="16"/>
                          <w:szCs w:val="16"/>
                        </w:rPr>
                        <w:t>NO D</w:t>
                      </w:r>
                    </w:p>
                  </w:txbxContent>
                </v:textbox>
              </v:rect>
              <v:rect id="_x0000_s2058" style="position:absolute;left:6027;top:2026;width:356;height:184;mso-wrap-style:none" filled="f" stroked="f">
                <v:textbox style="mso-next-textbox:#_x0000_s2058;mso-fit-shape-to-text:t" inset="0,0,0,0">
                  <w:txbxContent>
                    <w:p w:rsidR="00D345DF" w:rsidRDefault="00D345DF" w:rsidP="00573033">
                      <w:r>
                        <w:rPr>
                          <w:rFonts w:cs="Arial"/>
                          <w:color w:val="000000"/>
                          <w:sz w:val="16"/>
                          <w:szCs w:val="16"/>
                        </w:rPr>
                        <w:t>Total</w:t>
                      </w:r>
                    </w:p>
                  </w:txbxContent>
                </v:textbox>
              </v:rect>
            </v:group>
            <w10:wrap type="none"/>
            <w10:anchorlock/>
          </v:group>
        </w:pict>
      </w:r>
    </w:p>
    <w:p w:rsidR="009571FA" w:rsidRDefault="009571FA" w:rsidP="007B5F9C">
      <w:pPr>
        <w:pStyle w:val="ListParagraph"/>
        <w:ind w:left="0"/>
        <w:outlineLvl w:val="8"/>
        <w:rPr>
          <w:b/>
          <w:sz w:val="24"/>
          <w:szCs w:val="22"/>
        </w:rPr>
      </w:pPr>
      <w:r>
        <w:rPr>
          <w:b/>
          <w:sz w:val="24"/>
          <w:szCs w:val="22"/>
        </w:rPr>
        <w:t xml:space="preserve">          3.1.3.</w:t>
      </w:r>
      <w:r w:rsidRPr="004765FA">
        <w:rPr>
          <w:b/>
          <w:sz w:val="24"/>
          <w:szCs w:val="22"/>
        </w:rPr>
        <w:t xml:space="preserve">  Sex parity among General Services Staff</w:t>
      </w:r>
    </w:p>
    <w:p w:rsidR="004F0B40" w:rsidRDefault="004F0B40" w:rsidP="007B5F9C">
      <w:pPr>
        <w:pStyle w:val="ListParagraph"/>
        <w:ind w:left="0"/>
        <w:outlineLvl w:val="8"/>
        <w:rPr>
          <w:b/>
          <w:sz w:val="24"/>
          <w:szCs w:val="22"/>
        </w:rPr>
      </w:pPr>
    </w:p>
    <w:p w:rsidR="009571FA" w:rsidRPr="00AB2568" w:rsidRDefault="009571FA" w:rsidP="007B5F9C">
      <w:pPr>
        <w:pStyle w:val="ListParagraph"/>
        <w:ind w:left="0"/>
        <w:outlineLvl w:val="8"/>
        <w:rPr>
          <w:b/>
          <w:sz w:val="12"/>
          <w:szCs w:val="22"/>
        </w:rPr>
      </w:pPr>
      <w:r w:rsidRPr="004765FA">
        <w:rPr>
          <w:b/>
          <w:sz w:val="24"/>
          <w:szCs w:val="22"/>
        </w:rPr>
        <w:t xml:space="preserve"> </w:t>
      </w:r>
    </w:p>
    <w:p w:rsidR="009571FA" w:rsidRPr="004F0B40" w:rsidRDefault="004F0B40" w:rsidP="00581596">
      <w:pPr>
        <w:numPr>
          <w:ilvl w:val="0"/>
          <w:numId w:val="17"/>
        </w:numPr>
        <w:rPr>
          <w:b/>
          <w:sz w:val="2"/>
          <w:szCs w:val="22"/>
        </w:rPr>
      </w:pPr>
      <w:r>
        <w:rPr>
          <w:i/>
          <w:sz w:val="22"/>
          <w:szCs w:val="22"/>
        </w:rPr>
        <w:t>By g</w:t>
      </w:r>
      <w:r w:rsidR="009571FA" w:rsidRPr="004F0B40">
        <w:rPr>
          <w:i/>
          <w:sz w:val="22"/>
          <w:szCs w:val="22"/>
        </w:rPr>
        <w:t xml:space="preserve">rade  </w:t>
      </w:r>
    </w:p>
    <w:p w:rsidR="009571FA" w:rsidRDefault="009571FA" w:rsidP="00E317A2">
      <w:pPr>
        <w:rPr>
          <w:sz w:val="22"/>
          <w:szCs w:val="22"/>
        </w:rPr>
      </w:pPr>
      <w:r w:rsidRPr="004F0B40">
        <w:rPr>
          <w:sz w:val="22"/>
          <w:szCs w:val="22"/>
        </w:rPr>
        <w:t>Women represent</w:t>
      </w:r>
      <w:r w:rsidR="00B4659C" w:rsidRPr="004F0B40">
        <w:rPr>
          <w:sz w:val="22"/>
          <w:szCs w:val="22"/>
        </w:rPr>
        <w:t>ed</w:t>
      </w:r>
      <w:r w:rsidRPr="004F0B40">
        <w:rPr>
          <w:sz w:val="22"/>
          <w:szCs w:val="22"/>
        </w:rPr>
        <w:t xml:space="preserve"> </w:t>
      </w:r>
      <w:r w:rsidRPr="004F0B40">
        <w:rPr>
          <w:b/>
          <w:sz w:val="22"/>
          <w:szCs w:val="22"/>
        </w:rPr>
        <w:t>80%</w:t>
      </w:r>
      <w:r w:rsidRPr="004F0B40">
        <w:rPr>
          <w:sz w:val="22"/>
          <w:szCs w:val="22"/>
        </w:rPr>
        <w:t xml:space="preserve"> of all PAHO/ GS staff including</w:t>
      </w:r>
      <w:r w:rsidR="006B145F" w:rsidRPr="004F0B40">
        <w:rPr>
          <w:sz w:val="22"/>
          <w:szCs w:val="22"/>
        </w:rPr>
        <w:t>,</w:t>
      </w:r>
      <w:r w:rsidRPr="004F0B40">
        <w:rPr>
          <w:sz w:val="22"/>
          <w:szCs w:val="22"/>
        </w:rPr>
        <w:t xml:space="preserve"> both HQ + CO and long-term + temporary employees. </w:t>
      </w:r>
      <w:r w:rsidR="00843FF1" w:rsidRPr="004F0B40">
        <w:rPr>
          <w:sz w:val="22"/>
          <w:szCs w:val="22"/>
        </w:rPr>
        <w:t xml:space="preserve">There were </w:t>
      </w:r>
      <w:r w:rsidR="00B4659C" w:rsidRPr="004F0B40">
        <w:rPr>
          <w:sz w:val="22"/>
          <w:szCs w:val="22"/>
        </w:rPr>
        <w:t xml:space="preserve">only 13 </w:t>
      </w:r>
      <w:r w:rsidR="00843FF1" w:rsidRPr="004F0B40">
        <w:rPr>
          <w:sz w:val="22"/>
          <w:szCs w:val="22"/>
        </w:rPr>
        <w:t xml:space="preserve">staff members in </w:t>
      </w:r>
      <w:r w:rsidR="00B4659C" w:rsidRPr="004F0B40">
        <w:rPr>
          <w:sz w:val="22"/>
          <w:szCs w:val="22"/>
        </w:rPr>
        <w:t xml:space="preserve">the lower </w:t>
      </w:r>
      <w:r w:rsidR="00843FF1" w:rsidRPr="004F0B40">
        <w:rPr>
          <w:sz w:val="22"/>
          <w:szCs w:val="22"/>
        </w:rPr>
        <w:t xml:space="preserve">grades </w:t>
      </w:r>
      <w:r w:rsidR="00B4659C" w:rsidRPr="004F0B40">
        <w:rPr>
          <w:sz w:val="22"/>
          <w:szCs w:val="22"/>
        </w:rPr>
        <w:t xml:space="preserve">of </w:t>
      </w:r>
      <w:r w:rsidR="00843FF1" w:rsidRPr="004F0B40">
        <w:rPr>
          <w:sz w:val="22"/>
          <w:szCs w:val="22"/>
        </w:rPr>
        <w:t>G</w:t>
      </w:r>
      <w:r w:rsidR="00B4659C" w:rsidRPr="004F0B40">
        <w:rPr>
          <w:sz w:val="22"/>
          <w:szCs w:val="22"/>
        </w:rPr>
        <w:t>0</w:t>
      </w:r>
      <w:r w:rsidR="00843FF1" w:rsidRPr="004F0B40">
        <w:rPr>
          <w:sz w:val="22"/>
          <w:szCs w:val="22"/>
        </w:rPr>
        <w:t xml:space="preserve"> to G3, and </w:t>
      </w:r>
      <w:r w:rsidR="00B4659C" w:rsidRPr="004F0B40">
        <w:rPr>
          <w:sz w:val="22"/>
          <w:szCs w:val="22"/>
        </w:rPr>
        <w:t xml:space="preserve">10 of these13 were men. </w:t>
      </w:r>
      <w:r w:rsidRPr="004F0B40">
        <w:rPr>
          <w:sz w:val="22"/>
          <w:szCs w:val="22"/>
        </w:rPr>
        <w:t>Women</w:t>
      </w:r>
      <w:r w:rsidR="00B4659C" w:rsidRPr="004F0B40">
        <w:rPr>
          <w:sz w:val="22"/>
          <w:szCs w:val="22"/>
        </w:rPr>
        <w:t xml:space="preserve">, on the other hand, </w:t>
      </w:r>
      <w:r w:rsidRPr="004F0B40">
        <w:rPr>
          <w:sz w:val="22"/>
          <w:szCs w:val="22"/>
        </w:rPr>
        <w:t>predominate</w:t>
      </w:r>
      <w:r w:rsidR="00B94DF9" w:rsidRPr="004F0B40">
        <w:rPr>
          <w:sz w:val="22"/>
          <w:szCs w:val="22"/>
        </w:rPr>
        <w:t>d</w:t>
      </w:r>
      <w:r w:rsidRPr="004F0B40">
        <w:rPr>
          <w:sz w:val="22"/>
          <w:szCs w:val="22"/>
        </w:rPr>
        <w:t xml:space="preserve"> </w:t>
      </w:r>
      <w:r w:rsidR="00B4659C" w:rsidRPr="004F0B40">
        <w:rPr>
          <w:sz w:val="22"/>
          <w:szCs w:val="22"/>
        </w:rPr>
        <w:t xml:space="preserve">heavily </w:t>
      </w:r>
      <w:r w:rsidRPr="004F0B40">
        <w:rPr>
          <w:sz w:val="22"/>
          <w:szCs w:val="22"/>
        </w:rPr>
        <w:t>in the G4 to G7 grades</w:t>
      </w:r>
      <w:r w:rsidR="00B4659C" w:rsidRPr="004F0B40">
        <w:rPr>
          <w:sz w:val="22"/>
          <w:szCs w:val="22"/>
        </w:rPr>
        <w:t>.</w:t>
      </w:r>
      <w:r w:rsidR="00571F22">
        <w:rPr>
          <w:sz w:val="22"/>
          <w:szCs w:val="22"/>
        </w:rPr>
        <w:t xml:space="preserve"> </w:t>
      </w:r>
    </w:p>
    <w:p w:rsidR="004F0B40" w:rsidRPr="004F0B40" w:rsidRDefault="004F0B40" w:rsidP="00E317A2">
      <w:pPr>
        <w:rPr>
          <w:sz w:val="14"/>
          <w:szCs w:val="22"/>
        </w:rPr>
      </w:pPr>
    </w:p>
    <w:p w:rsidR="009571FA" w:rsidRPr="00B71C41" w:rsidRDefault="009571FA" w:rsidP="00E317A2">
      <w:pPr>
        <w:rPr>
          <w:i/>
          <w:sz w:val="12"/>
          <w:szCs w:val="22"/>
        </w:rPr>
      </w:pPr>
    </w:p>
    <w:p w:rsidR="009571FA" w:rsidRPr="00B71C41" w:rsidRDefault="004F0B40" w:rsidP="00581596">
      <w:pPr>
        <w:pStyle w:val="ListParagraph"/>
        <w:numPr>
          <w:ilvl w:val="0"/>
          <w:numId w:val="17"/>
        </w:numPr>
        <w:rPr>
          <w:i/>
          <w:sz w:val="22"/>
          <w:szCs w:val="22"/>
        </w:rPr>
      </w:pPr>
      <w:r>
        <w:rPr>
          <w:i/>
          <w:sz w:val="22"/>
          <w:szCs w:val="22"/>
        </w:rPr>
        <w:t>By c</w:t>
      </w:r>
      <w:r w:rsidR="009571FA" w:rsidRPr="00B71C41">
        <w:rPr>
          <w:i/>
          <w:sz w:val="22"/>
          <w:szCs w:val="22"/>
        </w:rPr>
        <w:t xml:space="preserve">ontract type </w:t>
      </w:r>
    </w:p>
    <w:p w:rsidR="009571FA" w:rsidRPr="0060174D" w:rsidRDefault="009571FA" w:rsidP="00E317A2">
      <w:pPr>
        <w:pStyle w:val="ListParagraph"/>
        <w:ind w:left="900"/>
        <w:rPr>
          <w:sz w:val="2"/>
          <w:szCs w:val="22"/>
        </w:rPr>
      </w:pPr>
    </w:p>
    <w:p w:rsidR="009571FA" w:rsidRDefault="009571FA" w:rsidP="00E317A2">
      <w:pPr>
        <w:pStyle w:val="ListParagraph"/>
        <w:ind w:left="0"/>
        <w:rPr>
          <w:sz w:val="22"/>
          <w:szCs w:val="22"/>
        </w:rPr>
      </w:pPr>
      <w:r w:rsidRPr="004744FF">
        <w:rPr>
          <w:sz w:val="22"/>
          <w:szCs w:val="22"/>
        </w:rPr>
        <w:t>No sizeable sex-distribution differences were detected between long-term and temporary G contracts.</w:t>
      </w:r>
    </w:p>
    <w:p w:rsidR="004F0B40" w:rsidRPr="004F0B40" w:rsidRDefault="004F0B40" w:rsidP="00E317A2">
      <w:pPr>
        <w:pStyle w:val="ListParagraph"/>
        <w:ind w:left="0"/>
        <w:rPr>
          <w:sz w:val="14"/>
          <w:szCs w:val="22"/>
        </w:rPr>
      </w:pPr>
    </w:p>
    <w:p w:rsidR="009571FA" w:rsidRPr="00167211" w:rsidRDefault="009571FA" w:rsidP="00E317A2">
      <w:pPr>
        <w:pStyle w:val="ListParagraph"/>
        <w:ind w:left="0"/>
        <w:rPr>
          <w:sz w:val="8"/>
          <w:szCs w:val="22"/>
        </w:rPr>
      </w:pPr>
    </w:p>
    <w:p w:rsidR="009571FA" w:rsidRPr="004F0B40" w:rsidRDefault="004F0B40" w:rsidP="00581596">
      <w:pPr>
        <w:numPr>
          <w:ilvl w:val="0"/>
          <w:numId w:val="17"/>
        </w:numPr>
        <w:rPr>
          <w:i/>
          <w:sz w:val="22"/>
          <w:szCs w:val="22"/>
        </w:rPr>
      </w:pPr>
      <w:r>
        <w:rPr>
          <w:i/>
          <w:sz w:val="22"/>
          <w:szCs w:val="22"/>
        </w:rPr>
        <w:t>By l</w:t>
      </w:r>
      <w:r w:rsidR="009571FA" w:rsidRPr="004F0B40">
        <w:rPr>
          <w:i/>
          <w:sz w:val="22"/>
          <w:szCs w:val="22"/>
        </w:rPr>
        <w:t xml:space="preserve">ocation </w:t>
      </w:r>
    </w:p>
    <w:p w:rsidR="009571FA" w:rsidRPr="004F0B40" w:rsidRDefault="009571FA" w:rsidP="00E317A2">
      <w:pPr>
        <w:ind w:left="900"/>
        <w:rPr>
          <w:sz w:val="4"/>
          <w:szCs w:val="22"/>
        </w:rPr>
      </w:pPr>
    </w:p>
    <w:p w:rsidR="009571FA" w:rsidRDefault="00752E44" w:rsidP="00E317A2">
      <w:pPr>
        <w:rPr>
          <w:sz w:val="22"/>
          <w:szCs w:val="22"/>
        </w:rPr>
      </w:pPr>
      <w:r w:rsidRPr="004F0B40">
        <w:rPr>
          <w:sz w:val="22"/>
          <w:szCs w:val="22"/>
        </w:rPr>
        <w:t xml:space="preserve">At the total </w:t>
      </w:r>
      <w:r w:rsidR="00676362" w:rsidRPr="004F0B40">
        <w:rPr>
          <w:sz w:val="22"/>
          <w:szCs w:val="22"/>
        </w:rPr>
        <w:t xml:space="preserve">level, </w:t>
      </w:r>
      <w:r w:rsidR="004F35BD" w:rsidRPr="004F0B40">
        <w:rPr>
          <w:sz w:val="22"/>
          <w:szCs w:val="22"/>
        </w:rPr>
        <w:t xml:space="preserve">women’s share </w:t>
      </w:r>
      <w:r w:rsidR="004F0B40">
        <w:rPr>
          <w:sz w:val="22"/>
          <w:szCs w:val="22"/>
        </w:rPr>
        <w:t xml:space="preserve">of Gs </w:t>
      </w:r>
      <w:r w:rsidR="004F35BD" w:rsidRPr="004F0B40">
        <w:rPr>
          <w:sz w:val="22"/>
          <w:szCs w:val="22"/>
        </w:rPr>
        <w:t xml:space="preserve">was </w:t>
      </w:r>
      <w:r w:rsidR="00676362" w:rsidRPr="004F0B40">
        <w:rPr>
          <w:sz w:val="22"/>
          <w:szCs w:val="22"/>
        </w:rPr>
        <w:t>basically the same in HQ and CO</w:t>
      </w:r>
      <w:r w:rsidR="004F35BD" w:rsidRPr="004F0B40">
        <w:rPr>
          <w:sz w:val="22"/>
          <w:szCs w:val="22"/>
        </w:rPr>
        <w:t xml:space="preserve"> (80%)</w:t>
      </w:r>
      <w:r w:rsidR="00AB2568" w:rsidRPr="004F0B40">
        <w:rPr>
          <w:sz w:val="22"/>
          <w:szCs w:val="22"/>
        </w:rPr>
        <w:t>.</w:t>
      </w:r>
      <w:r w:rsidR="009571FA" w:rsidRPr="004F0B40">
        <w:rPr>
          <w:sz w:val="22"/>
          <w:szCs w:val="22"/>
        </w:rPr>
        <w:t xml:space="preserve"> </w:t>
      </w:r>
      <w:r w:rsidR="00752E1E" w:rsidRPr="004F0B40">
        <w:rPr>
          <w:sz w:val="22"/>
          <w:szCs w:val="22"/>
        </w:rPr>
        <w:t>The difference between HQ and CO laid on the relative prevalence of women</w:t>
      </w:r>
      <w:r w:rsidR="009F6DE5" w:rsidRPr="004F0B40">
        <w:rPr>
          <w:sz w:val="22"/>
          <w:szCs w:val="22"/>
        </w:rPr>
        <w:t xml:space="preserve">, or men, within </w:t>
      </w:r>
      <w:r w:rsidR="004F0B40">
        <w:rPr>
          <w:sz w:val="22"/>
          <w:szCs w:val="22"/>
        </w:rPr>
        <w:t xml:space="preserve">G </w:t>
      </w:r>
      <w:r w:rsidR="009F6DE5" w:rsidRPr="004F0B40">
        <w:rPr>
          <w:sz w:val="22"/>
          <w:szCs w:val="22"/>
        </w:rPr>
        <w:t xml:space="preserve">grades: the female share </w:t>
      </w:r>
      <w:r w:rsidR="004F0B40">
        <w:rPr>
          <w:sz w:val="22"/>
          <w:szCs w:val="22"/>
        </w:rPr>
        <w:t xml:space="preserve">in </w:t>
      </w:r>
      <w:r w:rsidR="004F0B40" w:rsidRPr="004F0B40">
        <w:rPr>
          <w:sz w:val="22"/>
          <w:szCs w:val="22"/>
        </w:rPr>
        <w:t>Country Offices</w:t>
      </w:r>
      <w:r w:rsidR="004F0B40">
        <w:rPr>
          <w:sz w:val="22"/>
          <w:szCs w:val="22"/>
        </w:rPr>
        <w:t xml:space="preserve"> </w:t>
      </w:r>
      <w:r w:rsidR="004F0B40" w:rsidRPr="004F0B40">
        <w:rPr>
          <w:sz w:val="22"/>
          <w:szCs w:val="22"/>
        </w:rPr>
        <w:t>was larger</w:t>
      </w:r>
      <w:r w:rsidR="004F0B40">
        <w:rPr>
          <w:sz w:val="22"/>
          <w:szCs w:val="22"/>
        </w:rPr>
        <w:t xml:space="preserve"> than in </w:t>
      </w:r>
      <w:r w:rsidR="00752E1E" w:rsidRPr="004F0B40">
        <w:rPr>
          <w:sz w:val="22"/>
          <w:szCs w:val="22"/>
        </w:rPr>
        <w:t xml:space="preserve">Head Quarters </w:t>
      </w:r>
      <w:r w:rsidR="004F0B40">
        <w:rPr>
          <w:sz w:val="22"/>
          <w:szCs w:val="22"/>
        </w:rPr>
        <w:t>at</w:t>
      </w:r>
      <w:r w:rsidR="00752E1E" w:rsidRPr="004F0B40">
        <w:rPr>
          <w:sz w:val="22"/>
          <w:szCs w:val="22"/>
        </w:rPr>
        <w:t xml:space="preserve"> </w:t>
      </w:r>
      <w:r w:rsidR="004F35BD" w:rsidRPr="004F0B40">
        <w:rPr>
          <w:sz w:val="22"/>
          <w:szCs w:val="22"/>
        </w:rPr>
        <w:t xml:space="preserve">all </w:t>
      </w:r>
      <w:r w:rsidR="00752E1E" w:rsidRPr="004F0B40">
        <w:rPr>
          <w:sz w:val="22"/>
          <w:szCs w:val="22"/>
        </w:rPr>
        <w:t xml:space="preserve">G </w:t>
      </w:r>
      <w:r w:rsidR="004F35BD" w:rsidRPr="004F0B40">
        <w:rPr>
          <w:sz w:val="22"/>
          <w:szCs w:val="22"/>
        </w:rPr>
        <w:t>grades</w:t>
      </w:r>
      <w:r w:rsidR="009F6DE5" w:rsidRPr="004F0B40">
        <w:rPr>
          <w:sz w:val="22"/>
          <w:szCs w:val="22"/>
        </w:rPr>
        <w:t xml:space="preserve"> above G1</w:t>
      </w:r>
      <w:r w:rsidR="004F35BD" w:rsidRPr="004F0B40">
        <w:rPr>
          <w:sz w:val="22"/>
          <w:szCs w:val="22"/>
        </w:rPr>
        <w:t xml:space="preserve">, except </w:t>
      </w:r>
      <w:r w:rsidR="009F6DE5" w:rsidRPr="004F0B40">
        <w:rPr>
          <w:sz w:val="22"/>
          <w:szCs w:val="22"/>
        </w:rPr>
        <w:t xml:space="preserve">for </w:t>
      </w:r>
      <w:r w:rsidR="004F35BD" w:rsidRPr="004F0B40">
        <w:rPr>
          <w:sz w:val="22"/>
          <w:szCs w:val="22"/>
        </w:rPr>
        <w:t xml:space="preserve">G7 where </w:t>
      </w:r>
      <w:r w:rsidR="004F0B40" w:rsidRPr="004F0B40">
        <w:rPr>
          <w:sz w:val="22"/>
          <w:szCs w:val="22"/>
        </w:rPr>
        <w:t>m</w:t>
      </w:r>
      <w:r w:rsidR="004F0B40">
        <w:rPr>
          <w:sz w:val="22"/>
          <w:szCs w:val="22"/>
        </w:rPr>
        <w:t>en’s</w:t>
      </w:r>
      <w:r w:rsidR="004F0B40" w:rsidRPr="004F0B40">
        <w:rPr>
          <w:sz w:val="22"/>
          <w:szCs w:val="22"/>
        </w:rPr>
        <w:t xml:space="preserve"> </w:t>
      </w:r>
      <w:r w:rsidR="009F6DE5" w:rsidRPr="004F0B40">
        <w:rPr>
          <w:sz w:val="22"/>
          <w:szCs w:val="22"/>
        </w:rPr>
        <w:t xml:space="preserve">inroad had </w:t>
      </w:r>
      <w:r w:rsidR="004F35BD" w:rsidRPr="004F0B40">
        <w:rPr>
          <w:sz w:val="22"/>
          <w:szCs w:val="22"/>
        </w:rPr>
        <w:t xml:space="preserve">amounted to 40%.  </w:t>
      </w:r>
      <w:r w:rsidR="009571FA" w:rsidRPr="00957D19">
        <w:rPr>
          <w:sz w:val="22"/>
          <w:szCs w:val="22"/>
        </w:rPr>
        <w:t xml:space="preserve">   </w:t>
      </w:r>
    </w:p>
    <w:p w:rsidR="009571FA" w:rsidRPr="00957D19" w:rsidRDefault="009571FA" w:rsidP="00573033">
      <w:pPr>
        <w:rPr>
          <w:b/>
          <w:sz w:val="28"/>
          <w:szCs w:val="22"/>
        </w:rPr>
      </w:pPr>
    </w:p>
    <w:p w:rsidR="00C8762E" w:rsidRDefault="009571FA" w:rsidP="004744FF">
      <w:pPr>
        <w:ind w:left="720"/>
        <w:rPr>
          <w:sz w:val="22"/>
        </w:rPr>
      </w:pPr>
      <w:r w:rsidRPr="00C8762E">
        <w:rPr>
          <w:b/>
          <w:sz w:val="22"/>
          <w:szCs w:val="22"/>
        </w:rPr>
        <w:t xml:space="preserve">Figure 8. </w:t>
      </w:r>
      <w:r w:rsidR="00C8762E">
        <w:rPr>
          <w:sz w:val="22"/>
        </w:rPr>
        <w:t>AMRO/PAHO: S</w:t>
      </w:r>
      <w:r w:rsidRPr="00957D19">
        <w:rPr>
          <w:sz w:val="22"/>
        </w:rPr>
        <w:t xml:space="preserve">ex distribution of PAHO </w:t>
      </w:r>
      <w:r w:rsidRPr="00C8762E">
        <w:rPr>
          <w:b/>
          <w:sz w:val="22"/>
        </w:rPr>
        <w:t>General Service</w:t>
      </w:r>
      <w:r w:rsidR="00571D4C">
        <w:rPr>
          <w:sz w:val="22"/>
        </w:rPr>
        <w:t xml:space="preserve"> staff, by grade         </w:t>
      </w:r>
      <w:r w:rsidRPr="00957D19">
        <w:rPr>
          <w:sz w:val="22"/>
        </w:rPr>
        <w:t xml:space="preserve">and location. December 31, 2007. </w:t>
      </w:r>
    </w:p>
    <w:p w:rsidR="009571FA" w:rsidRPr="00957D19" w:rsidRDefault="009571FA" w:rsidP="004744FF">
      <w:pPr>
        <w:ind w:left="720"/>
        <w:rPr>
          <w:rFonts w:cs="Arial"/>
          <w:b/>
          <w:color w:val="000000"/>
          <w:sz w:val="22"/>
          <w:szCs w:val="16"/>
        </w:rPr>
      </w:pPr>
      <w:r w:rsidRPr="00957D19">
        <w:rPr>
          <w:rFonts w:cs="Arial"/>
          <w:b/>
          <w:color w:val="000000"/>
          <w:sz w:val="22"/>
          <w:szCs w:val="16"/>
        </w:rPr>
        <w:t xml:space="preserve">                                               </w:t>
      </w:r>
    </w:p>
    <w:p w:rsidR="006958E8" w:rsidRDefault="006958E8" w:rsidP="006958E8">
      <w:pPr>
        <w:pStyle w:val="ListParagraph"/>
        <w:ind w:left="1530"/>
        <w:rPr>
          <w:rFonts w:ascii="Calibri" w:hAnsi="Calibri" w:cs="Calibri"/>
          <w:color w:val="000000"/>
        </w:rPr>
      </w:pPr>
      <w:r w:rsidRPr="006958E8">
        <w:rPr>
          <w:rFonts w:cs="Arial"/>
          <w:color w:val="000000"/>
          <w:szCs w:val="16"/>
        </w:rPr>
        <w:t xml:space="preserve">                 </w:t>
      </w:r>
      <w:r>
        <w:rPr>
          <w:rFonts w:cs="Arial"/>
          <w:color w:val="000000"/>
          <w:szCs w:val="16"/>
        </w:rPr>
        <w:t xml:space="preserve">    </w:t>
      </w:r>
      <w:r w:rsidRPr="006958E8">
        <w:rPr>
          <w:rFonts w:cs="Arial"/>
          <w:color w:val="000000"/>
          <w:szCs w:val="16"/>
        </w:rPr>
        <w:t xml:space="preserve"> </w:t>
      </w:r>
      <w:r>
        <w:rPr>
          <w:rFonts w:cs="Arial"/>
          <w:color w:val="000000"/>
          <w:szCs w:val="16"/>
        </w:rPr>
        <w:t xml:space="preserve">   </w:t>
      </w:r>
      <w:r w:rsidR="00185762">
        <w:rPr>
          <w:rFonts w:cs="Arial"/>
          <w:color w:val="000000"/>
          <w:szCs w:val="16"/>
        </w:rPr>
        <w:t xml:space="preserve">    </w:t>
      </w:r>
      <w:r w:rsidR="00B31EA4">
        <w:rPr>
          <w:rFonts w:cs="Arial"/>
          <w:color w:val="000000"/>
          <w:szCs w:val="16"/>
        </w:rPr>
        <w:t xml:space="preserve">    </w:t>
      </w:r>
      <w:r w:rsidRPr="006958E8">
        <w:rPr>
          <w:rFonts w:cs="Arial"/>
          <w:color w:val="000000"/>
          <w:szCs w:val="16"/>
        </w:rPr>
        <w:t xml:space="preserve"> a. </w:t>
      </w:r>
      <w:r w:rsidR="009571FA" w:rsidRPr="006958E8">
        <w:rPr>
          <w:rFonts w:cs="Arial"/>
          <w:color w:val="000000"/>
          <w:szCs w:val="16"/>
        </w:rPr>
        <w:t>Head Quarters + Country Offices</w:t>
      </w:r>
      <w:r w:rsidR="009571FA" w:rsidRPr="006958E8">
        <w:rPr>
          <w:rFonts w:ascii="Calibri" w:hAnsi="Calibri" w:cs="Calibri"/>
          <w:color w:val="000000"/>
        </w:rPr>
        <w:t xml:space="preserve">     </w:t>
      </w:r>
    </w:p>
    <w:p w:rsidR="006958E8" w:rsidRDefault="006B145F" w:rsidP="00F669BB">
      <w:pPr>
        <w:pStyle w:val="ListParagraph"/>
        <w:ind w:left="1620"/>
        <w:rPr>
          <w:rFonts w:ascii="Calibri" w:hAnsi="Calibri" w:cs="Calibri"/>
          <w:color w:val="000000"/>
        </w:rPr>
      </w:pPr>
      <w:r>
        <w:rPr>
          <w:noProof/>
          <w:lang w:val="en-US"/>
        </w:rPr>
        <w:drawing>
          <wp:inline distT="0" distB="0" distL="0" distR="0">
            <wp:extent cx="3931920" cy="1888913"/>
            <wp:effectExtent l="0" t="0" r="0" b="0"/>
            <wp:docPr id="12"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2"/>
                    <a:srcRect/>
                    <a:stretch>
                      <a:fillRect/>
                    </a:stretch>
                  </pic:blipFill>
                  <pic:spPr bwMode="auto">
                    <a:xfrm>
                      <a:off x="0" y="0"/>
                      <a:ext cx="3937058" cy="1891381"/>
                    </a:xfrm>
                    <a:prstGeom prst="rect">
                      <a:avLst/>
                    </a:prstGeom>
                    <a:noFill/>
                    <a:ln w="9525">
                      <a:noFill/>
                      <a:miter lim="800000"/>
                      <a:headEnd/>
                      <a:tailEnd/>
                    </a:ln>
                  </pic:spPr>
                </pic:pic>
              </a:graphicData>
            </a:graphic>
          </wp:inline>
        </w:drawing>
      </w:r>
    </w:p>
    <w:p w:rsidR="006958E8" w:rsidRDefault="006958E8" w:rsidP="006958E8">
      <w:pPr>
        <w:pStyle w:val="ListParagraph"/>
        <w:ind w:left="1944"/>
        <w:rPr>
          <w:rFonts w:ascii="Calibri" w:hAnsi="Calibri" w:cs="Calibri"/>
          <w:color w:val="000000"/>
        </w:rPr>
      </w:pPr>
    </w:p>
    <w:p w:rsidR="00CB6A0C" w:rsidRDefault="00F32D03" w:rsidP="00F32D03">
      <w:pPr>
        <w:pStyle w:val="ListParagraph"/>
        <w:ind w:left="1620" w:right="-180"/>
      </w:pPr>
      <w:r>
        <w:rPr>
          <w:rFonts w:ascii="Calibri" w:hAnsi="Calibri" w:cs="Calibri"/>
          <w:color w:val="000000"/>
        </w:rPr>
        <w:t xml:space="preserve">  b.</w:t>
      </w:r>
      <w:r w:rsidR="00752E44">
        <w:rPr>
          <w:rFonts w:ascii="Calibri" w:hAnsi="Calibri" w:cs="Calibri"/>
          <w:color w:val="000000"/>
        </w:rPr>
        <w:t xml:space="preserve"> </w:t>
      </w:r>
      <w:r>
        <w:rPr>
          <w:rFonts w:ascii="Calibri" w:hAnsi="Calibri" w:cs="Calibri"/>
          <w:color w:val="000000"/>
        </w:rPr>
        <w:t xml:space="preserve"> </w:t>
      </w:r>
      <w:r w:rsidR="006958E8" w:rsidRPr="00F669BB">
        <w:rPr>
          <w:rFonts w:ascii="Calibri" w:hAnsi="Calibri" w:cs="Calibri"/>
          <w:color w:val="000000"/>
        </w:rPr>
        <w:t>Head Quarters</w:t>
      </w:r>
      <w:r w:rsidR="006958E8" w:rsidRPr="00F669BB">
        <w:rPr>
          <w:rFonts w:ascii="Calibri" w:hAnsi="Calibri" w:cs="Calibri"/>
          <w:color w:val="000000"/>
        </w:rPr>
        <w:tab/>
      </w:r>
      <w:r w:rsidR="006958E8" w:rsidRPr="00F669BB">
        <w:rPr>
          <w:rFonts w:ascii="Calibri" w:hAnsi="Calibri" w:cs="Calibri"/>
          <w:color w:val="000000"/>
        </w:rPr>
        <w:tab/>
      </w:r>
      <w:r w:rsidR="006958E8" w:rsidRPr="00F669BB">
        <w:rPr>
          <w:rFonts w:ascii="Calibri" w:hAnsi="Calibri" w:cs="Calibri"/>
          <w:color w:val="000000"/>
        </w:rPr>
        <w:tab/>
      </w:r>
      <w:r w:rsidR="006958E8" w:rsidRPr="00F669BB">
        <w:rPr>
          <w:rFonts w:ascii="Calibri" w:hAnsi="Calibri" w:cs="Calibri"/>
          <w:color w:val="000000"/>
        </w:rPr>
        <w:tab/>
      </w:r>
      <w:r w:rsidR="006958E8" w:rsidRPr="00F669BB">
        <w:rPr>
          <w:rFonts w:ascii="Calibri" w:hAnsi="Calibri" w:cs="Calibri"/>
          <w:color w:val="000000"/>
        </w:rPr>
        <w:tab/>
      </w:r>
      <w:r w:rsidR="006958E8" w:rsidRPr="00F669BB">
        <w:rPr>
          <w:rFonts w:ascii="Calibri" w:hAnsi="Calibri" w:cs="Calibri"/>
          <w:color w:val="000000"/>
        </w:rPr>
        <w:tab/>
      </w:r>
      <w:r w:rsidR="006958E8" w:rsidRPr="00F669BB">
        <w:rPr>
          <w:rFonts w:ascii="Calibri" w:hAnsi="Calibri" w:cs="Calibri"/>
          <w:color w:val="000000"/>
        </w:rPr>
        <w:tab/>
      </w:r>
      <w:r w:rsidR="006958E8" w:rsidRPr="00F669BB">
        <w:rPr>
          <w:rFonts w:ascii="Calibri" w:hAnsi="Calibri" w:cs="Calibri"/>
          <w:color w:val="000000"/>
        </w:rPr>
        <w:tab/>
        <w:t xml:space="preserve">               </w:t>
      </w:r>
      <w:r w:rsidR="006958E8" w:rsidRPr="00F669BB">
        <w:rPr>
          <w:rFonts w:ascii="Calibri" w:hAnsi="Calibri" w:cs="Calibri"/>
          <w:color w:val="000000"/>
        </w:rPr>
        <w:tab/>
      </w:r>
      <w:r>
        <w:rPr>
          <w:rFonts w:ascii="Calibri" w:hAnsi="Calibri" w:cs="Calibri"/>
          <w:color w:val="000000"/>
        </w:rPr>
        <w:t xml:space="preserve">   </w:t>
      </w:r>
      <w:r w:rsidR="00AB1092">
        <w:rPr>
          <w:rFonts w:ascii="Calibri" w:hAnsi="Calibri" w:cs="Calibri"/>
          <w:color w:val="000000"/>
        </w:rPr>
        <w:t xml:space="preserve"> </w:t>
      </w:r>
      <w:r w:rsidR="006958E8" w:rsidRPr="00F669BB">
        <w:rPr>
          <w:rFonts w:ascii="Calibri" w:hAnsi="Calibri" w:cs="Calibri"/>
          <w:color w:val="000000"/>
        </w:rPr>
        <w:t>c.  Country Offices</w:t>
      </w:r>
    </w:p>
    <w:p w:rsidR="00CB6A0C" w:rsidRDefault="006B145F" w:rsidP="00F669BB">
      <w:pPr>
        <w:tabs>
          <w:tab w:val="left" w:pos="180"/>
        </w:tabs>
        <w:ind w:left="90"/>
      </w:pPr>
      <w:r>
        <w:rPr>
          <w:noProof/>
          <w:lang w:val="en-US"/>
        </w:rPr>
        <w:drawing>
          <wp:inline distT="0" distB="0" distL="0" distR="0">
            <wp:extent cx="2942001" cy="1981007"/>
            <wp:effectExtent l="0" t="0" r="0" b="0"/>
            <wp:docPr id="13"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3"/>
                    <a:srcRect/>
                    <a:stretch>
                      <a:fillRect/>
                    </a:stretch>
                  </pic:blipFill>
                  <pic:spPr bwMode="auto">
                    <a:xfrm>
                      <a:off x="0" y="0"/>
                      <a:ext cx="2939999" cy="1979659"/>
                    </a:xfrm>
                    <a:prstGeom prst="rect">
                      <a:avLst/>
                    </a:prstGeom>
                    <a:noFill/>
                    <a:ln w="9525">
                      <a:noFill/>
                      <a:miter lim="800000"/>
                      <a:headEnd/>
                      <a:tailEnd/>
                    </a:ln>
                  </pic:spPr>
                </pic:pic>
              </a:graphicData>
            </a:graphic>
          </wp:inline>
        </w:drawing>
      </w:r>
      <w:r>
        <w:rPr>
          <w:noProof/>
          <w:lang w:val="en-US"/>
        </w:rPr>
        <w:drawing>
          <wp:inline distT="0" distB="0" distL="0" distR="0">
            <wp:extent cx="2865120" cy="1980534"/>
            <wp:effectExtent l="0" t="0" r="0" b="0"/>
            <wp:docPr id="14"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4"/>
                    <a:srcRect/>
                    <a:stretch>
                      <a:fillRect/>
                    </a:stretch>
                  </pic:blipFill>
                  <pic:spPr bwMode="auto">
                    <a:xfrm>
                      <a:off x="0" y="0"/>
                      <a:ext cx="2865120" cy="1980534"/>
                    </a:xfrm>
                    <a:prstGeom prst="rect">
                      <a:avLst/>
                    </a:prstGeom>
                    <a:noFill/>
                    <a:ln w="9525">
                      <a:noFill/>
                      <a:miter lim="800000"/>
                      <a:headEnd/>
                      <a:tailEnd/>
                    </a:ln>
                  </pic:spPr>
                </pic:pic>
              </a:graphicData>
            </a:graphic>
          </wp:inline>
        </w:drawing>
      </w:r>
    </w:p>
    <w:p w:rsidR="00CB6A0C" w:rsidRDefault="00CB6A0C" w:rsidP="00CB6A0C"/>
    <w:p w:rsidR="004F0B40" w:rsidRDefault="009571FA" w:rsidP="00185762">
      <w:pPr>
        <w:ind w:left="-450"/>
        <w:rPr>
          <w:rFonts w:cs="Arial"/>
          <w:b/>
          <w:color w:val="000000"/>
          <w:szCs w:val="14"/>
        </w:rPr>
      </w:pPr>
      <w:r>
        <w:rPr>
          <w:rFonts w:cs="Arial"/>
          <w:b/>
          <w:color w:val="000000"/>
          <w:szCs w:val="14"/>
        </w:rPr>
        <w:t xml:space="preserve">           </w:t>
      </w:r>
    </w:p>
    <w:p w:rsidR="009571FA" w:rsidRDefault="009571FA" w:rsidP="00185762">
      <w:pPr>
        <w:ind w:left="-450"/>
      </w:pPr>
      <w:r>
        <w:rPr>
          <w:rFonts w:cs="Arial"/>
          <w:b/>
          <w:color w:val="000000"/>
          <w:szCs w:val="14"/>
        </w:rPr>
        <w:t xml:space="preserve">           </w:t>
      </w:r>
    </w:p>
    <w:p w:rsidR="009571FA" w:rsidRPr="00C8762E" w:rsidRDefault="009571FA" w:rsidP="00581596">
      <w:pPr>
        <w:numPr>
          <w:ilvl w:val="0"/>
          <w:numId w:val="17"/>
        </w:numPr>
        <w:rPr>
          <w:b/>
          <w:sz w:val="24"/>
          <w:szCs w:val="22"/>
        </w:rPr>
      </w:pPr>
      <w:r w:rsidRPr="00957D19">
        <w:rPr>
          <w:sz w:val="22"/>
          <w:szCs w:val="22"/>
        </w:rPr>
        <w:t xml:space="preserve">  </w:t>
      </w:r>
      <w:r w:rsidRPr="00957D19">
        <w:rPr>
          <w:b/>
          <w:sz w:val="22"/>
          <w:szCs w:val="22"/>
        </w:rPr>
        <w:t>Changes between 2006 and 2007</w:t>
      </w:r>
    </w:p>
    <w:p w:rsidR="00C8762E" w:rsidRPr="00C8762E" w:rsidRDefault="00C8762E" w:rsidP="00C8762E">
      <w:pPr>
        <w:rPr>
          <w:b/>
          <w:sz w:val="18"/>
          <w:szCs w:val="22"/>
        </w:rPr>
      </w:pPr>
    </w:p>
    <w:p w:rsidR="009571FA" w:rsidRPr="00B71C41" w:rsidRDefault="009571FA" w:rsidP="00B71C41">
      <w:pPr>
        <w:ind w:left="1260"/>
        <w:rPr>
          <w:b/>
          <w:sz w:val="4"/>
          <w:szCs w:val="22"/>
        </w:rPr>
      </w:pPr>
    </w:p>
    <w:p w:rsidR="009571FA" w:rsidRPr="0060174D" w:rsidRDefault="009571FA" w:rsidP="0060174D">
      <w:pPr>
        <w:ind w:left="990"/>
        <w:rPr>
          <w:b/>
          <w:sz w:val="2"/>
          <w:szCs w:val="22"/>
        </w:rPr>
      </w:pPr>
    </w:p>
    <w:p w:rsidR="009571FA" w:rsidRPr="00957D19" w:rsidRDefault="009571FA" w:rsidP="0060174D">
      <w:pPr>
        <w:spacing w:after="200" w:line="276" w:lineRule="auto"/>
        <w:rPr>
          <w:sz w:val="22"/>
          <w:szCs w:val="22"/>
        </w:rPr>
      </w:pPr>
      <w:r w:rsidRPr="00957D19">
        <w:rPr>
          <w:sz w:val="22"/>
          <w:szCs w:val="22"/>
        </w:rPr>
        <w:t xml:space="preserve">Women’s share was virtually the same in </w:t>
      </w:r>
      <w:r>
        <w:rPr>
          <w:sz w:val="22"/>
          <w:szCs w:val="22"/>
        </w:rPr>
        <w:t xml:space="preserve">2006 and 2007, both at </w:t>
      </w:r>
      <w:r w:rsidRPr="00957D19">
        <w:rPr>
          <w:sz w:val="22"/>
          <w:szCs w:val="22"/>
        </w:rPr>
        <w:t xml:space="preserve">total and most grade levels, although there was an absolute 5% decrease in the number of women in G positions. </w:t>
      </w:r>
    </w:p>
    <w:p w:rsidR="009571FA" w:rsidRPr="00B71C41" w:rsidRDefault="009571FA" w:rsidP="00573033">
      <w:pPr>
        <w:ind w:left="-450"/>
        <w:rPr>
          <w:sz w:val="2"/>
          <w:szCs w:val="22"/>
        </w:rPr>
      </w:pPr>
    </w:p>
    <w:p w:rsidR="009571FA" w:rsidRDefault="009571FA" w:rsidP="00C004AC">
      <w:pPr>
        <w:pStyle w:val="ListParagraph"/>
        <w:spacing w:after="200" w:line="276" w:lineRule="auto"/>
        <w:ind w:left="1152"/>
        <w:rPr>
          <w:rFonts w:cs="Arial"/>
          <w:b/>
          <w:color w:val="000000"/>
          <w:szCs w:val="16"/>
        </w:rPr>
      </w:pPr>
      <w:r w:rsidRPr="00B31EA4">
        <w:rPr>
          <w:b/>
          <w:sz w:val="18"/>
          <w:szCs w:val="22"/>
        </w:rPr>
        <w:t>Figure 9.</w:t>
      </w:r>
      <w:r w:rsidR="00C8762E" w:rsidRPr="00B31EA4">
        <w:rPr>
          <w:sz w:val="18"/>
          <w:szCs w:val="22"/>
        </w:rPr>
        <w:t xml:space="preserve">  AMRO/PAHO: C</w:t>
      </w:r>
      <w:r w:rsidRPr="00B31EA4">
        <w:rPr>
          <w:sz w:val="18"/>
          <w:szCs w:val="22"/>
        </w:rPr>
        <w:t>hanges in the number and proportion of women in</w:t>
      </w:r>
      <w:r w:rsidR="00C8762E" w:rsidRPr="00B31EA4">
        <w:rPr>
          <w:sz w:val="18"/>
          <w:szCs w:val="22"/>
        </w:rPr>
        <w:t xml:space="preserve">                                     </w:t>
      </w:r>
      <w:r w:rsidRPr="00B31EA4">
        <w:rPr>
          <w:sz w:val="18"/>
          <w:szCs w:val="22"/>
        </w:rPr>
        <w:t xml:space="preserve"> General Service staff  between 12/31/2006 &amp; 12/31/2007, by grade-level </w:t>
      </w:r>
      <w:r w:rsidR="00BD4C31" w:rsidRPr="00BD4C31">
        <w:pict>
          <v:group id="_x0000_s2305" editas="canvas" style="width:342pt;height:173.25pt;mso-position-horizontal-relative:char;mso-position-vertical-relative:line" coordsize="6840,3465">
            <o:lock v:ext="edit" aspectratio="t"/>
            <v:shape id="_x0000_s2306" type="#_x0000_t75" style="position:absolute;width:6840;height:3465" o:preferrelative="f">
              <v:fill o:detectmouseclick="t"/>
              <v:path o:extrusionok="t" o:connecttype="none"/>
            </v:shape>
            <v:rect id="_x0000_s2307" style="position:absolute;left:75;top:126;width:6700;height:3339" stroked="f"/>
            <v:rect id="_x0000_s2308" style="position:absolute;left:577;top:529;width:6033;height:1962" stroked="f"/>
            <v:line id="_x0000_s2309" style="position:absolute" from="598,2240" to="6631,2241" strokeweight="0">
              <v:stroke dashstyle="1 1"/>
            </v:line>
            <v:line id="_x0000_s2310" style="position:absolute" from="598,1962" to="6631,1963" strokeweight="0">
              <v:stroke dashstyle="1 1"/>
            </v:line>
            <v:line id="_x0000_s2311" style="position:absolute" from="598,1684" to="6631,1685" strokeweight="0">
              <v:stroke dashstyle="1 1"/>
            </v:line>
            <v:line id="_x0000_s2312" style="position:absolute" from="598,1392" to="6631,1393" strokeweight="0">
              <v:stroke dashstyle="1 1"/>
            </v:line>
            <v:line id="_x0000_s2313" style="position:absolute" from="598,1113" to="6631,1114" strokeweight="0">
              <v:stroke dashstyle="1 1"/>
            </v:line>
            <v:line id="_x0000_s2314" style="position:absolute" from="598,835" to="6631,836" strokeweight="0">
              <v:stroke dashstyle="1 1"/>
            </v:line>
            <v:line id="_x0000_s2315" style="position:absolute" from="598,557" to="6631,558" strokeweight="0">
              <v:stroke dashstyle="1 1"/>
            </v:line>
            <v:rect id="_x0000_s2316" style="position:absolute;left:598;top:557;width:6033;height:1962" filled="f" strokecolor="gray" strokeweight="39e-5mm"/>
            <v:rect id="_x0000_s2317" style="position:absolute;left:751;top:2505;width:222;height:14" fillcolor="#ffc" strokeweight="39e-5mm"/>
            <v:rect id="_x0000_s2318" style="position:absolute;left:2266;top:2505;width:223;height:14" fillcolor="#ffc" strokeweight="39e-5mm"/>
            <v:rect id="_x0000_s2319" style="position:absolute;left:3017;top:2491;width:222;height:28" fillcolor="#ffc" strokeweight="39e-5mm"/>
            <v:rect id="_x0000_s2320" style="position:absolute;left:3768;top:1406;width:222;height:1113" fillcolor="#ffc" strokeweight="39e-5mm"/>
            <v:rect id="_x0000_s2321" style="position:absolute;left:4518;top:891;width:223;height:1628" fillcolor="#ffc" strokeweight="39e-5mm"/>
            <v:rect id="_x0000_s2322" style="position:absolute;left:5283;top:1016;width:222;height:1503" fillcolor="#ffc" strokeweight="39e-5mm"/>
            <v:rect id="_x0000_s2323" style="position:absolute;left:6034;top:2115;width:222;height:404" fillcolor="#ffc" strokeweight="39e-5mm"/>
            <v:rect id="_x0000_s2324" style="position:absolute;left:973;top:2505;width:209;height:14" fillcolor="teal" strokeweight="39e-5mm"/>
            <v:rect id="_x0000_s2325" style="position:absolute;left:2489;top:2505;width:208;height:14" fillcolor="teal" strokeweight="39e-5mm"/>
            <v:rect id="_x0000_s2326" style="position:absolute;left:3239;top:2505;width:209;height:14" fillcolor="teal" strokeweight="39e-5mm"/>
            <v:rect id="_x0000_s2327" style="position:absolute;left:4004;top:1504;width:209;height:1016" fillcolor="teal" strokeweight="39e-5mm"/>
            <v:rect id="_x0000_s2328" style="position:absolute;left:4741;top:1016;width:222;height:1503" fillcolor="teal" strokeweight="39e-5mm"/>
            <v:rect id="_x0000_s2329" style="position:absolute;left:5505;top:1002;width:209;height:1517" fillcolor="teal" strokeweight="39e-5mm"/>
            <v:rect id="_x0000_s2330" style="position:absolute;left:6256;top:2143;width:209;height:376" fillcolor="teal" strokeweight="39e-5mm"/>
            <v:line id="_x0000_s2331" style="position:absolute" from="598,557" to="599,2519" strokeweight="0"/>
            <v:line id="_x0000_s2332" style="position:absolute" from="556,2519" to="598,2520" strokeweight="0"/>
            <v:line id="_x0000_s2333" style="position:absolute" from="556,2240" to="598,2241" strokeweight="0"/>
            <v:line id="_x0000_s2334" style="position:absolute" from="556,1962" to="598,1963" strokeweight="0"/>
            <v:line id="_x0000_s2335" style="position:absolute" from="556,1684" to="598,1685" strokeweight="0"/>
            <v:line id="_x0000_s2336" style="position:absolute" from="556,1392" to="598,1393" strokeweight="0"/>
            <v:line id="_x0000_s2337" style="position:absolute" from="556,1113" to="598,1114" strokeweight="0"/>
            <v:line id="_x0000_s2338" style="position:absolute" from="556,835" to="598,836" strokeweight="0"/>
            <v:line id="_x0000_s2339" style="position:absolute" from="556,557" to="598,558" strokeweight="0"/>
            <v:line id="_x0000_s2340" style="position:absolute" from="598,2519" to="6631,2520" strokeweight="0"/>
            <v:line id="_x0000_s2341" style="position:absolute;flip:y" from="598,2519" to="599,2561" strokeweight="0"/>
            <v:line id="_x0000_s2342" style="position:absolute;flip:y" from="1349,2519" to="1350,2561" strokeweight="0"/>
            <v:line id="_x0000_s2343" style="position:absolute;flip:y" from="2113,2519" to="2114,2561" strokeweight="0"/>
            <v:line id="_x0000_s2344" style="position:absolute;flip:y" from="2864,2519" to="2865,2561" strokeweight="0"/>
            <v:line id="_x0000_s2345" style="position:absolute;flip:y" from="3615,2519" to="3616,2561" strokeweight="0"/>
            <v:line id="_x0000_s2346" style="position:absolute;flip:y" from="4365,2519" to="4366,2561" strokeweight="0"/>
            <v:line id="_x0000_s2347" style="position:absolute;flip:y" from="5130,2519" to="5131,2561" strokeweight="0"/>
            <v:line id="_x0000_s2348" style="position:absolute;flip:y" from="5881,2519" to="5882,2561" strokeweight="0"/>
            <v:line id="_x0000_s2349" style="position:absolute;flip:y" from="6631,2519" to="6632,2561" strokeweight="0"/>
            <v:rect id="_x0000_s2350" style="position:absolute;left:334;top:125;width:4134;height:230;mso-wrap-style:none" filled="f" stroked="f">
              <v:textbox style="mso-next-textbox:#_x0000_s2350;mso-fit-shape-to-text:t" inset="0,0,0,0">
                <w:txbxContent>
                  <w:p w:rsidR="00D345DF" w:rsidRDefault="00D345DF" w:rsidP="00573033">
                    <w:pPr>
                      <w:rPr>
                        <w:b/>
                        <w:sz w:val="28"/>
                      </w:rPr>
                    </w:pPr>
                    <w:r>
                      <w:rPr>
                        <w:rFonts w:cs="Arial"/>
                        <w:b/>
                        <w:color w:val="000000"/>
                        <w:szCs w:val="16"/>
                      </w:rPr>
                      <w:t xml:space="preserve">                                       a. Number of women</w:t>
                    </w:r>
                  </w:p>
                </w:txbxContent>
              </v:textbox>
            </v:rect>
            <v:rect id="_x0000_s2351" style="position:absolute;left:820;top:2227;width:89;height:184;mso-wrap-style:none" filled="f" stroked="f">
              <v:textbox style="mso-next-textbox:#_x0000_s2351;mso-fit-shape-to-text:t" inset="0,0,0,0">
                <w:txbxContent>
                  <w:p w:rsidR="00D345DF" w:rsidRDefault="00D345DF" w:rsidP="00573033">
                    <w:r>
                      <w:rPr>
                        <w:rFonts w:cs="Arial"/>
                        <w:color w:val="000000"/>
                        <w:sz w:val="16"/>
                        <w:szCs w:val="16"/>
                      </w:rPr>
                      <w:t>1</w:t>
                    </w:r>
                  </w:p>
                </w:txbxContent>
              </v:textbox>
            </v:rect>
            <v:rect id="_x0000_s2352" style="position:absolute;left:1571;top:2240;width:89;height:184;mso-wrap-style:none" filled="f" stroked="f">
              <v:textbox style="mso-next-textbox:#_x0000_s2352;mso-fit-shape-to-text:t" inset="0,0,0,0">
                <w:txbxContent>
                  <w:p w:rsidR="00D345DF" w:rsidRDefault="00D345DF" w:rsidP="00573033">
                    <w:r>
                      <w:rPr>
                        <w:rFonts w:cs="Arial"/>
                        <w:color w:val="000000"/>
                        <w:sz w:val="16"/>
                        <w:szCs w:val="16"/>
                      </w:rPr>
                      <w:t>0</w:t>
                    </w:r>
                  </w:p>
                </w:txbxContent>
              </v:textbox>
            </v:rect>
            <v:rect id="_x0000_s2353" style="position:absolute;left:2336;top:2227;width:89;height:184;mso-wrap-style:none" filled="f" stroked="f">
              <v:textbox style="mso-next-textbox:#_x0000_s2353;mso-fit-shape-to-text:t" inset="0,0,0,0">
                <w:txbxContent>
                  <w:p w:rsidR="00D345DF" w:rsidRDefault="00D345DF" w:rsidP="00573033">
                    <w:r>
                      <w:rPr>
                        <w:rFonts w:cs="Arial"/>
                        <w:color w:val="000000"/>
                        <w:sz w:val="16"/>
                        <w:szCs w:val="16"/>
                      </w:rPr>
                      <w:t>1</w:t>
                    </w:r>
                  </w:p>
                </w:txbxContent>
              </v:textbox>
            </v:rect>
            <v:rect id="_x0000_s2354" style="position:absolute;left:3086;top:2213;width:89;height:184;mso-wrap-style:none" filled="f" stroked="f">
              <v:textbox style="mso-next-textbox:#_x0000_s2354;mso-fit-shape-to-text:t" inset="0,0,0,0">
                <w:txbxContent>
                  <w:p w:rsidR="00D345DF" w:rsidRDefault="00D345DF" w:rsidP="00573033">
                    <w:r>
                      <w:rPr>
                        <w:rFonts w:cs="Arial"/>
                        <w:color w:val="000000"/>
                        <w:sz w:val="16"/>
                        <w:szCs w:val="16"/>
                      </w:rPr>
                      <w:t>2</w:t>
                    </w:r>
                  </w:p>
                </w:txbxContent>
              </v:textbox>
            </v:rect>
            <v:rect id="_x0000_s2355" style="position:absolute;left:3795;top:1127;width:178;height:184;mso-wrap-style:none" filled="f" stroked="f">
              <v:textbox style="mso-next-textbox:#_x0000_s2355;mso-fit-shape-to-text:t" inset="0,0,0,0">
                <w:txbxContent>
                  <w:p w:rsidR="00D345DF" w:rsidRDefault="00D345DF" w:rsidP="00573033">
                    <w:r>
                      <w:rPr>
                        <w:rFonts w:cs="Arial"/>
                        <w:color w:val="000000"/>
                        <w:sz w:val="16"/>
                        <w:szCs w:val="16"/>
                      </w:rPr>
                      <w:t>79</w:t>
                    </w:r>
                  </w:p>
                </w:txbxContent>
              </v:textbox>
            </v:rect>
            <v:rect id="_x0000_s2356" style="position:absolute;left:4504;top:612;width:267;height:184;mso-wrap-style:none" filled="f" stroked="f">
              <v:textbox style="mso-next-textbox:#_x0000_s2356;mso-fit-shape-to-text:t" inset="0,0,0,0">
                <w:txbxContent>
                  <w:p w:rsidR="00D345DF" w:rsidRDefault="00D345DF" w:rsidP="00573033">
                    <w:r>
                      <w:rPr>
                        <w:rFonts w:cs="Arial"/>
                        <w:color w:val="000000"/>
                        <w:sz w:val="16"/>
                        <w:szCs w:val="16"/>
                      </w:rPr>
                      <w:t>116</w:t>
                    </w:r>
                  </w:p>
                </w:txbxContent>
              </v:textbox>
            </v:rect>
            <v:rect id="_x0000_s2357" style="position:absolute;left:6061;top:1837;width:178;height:184;mso-wrap-style:none" filled="f" stroked="f">
              <v:textbox style="mso-next-textbox:#_x0000_s2357;mso-fit-shape-to-text:t" inset="0,0,0,0">
                <w:txbxContent>
                  <w:p w:rsidR="00D345DF" w:rsidRDefault="00D345DF" w:rsidP="00573033">
                    <w:r>
                      <w:rPr>
                        <w:rFonts w:cs="Arial"/>
                        <w:color w:val="000000"/>
                        <w:sz w:val="16"/>
                        <w:szCs w:val="16"/>
                      </w:rPr>
                      <w:t>29</w:t>
                    </w:r>
                  </w:p>
                </w:txbxContent>
              </v:textbox>
            </v:rect>
            <v:rect id="_x0000_s2358" style="position:absolute;left:1029;top:2227;width:89;height:184;mso-wrap-style:none" filled="f" stroked="f">
              <v:textbox style="mso-next-textbox:#_x0000_s2358;mso-fit-shape-to-text:t" inset="0,0,0,0">
                <w:txbxContent>
                  <w:p w:rsidR="00D345DF" w:rsidRDefault="00D345DF" w:rsidP="00573033">
                    <w:r>
                      <w:rPr>
                        <w:rFonts w:cs="Arial"/>
                        <w:color w:val="000000"/>
                        <w:sz w:val="16"/>
                        <w:szCs w:val="16"/>
                      </w:rPr>
                      <w:t>1</w:t>
                    </w:r>
                  </w:p>
                </w:txbxContent>
              </v:textbox>
            </v:rect>
            <v:rect id="_x0000_s2359" style="position:absolute;left:1793;top:2240;width:89;height:184;mso-wrap-style:none" filled="f" stroked="f">
              <v:textbox style="mso-next-textbox:#_x0000_s2359;mso-fit-shape-to-text:t" inset="0,0,0,0">
                <w:txbxContent>
                  <w:p w:rsidR="00D345DF" w:rsidRDefault="00D345DF" w:rsidP="00573033">
                    <w:r>
                      <w:rPr>
                        <w:rFonts w:cs="Arial"/>
                        <w:color w:val="000000"/>
                        <w:sz w:val="16"/>
                        <w:szCs w:val="16"/>
                      </w:rPr>
                      <w:t>0</w:t>
                    </w:r>
                  </w:p>
                </w:txbxContent>
              </v:textbox>
            </v:rect>
            <v:rect id="_x0000_s2360" style="position:absolute;left:2544;top:2227;width:89;height:184;mso-wrap-style:none" filled="f" stroked="f">
              <v:textbox style="mso-next-textbox:#_x0000_s2360;mso-fit-shape-to-text:t" inset="0,0,0,0">
                <w:txbxContent>
                  <w:p w:rsidR="00D345DF" w:rsidRDefault="00D345DF" w:rsidP="00573033">
                    <w:r>
                      <w:rPr>
                        <w:rFonts w:cs="Arial"/>
                        <w:color w:val="000000"/>
                        <w:sz w:val="16"/>
                        <w:szCs w:val="16"/>
                      </w:rPr>
                      <w:t>1</w:t>
                    </w:r>
                  </w:p>
                </w:txbxContent>
              </v:textbox>
            </v:rect>
            <v:rect id="_x0000_s2361" style="position:absolute;left:3295;top:2227;width:89;height:184;mso-wrap-style:none" filled="f" stroked="f">
              <v:textbox style="mso-next-textbox:#_x0000_s2361;mso-fit-shape-to-text:t" inset="0,0,0,0">
                <w:txbxContent>
                  <w:p w:rsidR="00D345DF" w:rsidRDefault="00D345DF" w:rsidP="00573033">
                    <w:r>
                      <w:rPr>
                        <w:rFonts w:cs="Arial"/>
                        <w:color w:val="000000"/>
                        <w:sz w:val="16"/>
                        <w:szCs w:val="16"/>
                      </w:rPr>
                      <w:t>1</w:t>
                    </w:r>
                  </w:p>
                </w:txbxContent>
              </v:textbox>
            </v:rect>
            <v:rect id="_x0000_s2362" style="position:absolute;left:4004;top:1225;width:178;height:184;mso-wrap-style:none" filled="f" stroked="f">
              <v:textbox style="mso-next-textbox:#_x0000_s2362;mso-fit-shape-to-text:t" inset="0,0,0,0">
                <w:txbxContent>
                  <w:p w:rsidR="00D345DF" w:rsidRDefault="00D345DF" w:rsidP="00573033">
                    <w:r>
                      <w:rPr>
                        <w:rFonts w:cs="Arial"/>
                        <w:color w:val="000000"/>
                        <w:sz w:val="16"/>
                        <w:szCs w:val="16"/>
                      </w:rPr>
                      <w:t>72</w:t>
                    </w:r>
                  </w:p>
                </w:txbxContent>
              </v:textbox>
            </v:rect>
            <v:rect id="_x0000_s2363" style="position:absolute;left:5283;top:807;width:267;height:184;mso-wrap-style:none" filled="f" stroked="f">
              <v:textbox style="mso-next-textbox:#_x0000_s2363;mso-fit-shape-to-text:t" inset="0,0,0,0">
                <w:txbxContent>
                  <w:p w:rsidR="00D345DF" w:rsidRDefault="00D345DF" w:rsidP="00573033">
                    <w:r>
                      <w:rPr>
                        <w:rFonts w:cs="Arial"/>
                        <w:color w:val="000000"/>
                        <w:sz w:val="16"/>
                        <w:szCs w:val="16"/>
                      </w:rPr>
                      <w:t>107</w:t>
                    </w:r>
                  </w:p>
                </w:txbxContent>
              </v:textbox>
            </v:rect>
            <v:rect id="_x0000_s2364" style="position:absolute;left:6284;top:1920;width:178;height:184;mso-wrap-style:none" filled="f" stroked="f">
              <v:textbox style="mso-next-textbox:#_x0000_s2364;mso-fit-shape-to-text:t" inset="0,0,0,0">
                <w:txbxContent>
                  <w:p w:rsidR="00D345DF" w:rsidRDefault="00D345DF" w:rsidP="00573033">
                    <w:r>
                      <w:rPr>
                        <w:rFonts w:cs="Arial"/>
                        <w:color w:val="000000"/>
                        <w:sz w:val="16"/>
                        <w:szCs w:val="16"/>
                      </w:rPr>
                      <w:t>27</w:t>
                    </w:r>
                  </w:p>
                </w:txbxContent>
              </v:textbox>
            </v:rect>
            <v:rect id="_x0000_s2365" style="position:absolute;left:5491;top:626;width:267;height:184;mso-wrap-style:none" filled="f" stroked="f">
              <v:textbox style="mso-next-textbox:#_x0000_s2365;mso-fit-shape-to-text:t" inset="0,0,0,0">
                <w:txbxContent>
                  <w:p w:rsidR="00D345DF" w:rsidRDefault="00D345DF" w:rsidP="00573033">
                    <w:r>
                      <w:rPr>
                        <w:rFonts w:cs="Arial"/>
                        <w:color w:val="000000"/>
                        <w:sz w:val="16"/>
                        <w:szCs w:val="16"/>
                      </w:rPr>
                      <w:t>108</w:t>
                    </w:r>
                  </w:p>
                </w:txbxContent>
              </v:textbox>
            </v:rect>
            <v:rect id="_x0000_s2366" style="position:absolute;left:4741;top:807;width:267;height:184;mso-wrap-style:none" filled="f" stroked="f">
              <v:textbox style="mso-next-textbox:#_x0000_s2366;mso-fit-shape-to-text:t" inset="0,0,0,0">
                <w:txbxContent>
                  <w:p w:rsidR="00D345DF" w:rsidRDefault="00D345DF" w:rsidP="00573033">
                    <w:r>
                      <w:rPr>
                        <w:rFonts w:cs="Arial"/>
                        <w:color w:val="000000"/>
                        <w:sz w:val="16"/>
                        <w:szCs w:val="16"/>
                      </w:rPr>
                      <w:t>107</w:t>
                    </w:r>
                  </w:p>
                </w:txbxContent>
              </v:textbox>
            </v:rect>
            <v:rect id="_x0000_s2367" style="position:absolute;left:403;top:2421;width:89;height:184;mso-wrap-style:none" filled="f" stroked="f">
              <v:textbox style="mso-next-textbox:#_x0000_s2367;mso-fit-shape-to-text:t" inset="0,0,0,0">
                <w:txbxContent>
                  <w:p w:rsidR="00D345DF" w:rsidRDefault="00D345DF" w:rsidP="00573033">
                    <w:r>
                      <w:rPr>
                        <w:rFonts w:cs="Arial"/>
                        <w:color w:val="000000"/>
                        <w:sz w:val="16"/>
                        <w:szCs w:val="16"/>
                      </w:rPr>
                      <w:t>0</w:t>
                    </w:r>
                  </w:p>
                </w:txbxContent>
              </v:textbox>
            </v:rect>
            <v:rect id="_x0000_s2368" style="position:absolute;left:320;top:2143;width:178;height:184;mso-wrap-style:none" filled="f" stroked="f">
              <v:textbox style="mso-next-textbox:#_x0000_s2368;mso-fit-shape-to-text:t" inset="0,0,0,0">
                <w:txbxContent>
                  <w:p w:rsidR="00D345DF" w:rsidRDefault="00D345DF" w:rsidP="00573033">
                    <w:r>
                      <w:rPr>
                        <w:rFonts w:cs="Arial"/>
                        <w:color w:val="000000"/>
                        <w:sz w:val="16"/>
                        <w:szCs w:val="16"/>
                      </w:rPr>
                      <w:t>20</w:t>
                    </w:r>
                  </w:p>
                </w:txbxContent>
              </v:textbox>
            </v:rect>
            <v:rect id="_x0000_s2369" style="position:absolute;left:320;top:1865;width:178;height:184;mso-wrap-style:none" filled="f" stroked="f">
              <v:textbox style="mso-next-textbox:#_x0000_s2369;mso-fit-shape-to-text:t" inset="0,0,0,0">
                <w:txbxContent>
                  <w:p w:rsidR="00D345DF" w:rsidRDefault="00D345DF" w:rsidP="00573033">
                    <w:r>
                      <w:rPr>
                        <w:rFonts w:cs="Arial"/>
                        <w:color w:val="000000"/>
                        <w:sz w:val="16"/>
                        <w:szCs w:val="16"/>
                      </w:rPr>
                      <w:t>40</w:t>
                    </w:r>
                  </w:p>
                </w:txbxContent>
              </v:textbox>
            </v:rect>
            <v:rect id="_x0000_s2370" style="position:absolute;left:320;top:1586;width:178;height:184;mso-wrap-style:none" filled="f" stroked="f">
              <v:textbox style="mso-next-textbox:#_x0000_s2370;mso-fit-shape-to-text:t" inset="0,0,0,0">
                <w:txbxContent>
                  <w:p w:rsidR="00D345DF" w:rsidRDefault="00D345DF" w:rsidP="00573033">
                    <w:r>
                      <w:rPr>
                        <w:rFonts w:cs="Arial"/>
                        <w:color w:val="000000"/>
                        <w:sz w:val="16"/>
                        <w:szCs w:val="16"/>
                      </w:rPr>
                      <w:t>60</w:t>
                    </w:r>
                  </w:p>
                </w:txbxContent>
              </v:textbox>
            </v:rect>
            <v:rect id="_x0000_s2371" style="position:absolute;left:320;top:1294;width:178;height:184;mso-wrap-style:none" filled="f" stroked="f">
              <v:textbox style="mso-next-textbox:#_x0000_s2371;mso-fit-shape-to-text:t" inset="0,0,0,0">
                <w:txbxContent>
                  <w:p w:rsidR="00D345DF" w:rsidRDefault="00D345DF" w:rsidP="00573033">
                    <w:r>
                      <w:rPr>
                        <w:rFonts w:cs="Arial"/>
                        <w:color w:val="000000"/>
                        <w:sz w:val="16"/>
                        <w:szCs w:val="16"/>
                      </w:rPr>
                      <w:t>80</w:t>
                    </w:r>
                  </w:p>
                </w:txbxContent>
              </v:textbox>
            </v:rect>
            <v:rect id="_x0000_s2372" style="position:absolute;left:236;top:1016;width:267;height:184;mso-wrap-style:none" filled="f" stroked="f">
              <v:textbox style="mso-next-textbox:#_x0000_s2372;mso-fit-shape-to-text:t" inset="0,0,0,0">
                <w:txbxContent>
                  <w:p w:rsidR="00D345DF" w:rsidRDefault="00D345DF" w:rsidP="00573033">
                    <w:r>
                      <w:rPr>
                        <w:rFonts w:cs="Arial"/>
                        <w:color w:val="000000"/>
                        <w:sz w:val="16"/>
                        <w:szCs w:val="16"/>
                      </w:rPr>
                      <w:t>100</w:t>
                    </w:r>
                  </w:p>
                </w:txbxContent>
              </v:textbox>
            </v:rect>
            <v:rect id="_x0000_s2373" style="position:absolute;left:236;top:738;width:267;height:184;mso-wrap-style:none" filled="f" stroked="f">
              <v:textbox style="mso-next-textbox:#_x0000_s2373;mso-fit-shape-to-text:t" inset="0,0,0,0">
                <w:txbxContent>
                  <w:p w:rsidR="00D345DF" w:rsidRDefault="00D345DF" w:rsidP="00573033">
                    <w:r>
                      <w:rPr>
                        <w:rFonts w:cs="Arial"/>
                        <w:color w:val="000000"/>
                        <w:sz w:val="16"/>
                        <w:szCs w:val="16"/>
                      </w:rPr>
                      <w:t>120</w:t>
                    </w:r>
                  </w:p>
                </w:txbxContent>
              </v:textbox>
            </v:rect>
            <v:rect id="_x0000_s2374" style="position:absolute;left:236;top:459;width:267;height:184;mso-wrap-style:none" filled="f" stroked="f">
              <v:textbox style="mso-next-textbox:#_x0000_s2374;mso-fit-shape-to-text:t" inset="0,0,0,0">
                <w:txbxContent>
                  <w:p w:rsidR="00D345DF" w:rsidRDefault="00D345DF" w:rsidP="00573033">
                    <w:r>
                      <w:rPr>
                        <w:rFonts w:cs="Arial"/>
                        <w:color w:val="000000"/>
                        <w:sz w:val="16"/>
                        <w:szCs w:val="16"/>
                      </w:rPr>
                      <w:t>140</w:t>
                    </w:r>
                  </w:p>
                </w:txbxContent>
              </v:textbox>
            </v:rect>
            <v:rect id="_x0000_s2375" style="position:absolute;left:834;top:2644;width:303;height:184;mso-wrap-style:none" filled="f" stroked="f">
              <v:textbox style="mso-next-textbox:#_x0000_s2375;mso-fit-shape-to-text:t" inset="0,0,0,0">
                <w:txbxContent>
                  <w:p w:rsidR="00D345DF" w:rsidRDefault="00D345DF" w:rsidP="00573033">
                    <w:r>
                      <w:rPr>
                        <w:rFonts w:cs="Arial"/>
                        <w:color w:val="000000"/>
                        <w:sz w:val="16"/>
                        <w:szCs w:val="16"/>
                      </w:rPr>
                      <w:t>G00</w:t>
                    </w:r>
                  </w:p>
                </w:txbxContent>
              </v:textbox>
            </v:rect>
            <v:rect id="_x0000_s2376" style="position:absolute;left:1585;top:2644;width:303;height:184;mso-wrap-style:none" filled="f" stroked="f">
              <v:textbox style="mso-next-textbox:#_x0000_s2376;mso-fit-shape-to-text:t" inset="0,0,0,0">
                <w:txbxContent>
                  <w:p w:rsidR="00D345DF" w:rsidRDefault="00D345DF" w:rsidP="00573033">
                    <w:r>
                      <w:rPr>
                        <w:rFonts w:cs="Arial"/>
                        <w:color w:val="000000"/>
                        <w:sz w:val="16"/>
                        <w:szCs w:val="16"/>
                      </w:rPr>
                      <w:t>G01</w:t>
                    </w:r>
                  </w:p>
                </w:txbxContent>
              </v:textbox>
            </v:rect>
            <v:rect id="_x0000_s2377" style="position:absolute;left:2350;top:2644;width:303;height:184;mso-wrap-style:none" filled="f" stroked="f">
              <v:textbox style="mso-next-textbox:#_x0000_s2377;mso-fit-shape-to-text:t" inset="0,0,0,0">
                <w:txbxContent>
                  <w:p w:rsidR="00D345DF" w:rsidRDefault="00D345DF" w:rsidP="00573033">
                    <w:r>
                      <w:rPr>
                        <w:rFonts w:cs="Arial"/>
                        <w:color w:val="000000"/>
                        <w:sz w:val="16"/>
                        <w:szCs w:val="16"/>
                      </w:rPr>
                      <w:t>G02</w:t>
                    </w:r>
                  </w:p>
                </w:txbxContent>
              </v:textbox>
            </v:rect>
            <v:rect id="_x0000_s2378" style="position:absolute;left:3100;top:2644;width:303;height:184;mso-wrap-style:none" filled="f" stroked="f">
              <v:textbox style="mso-next-textbox:#_x0000_s2378;mso-fit-shape-to-text:t" inset="0,0,0,0">
                <w:txbxContent>
                  <w:p w:rsidR="00D345DF" w:rsidRDefault="00D345DF" w:rsidP="00573033">
                    <w:r>
                      <w:rPr>
                        <w:rFonts w:cs="Arial"/>
                        <w:color w:val="000000"/>
                        <w:sz w:val="16"/>
                        <w:szCs w:val="16"/>
                      </w:rPr>
                      <w:t>G03</w:t>
                    </w:r>
                  </w:p>
                </w:txbxContent>
              </v:textbox>
            </v:rect>
            <v:rect id="_x0000_s2379" style="position:absolute;left:3851;top:2644;width:303;height:184;mso-wrap-style:none" filled="f" stroked="f">
              <v:textbox style="mso-next-textbox:#_x0000_s2379;mso-fit-shape-to-text:t" inset="0,0,0,0">
                <w:txbxContent>
                  <w:p w:rsidR="00D345DF" w:rsidRDefault="00D345DF" w:rsidP="00573033">
                    <w:r>
                      <w:rPr>
                        <w:rFonts w:cs="Arial"/>
                        <w:color w:val="000000"/>
                        <w:sz w:val="16"/>
                        <w:szCs w:val="16"/>
                      </w:rPr>
                      <w:t>G04</w:t>
                    </w:r>
                  </w:p>
                </w:txbxContent>
              </v:textbox>
            </v:rect>
            <v:rect id="_x0000_s2380" style="position:absolute;left:4602;top:2644;width:303;height:184;mso-wrap-style:none" filled="f" stroked="f">
              <v:textbox style="mso-next-textbox:#_x0000_s2380;mso-fit-shape-to-text:t" inset="0,0,0,0">
                <w:txbxContent>
                  <w:p w:rsidR="00D345DF" w:rsidRDefault="00D345DF" w:rsidP="00573033">
                    <w:r>
                      <w:rPr>
                        <w:rFonts w:cs="Arial"/>
                        <w:color w:val="000000"/>
                        <w:sz w:val="16"/>
                        <w:szCs w:val="16"/>
                      </w:rPr>
                      <w:t>G05</w:t>
                    </w:r>
                  </w:p>
                </w:txbxContent>
              </v:textbox>
            </v:rect>
            <v:rect id="_x0000_s2381" style="position:absolute;left:5366;top:2644;width:303;height:184;mso-wrap-style:none" filled="f" stroked="f">
              <v:textbox style="mso-next-textbox:#_x0000_s2381;mso-fit-shape-to-text:t" inset="0,0,0,0">
                <w:txbxContent>
                  <w:p w:rsidR="00D345DF" w:rsidRDefault="00D345DF" w:rsidP="00573033">
                    <w:r>
                      <w:rPr>
                        <w:rFonts w:cs="Arial"/>
                        <w:color w:val="000000"/>
                        <w:sz w:val="16"/>
                        <w:szCs w:val="16"/>
                      </w:rPr>
                      <w:t>G06</w:t>
                    </w:r>
                  </w:p>
                </w:txbxContent>
              </v:textbox>
            </v:rect>
            <v:rect id="_x0000_s2382" style="position:absolute;left:6117;top:2644;width:303;height:184;mso-wrap-style:none" filled="f" stroked="f">
              <v:textbox style="mso-next-textbox:#_x0000_s2382;mso-fit-shape-to-text:t" inset="0,0,0,0">
                <w:txbxContent>
                  <w:p w:rsidR="00D345DF" w:rsidRDefault="00D345DF" w:rsidP="00573033">
                    <w:r>
                      <w:rPr>
                        <w:rFonts w:cs="Arial"/>
                        <w:color w:val="000000"/>
                        <w:sz w:val="16"/>
                        <w:szCs w:val="16"/>
                      </w:rPr>
                      <w:t>G07</w:t>
                    </w:r>
                  </w:p>
                </w:txbxContent>
              </v:textbox>
            </v:rect>
            <v:rect id="_x0000_s2383" style="position:absolute;left:3031;top:3048;width:1140;height:292" strokeweight="0"/>
            <v:rect id="_x0000_s2384" style="position:absolute;left:3086;top:3145;width:84;height:84" fillcolor="#ffc" strokeweight="39e-5mm"/>
            <v:rect id="_x0000_s2385" style="position:absolute;left:3225;top:3089;width:356;height:184;mso-wrap-style:none" filled="f" stroked="f">
              <v:textbox style="mso-next-textbox:#_x0000_s2385;mso-fit-shape-to-text:t" inset="0,0,0,0">
                <w:txbxContent>
                  <w:p w:rsidR="00D345DF" w:rsidRDefault="00D345DF" w:rsidP="00573033">
                    <w:r>
                      <w:rPr>
                        <w:rFonts w:cs="Arial"/>
                        <w:color w:val="000000"/>
                        <w:sz w:val="16"/>
                        <w:szCs w:val="16"/>
                      </w:rPr>
                      <w:t>2006</w:t>
                    </w:r>
                  </w:p>
                </w:txbxContent>
              </v:textbox>
            </v:rect>
            <v:rect id="_x0000_s2386" style="position:absolute;left:3629;top:3145;width:83;height:84" fillcolor="teal" strokeweight="39e-5mm"/>
            <v:rect id="_x0000_s2387" style="position:absolute;left:3768;top:3089;width:356;height:184;mso-wrap-style:none" filled="f" stroked="f">
              <v:textbox style="mso-next-textbox:#_x0000_s2387;mso-fit-shape-to-text:t" inset="0,0,0,0">
                <w:txbxContent>
                  <w:p w:rsidR="00D345DF" w:rsidRDefault="00D345DF" w:rsidP="00573033">
                    <w:r>
                      <w:rPr>
                        <w:rFonts w:cs="Arial"/>
                        <w:color w:val="000000"/>
                        <w:sz w:val="16"/>
                        <w:szCs w:val="16"/>
                      </w:rPr>
                      <w:t>2007</w:t>
                    </w:r>
                  </w:p>
                </w:txbxContent>
              </v:textbox>
            </v:rect>
            <w10:wrap type="none"/>
            <w10:anchorlock/>
          </v:group>
        </w:pict>
      </w:r>
      <w:r>
        <w:t xml:space="preserve">    </w:t>
      </w:r>
      <w:r>
        <w:rPr>
          <w:rFonts w:cs="Arial"/>
          <w:b/>
          <w:color w:val="000000"/>
          <w:szCs w:val="16"/>
        </w:rPr>
        <w:t xml:space="preserve">                      </w:t>
      </w:r>
    </w:p>
    <w:p w:rsidR="00E53968" w:rsidRDefault="00BD4C31" w:rsidP="00E53968">
      <w:pPr>
        <w:pStyle w:val="ListParagraph"/>
        <w:spacing w:after="200" w:line="276" w:lineRule="auto"/>
      </w:pPr>
      <w:r>
        <w:pict>
          <v:group id="_x0000_s2388" editas="canvas" style="width:365.25pt;height:199.9pt;mso-position-horizontal-relative:char;mso-position-vertical-relative:line" coordorigin=",-1" coordsize="7305,3998">
            <o:lock v:ext="edit" aspectratio="t"/>
            <v:shape id="_x0000_s2389" type="#_x0000_t75" style="position:absolute;top:-1;width:7305;height:3998" o:preferrelative="f">
              <v:fill o:detectmouseclick="t"/>
              <v:path o:extrusionok="t" o:connecttype="none"/>
            </v:shape>
            <v:rect id="_x0000_s2390" style="position:absolute;left:75;top:63;width:6714;height:3606" stroked="f"/>
            <v:rect id="_x0000_s2391" style="position:absolute;left:810;top:746;width:5841;height:1620" stroked="f"/>
            <v:line id="_x0000_s2392" style="position:absolute" from="809,2037" to="6650,2038" strokeweight="0">
              <v:stroke dashstyle="1 1"/>
            </v:line>
            <v:line id="_x0000_s2393" style="position:absolute" from="809,1721" to="6650,1722" strokeweight="0">
              <v:stroke dashstyle="1 1"/>
            </v:line>
            <v:line id="_x0000_s2394" style="position:absolute" from="809,1392" to="6650,1393" strokeweight="0">
              <v:stroke dashstyle="1 1"/>
            </v:line>
            <v:line id="_x0000_s2395" style="position:absolute" from="809,1075" to="6650,1076" strokeweight="0">
              <v:stroke dashstyle="1 1"/>
            </v:line>
            <v:line id="_x0000_s2396" style="position:absolute" from="809,746" to="6650,747" strokeweight="0">
              <v:stroke dashstyle="1 1"/>
            </v:line>
            <v:rect id="_x0000_s2397" style="position:absolute;left:809;top:746;width:5841;height:1620" filled="f" strokecolor="gray" strokeweight="36e-5mm"/>
            <v:rect id="_x0000_s2398" style="position:absolute;left:948;top:746;width:190;height:1620" fillcolor="#ffc" strokeweight="36e-5mm"/>
            <v:rect id="_x0000_s2399" style="position:absolute;left:2251;top:2100;width:189;height:266" fillcolor="#ffc" strokeweight="36e-5mm"/>
            <v:rect id="_x0000_s2400" style="position:absolute;left:2895;top:1898;width:190;height:468" fillcolor="#ffc" strokeweight="36e-5mm"/>
            <v:rect id="_x0000_s2401" style="position:absolute;left:3540;top:1075;width:190;height:1291" fillcolor="#ffc" strokeweight="36e-5mm"/>
            <v:rect id="_x0000_s2402" style="position:absolute;left:4198;top:1000;width:189;height:1366" fillcolor="#ffc" strokeweight="36e-5mm"/>
            <v:rect id="_x0000_s2403" style="position:absolute;left:4842;top:1012;width:190;height:1354" fillcolor="#ffc" strokeweight="36e-5mm"/>
            <v:rect id="_x0000_s2404" style="position:absolute;left:5487;top:1189;width:190;height:1177" fillcolor="#ffc" strokeweight="36e-5mm"/>
            <v:rect id="_x0000_s2405" style="position:absolute;left:6145;top:1075;width:189;height:1291" fillcolor="#ffc" strokeweight="36e-5mm"/>
            <v:rect id="_x0000_s2406" style="position:absolute;left:1138;top:746;width:177;height:1620" fillcolor="teal" strokeweight="36e-5mm"/>
            <v:rect id="_x0000_s2407" style="position:absolute;left:2440;top:2037;width:177;height:329" fillcolor="teal" strokeweight="36e-5mm"/>
            <v:rect id="_x0000_s2408" style="position:absolute;left:3085;top:2100;width:177;height:266" fillcolor="teal" strokeweight="36e-5mm"/>
            <v:rect id="_x0000_s2409" style="position:absolute;left:3730;top:1075;width:189;height:1291" fillcolor="teal" strokeweight="36e-5mm"/>
            <v:rect id="_x0000_s2410" style="position:absolute;left:4387;top:1025;width:177;height:1341" fillcolor="teal" strokeweight="36e-5mm"/>
            <v:rect id="_x0000_s2411" style="position:absolute;left:5032;top:1000;width:177;height:1366" fillcolor="teal" strokeweight="36e-5mm"/>
            <v:rect id="_x0000_s2412" style="position:absolute;left:5677;top:1189;width:190;height:1177" fillcolor="teal" strokeweight="36e-5mm"/>
            <v:rect id="_x0000_s2413" style="position:absolute;left:6334;top:1075;width:177;height:1291" fillcolor="teal" strokeweight="36e-5mm"/>
            <v:line id="_x0000_s2414" style="position:absolute" from="809,746" to="810,2366" strokeweight="0"/>
            <v:line id="_x0000_s2415" style="position:absolute" from="759,2366" to="809,2367" strokeweight="0"/>
            <v:line id="_x0000_s2416" style="position:absolute" from="759,2037" to="809,2038" strokeweight="0"/>
            <v:line id="_x0000_s2417" style="position:absolute" from="759,1721" to="809,1722" strokeweight="0"/>
            <v:line id="_x0000_s2418" style="position:absolute" from="759,1392" to="809,1393" strokeweight="0"/>
            <v:line id="_x0000_s2419" style="position:absolute" from="759,1075" to="809,1076" strokeweight="0"/>
            <v:line id="_x0000_s2420" style="position:absolute" from="759,746" to="809,747" strokeweight="0"/>
            <v:line id="_x0000_s2421" style="position:absolute" from="809,2366" to="6650,2367" strokeweight="0"/>
            <v:rect id="_x0000_s2422" style="position:absolute;left:2706;top:177;width:2189;height:230;mso-wrap-style:none" filled="f" stroked="f">
              <v:textbox style="mso-next-textbox:#_x0000_s2422;mso-fit-shape-to-text:t" inset="0,0,0,0">
                <w:txbxContent>
                  <w:p w:rsidR="00D345DF" w:rsidRDefault="00D345DF" w:rsidP="00573033">
                    <w:pPr>
                      <w:rPr>
                        <w:b/>
                        <w:sz w:val="28"/>
                      </w:rPr>
                    </w:pPr>
                    <w:r>
                      <w:rPr>
                        <w:rFonts w:cs="Arial"/>
                        <w:b/>
                        <w:color w:val="000000"/>
                        <w:szCs w:val="16"/>
                      </w:rPr>
                      <w:t>b. Women as % of total</w:t>
                    </w:r>
                  </w:p>
                </w:txbxContent>
              </v:textbox>
            </v:rect>
            <v:rect id="_x0000_s2423" style="position:absolute;left:594;top:2265;width:89;height:184;mso-wrap-style:none" filled="f" stroked="f">
              <v:textbox style="mso-next-textbox:#_x0000_s2423;mso-fit-shape-to-text:t" inset="0,0,0,0">
                <w:txbxContent>
                  <w:p w:rsidR="00D345DF" w:rsidRDefault="00D345DF" w:rsidP="00573033">
                    <w:r>
                      <w:rPr>
                        <w:rFonts w:cs="Arial"/>
                        <w:color w:val="000000"/>
                        <w:sz w:val="16"/>
                        <w:szCs w:val="16"/>
                      </w:rPr>
                      <w:t>0</w:t>
                    </w:r>
                  </w:p>
                </w:txbxContent>
              </v:textbox>
            </v:rect>
            <v:rect id="_x0000_s2424" style="position:absolute;left:506;top:1936;width:178;height:184;mso-wrap-style:none" filled="f" stroked="f">
              <v:textbox style="mso-next-textbox:#_x0000_s2424;mso-fit-shape-to-text:t" inset="0,0,0,0">
                <w:txbxContent>
                  <w:p w:rsidR="00D345DF" w:rsidRDefault="00D345DF" w:rsidP="00573033">
                    <w:r>
                      <w:rPr>
                        <w:rFonts w:cs="Arial"/>
                        <w:color w:val="000000"/>
                        <w:sz w:val="16"/>
                        <w:szCs w:val="16"/>
                      </w:rPr>
                      <w:t>20</w:t>
                    </w:r>
                  </w:p>
                </w:txbxContent>
              </v:textbox>
            </v:rect>
            <v:rect id="_x0000_s2425" style="position:absolute;left:506;top:1620;width:178;height:184;mso-wrap-style:none" filled="f" stroked="f">
              <v:textbox style="mso-next-textbox:#_x0000_s2425;mso-fit-shape-to-text:t" inset="0,0,0,0">
                <w:txbxContent>
                  <w:p w:rsidR="00D345DF" w:rsidRDefault="00D345DF" w:rsidP="00573033">
                    <w:r>
                      <w:rPr>
                        <w:rFonts w:cs="Arial"/>
                        <w:color w:val="000000"/>
                        <w:sz w:val="16"/>
                        <w:szCs w:val="16"/>
                      </w:rPr>
                      <w:t>40</w:t>
                    </w:r>
                  </w:p>
                </w:txbxContent>
              </v:textbox>
            </v:rect>
            <v:rect id="_x0000_s2426" style="position:absolute;left:506;top:1291;width:178;height:184;mso-wrap-style:none" filled="f" stroked="f">
              <v:textbox style="mso-next-textbox:#_x0000_s2426;mso-fit-shape-to-text:t" inset="0,0,0,0">
                <w:txbxContent>
                  <w:p w:rsidR="00D345DF" w:rsidRDefault="00D345DF" w:rsidP="00573033">
                    <w:r>
                      <w:rPr>
                        <w:rFonts w:cs="Arial"/>
                        <w:color w:val="000000"/>
                        <w:sz w:val="16"/>
                        <w:szCs w:val="16"/>
                      </w:rPr>
                      <w:t>60</w:t>
                    </w:r>
                  </w:p>
                </w:txbxContent>
              </v:textbox>
            </v:rect>
            <v:rect id="_x0000_s2427" style="position:absolute;left:506;top:974;width:178;height:184;mso-wrap-style:none" filled="f" stroked="f">
              <v:textbox style="mso-next-textbox:#_x0000_s2427;mso-fit-shape-to-text:t" inset="0,0,0,0">
                <w:txbxContent>
                  <w:p w:rsidR="00D345DF" w:rsidRDefault="00D345DF" w:rsidP="00573033">
                    <w:r>
                      <w:rPr>
                        <w:rFonts w:cs="Arial"/>
                        <w:color w:val="000000"/>
                        <w:sz w:val="16"/>
                        <w:szCs w:val="16"/>
                      </w:rPr>
                      <w:t>80</w:t>
                    </w:r>
                  </w:p>
                </w:txbxContent>
              </v:textbox>
            </v:rect>
            <v:rect id="_x0000_s2428" style="position:absolute;left:417;top:645;width:267;height:184;mso-wrap-style:none" filled="f" stroked="f">
              <v:textbox style="mso-next-textbox:#_x0000_s2428;mso-fit-shape-to-text:t" inset="0,0,0,0">
                <w:txbxContent>
                  <w:p w:rsidR="00D345DF" w:rsidRDefault="00D345DF" w:rsidP="00573033">
                    <w:r>
                      <w:rPr>
                        <w:rFonts w:cs="Arial"/>
                        <w:color w:val="000000"/>
                        <w:sz w:val="16"/>
                        <w:szCs w:val="16"/>
                      </w:rPr>
                      <w:t>100</w:t>
                    </w:r>
                  </w:p>
                </w:txbxContent>
              </v:textbox>
            </v:rect>
            <v:rect id="_x0000_s2429" style="position:absolute;left:3123;top:3328;width:1188;height:278" strokeweight="0"/>
            <v:rect id="_x0000_s2430" style="position:absolute;left:3186;top:3416;width:89;height:89" fillcolor="#ffc" strokeweight="36e-5mm"/>
            <v:rect id="_x0000_s2431" style="position:absolute;left:3325;top:3366;width:356;height:184;mso-wrap-style:none" filled="f" stroked="f">
              <v:textbox style="mso-next-textbox:#_x0000_s2431;mso-fit-shape-to-text:t" inset="0,0,0,0">
                <w:txbxContent>
                  <w:p w:rsidR="00D345DF" w:rsidRDefault="00D345DF" w:rsidP="00573033">
                    <w:r>
                      <w:rPr>
                        <w:rFonts w:cs="Arial"/>
                        <w:color w:val="000000"/>
                        <w:sz w:val="16"/>
                        <w:szCs w:val="16"/>
                      </w:rPr>
                      <w:t>2006</w:t>
                    </w:r>
                  </w:p>
                </w:txbxContent>
              </v:textbox>
            </v:rect>
            <v:rect id="_x0000_s2432" style="position:absolute;left:3755;top:3416;width:89;height:89" fillcolor="teal" strokeweight="36e-5mm"/>
            <v:rect id="_x0000_s2433" style="position:absolute;left:3894;top:3366;width:356;height:184;mso-wrap-style:none" filled="f" stroked="f">
              <v:textbox style="mso-next-textbox:#_x0000_s2433;mso-fit-shape-to-text:t" inset="0,0,0,0">
                <w:txbxContent>
                  <w:p w:rsidR="00D345DF" w:rsidRDefault="00D345DF" w:rsidP="00573033">
                    <w:r>
                      <w:rPr>
                        <w:rFonts w:cs="Arial"/>
                        <w:color w:val="000000"/>
                        <w:sz w:val="16"/>
                        <w:szCs w:val="16"/>
                      </w:rPr>
                      <w:t>2007</w:t>
                    </w:r>
                  </w:p>
                </w:txbxContent>
              </v:textbox>
            </v:rect>
            <v:line id="_x0000_s2434" style="position:absolute" from="202,2644" to="6650,2645" strokeweight="0"/>
            <v:line id="_x0000_s2435" style="position:absolute" from="202,3176" to="6650,3177" strokeweight="0"/>
            <v:line id="_x0000_s2436" style="position:absolute" from="809,2366" to="6650,2367" strokeweight="0"/>
            <v:line id="_x0000_s2437" style="position:absolute" from="202,2644" to="203,3176" strokeweight="0"/>
            <v:line id="_x0000_s2438" style="position:absolute" from="809,2366" to="810,3176" strokeweight="0"/>
            <v:line id="_x0000_s2439" style="position:absolute" from="1454,2366" to="1455,3176" strokeweight="0"/>
            <v:line id="_x0000_s2440" style="position:absolute" from="2111,2366" to="2112,3176" strokeweight="0"/>
            <v:line id="_x0000_s2441" style="position:absolute" from="2756,2366" to="2757,3176" strokeweight="0"/>
            <v:line id="_x0000_s2442" style="position:absolute" from="3401,2366" to="3402,3176" strokeweight="0"/>
            <v:line id="_x0000_s2443" style="position:absolute" from="4059,2366" to="4060,3176" strokeweight="0"/>
            <v:line id="_x0000_s2444" style="position:absolute" from="4703,2366" to="4704,3176" strokeweight="0"/>
            <v:line id="_x0000_s2445" style="position:absolute" from="5348,2366" to="5349,3176" strokeweight="0"/>
            <v:line id="_x0000_s2446" style="position:absolute" from="6006,2366" to="6007,3176" strokeweight="0"/>
            <v:line id="_x0000_s2447" style="position:absolute" from="6650,2366" to="6651,3176" strokeweight="0"/>
            <v:rect id="_x0000_s2448" style="position:absolute;left:253;top:2758;width:88;height:89" fillcolor="#ffc" strokeweight="36e-5mm"/>
            <v:rect id="_x0000_s2449" style="position:absolute;left:392;top:2708;width:356;height:184;mso-wrap-style:none" filled="f" stroked="f">
              <v:textbox style="mso-next-textbox:#_x0000_s2449;mso-fit-shape-to-text:t" inset="0,0,0,0">
                <w:txbxContent>
                  <w:p w:rsidR="00D345DF" w:rsidRDefault="00D345DF" w:rsidP="00573033">
                    <w:r>
                      <w:rPr>
                        <w:rFonts w:cs="Arial"/>
                        <w:color w:val="000000"/>
                        <w:sz w:val="16"/>
                        <w:szCs w:val="16"/>
                      </w:rPr>
                      <w:t>2006</w:t>
                    </w:r>
                  </w:p>
                </w:txbxContent>
              </v:textbox>
            </v:rect>
            <v:rect id="_x0000_s2450" style="position:absolute;left:936;top:2695;width:401;height:184;mso-wrap-style:none" filled="f" stroked="f">
              <v:textbox style="mso-next-textbox:#_x0000_s2450;mso-fit-shape-to-text:t" inset="0,0,0,0">
                <w:txbxContent>
                  <w:p w:rsidR="00D345DF" w:rsidRDefault="00D345DF" w:rsidP="00573033">
                    <w:r>
                      <w:rPr>
                        <w:rFonts w:cs="Arial"/>
                        <w:color w:val="000000"/>
                        <w:sz w:val="16"/>
                        <w:szCs w:val="16"/>
                      </w:rPr>
                      <w:t>100.0</w:t>
                    </w:r>
                  </w:p>
                </w:txbxContent>
              </v:textbox>
            </v:rect>
            <v:rect id="_x0000_s2451" style="position:absolute;left:1669;top:2695;width:223;height:184;mso-wrap-style:none" filled="f" stroked="f">
              <v:textbox style="mso-next-textbox:#_x0000_s2451;mso-fit-shape-to-text:t" inset="0,0,0,0">
                <w:txbxContent>
                  <w:p w:rsidR="00D345DF" w:rsidRDefault="00D345DF" w:rsidP="00573033">
                    <w:r>
                      <w:rPr>
                        <w:rFonts w:cs="Arial"/>
                        <w:color w:val="000000"/>
                        <w:sz w:val="16"/>
                        <w:szCs w:val="16"/>
                      </w:rPr>
                      <w:t>0.0</w:t>
                    </w:r>
                  </w:p>
                </w:txbxContent>
              </v:textbox>
            </v:rect>
            <v:rect id="_x0000_s2452" style="position:absolute;left:2288;top:2695;width:312;height:184;mso-wrap-style:none" filled="f" stroked="f">
              <v:textbox style="mso-next-textbox:#_x0000_s2452;mso-fit-shape-to-text:t" inset="0,0,0,0">
                <w:txbxContent>
                  <w:p w:rsidR="00D345DF" w:rsidRDefault="00D345DF" w:rsidP="00573033">
                    <w:r>
                      <w:rPr>
                        <w:rFonts w:cs="Arial"/>
                        <w:color w:val="000000"/>
                        <w:sz w:val="16"/>
                        <w:szCs w:val="16"/>
                      </w:rPr>
                      <w:t>16.7</w:t>
                    </w:r>
                  </w:p>
                </w:txbxContent>
              </v:textbox>
            </v:rect>
            <v:rect id="_x0000_s2453" style="position:absolute;left:2933;top:2695;width:312;height:184;mso-wrap-style:none" filled="f" stroked="f">
              <v:textbox style="mso-next-textbox:#_x0000_s2453;mso-fit-shape-to-text:t" inset="0,0,0,0">
                <w:txbxContent>
                  <w:p w:rsidR="00D345DF" w:rsidRDefault="00D345DF" w:rsidP="00573033">
                    <w:r>
                      <w:rPr>
                        <w:rFonts w:cs="Arial"/>
                        <w:color w:val="000000"/>
                        <w:sz w:val="16"/>
                        <w:szCs w:val="16"/>
                      </w:rPr>
                      <w:t>28.6</w:t>
                    </w:r>
                  </w:p>
                </w:txbxContent>
              </v:textbox>
            </v:rect>
            <v:rect id="_x0000_s2454" style="position:absolute;left:3578;top:2695;width:312;height:184;mso-wrap-style:none" filled="f" stroked="f">
              <v:textbox style="mso-next-textbox:#_x0000_s2454;mso-fit-shape-to-text:t" inset="0,0,0,0">
                <w:txbxContent>
                  <w:p w:rsidR="00D345DF" w:rsidRDefault="00D345DF" w:rsidP="00573033">
                    <w:r>
                      <w:rPr>
                        <w:rFonts w:cs="Arial"/>
                        <w:color w:val="000000"/>
                        <w:sz w:val="16"/>
                        <w:szCs w:val="16"/>
                      </w:rPr>
                      <w:t>79.8</w:t>
                    </w:r>
                  </w:p>
                </w:txbxContent>
              </v:textbox>
            </v:rect>
            <v:rect id="_x0000_s2455" style="position:absolute;left:4236;top:2695;width:312;height:184;mso-wrap-style:none" filled="f" stroked="f">
              <v:textbox style="mso-next-textbox:#_x0000_s2455;mso-fit-shape-to-text:t" inset="0,0,0,0">
                <w:txbxContent>
                  <w:p w:rsidR="00D345DF" w:rsidRDefault="00D345DF" w:rsidP="00573033">
                    <w:r>
                      <w:rPr>
                        <w:rFonts w:cs="Arial"/>
                        <w:color w:val="000000"/>
                        <w:sz w:val="16"/>
                        <w:szCs w:val="16"/>
                      </w:rPr>
                      <w:t>84.7</w:t>
                    </w:r>
                  </w:p>
                </w:txbxContent>
              </v:textbox>
            </v:rect>
            <v:rect id="_x0000_s2456" style="position:absolute;left:4880;top:2695;width:312;height:184;mso-wrap-style:none" filled="f" stroked="f">
              <v:textbox style="mso-next-textbox:#_x0000_s2456;mso-fit-shape-to-text:t" inset="0,0,0,0">
                <w:txbxContent>
                  <w:p w:rsidR="00D345DF" w:rsidRDefault="00D345DF" w:rsidP="00573033">
                    <w:r>
                      <w:rPr>
                        <w:rFonts w:cs="Arial"/>
                        <w:color w:val="000000"/>
                        <w:sz w:val="16"/>
                        <w:szCs w:val="16"/>
                      </w:rPr>
                      <w:t>83.6</w:t>
                    </w:r>
                  </w:p>
                </w:txbxContent>
              </v:textbox>
            </v:rect>
            <v:rect id="_x0000_s2457" style="position:absolute;left:5525;top:2695;width:312;height:184;mso-wrap-style:none" filled="f" stroked="f">
              <v:textbox style="mso-next-textbox:#_x0000_s2457;mso-fit-shape-to-text:t" inset="0,0,0,0">
                <w:txbxContent>
                  <w:p w:rsidR="00D345DF" w:rsidRDefault="00D345DF" w:rsidP="00573033">
                    <w:r>
                      <w:rPr>
                        <w:rFonts w:cs="Arial"/>
                        <w:color w:val="000000"/>
                        <w:sz w:val="16"/>
                        <w:szCs w:val="16"/>
                      </w:rPr>
                      <w:t>72.5</w:t>
                    </w:r>
                  </w:p>
                </w:txbxContent>
              </v:textbox>
            </v:rect>
            <v:rect id="_x0000_s2458" style="position:absolute;left:6183;top:2695;width:312;height:184;mso-wrap-style:none" filled="f" stroked="f">
              <v:textbox style="mso-next-textbox:#_x0000_s2458;mso-fit-shape-to-text:t" inset="0,0,0,0">
                <w:txbxContent>
                  <w:p w:rsidR="00D345DF" w:rsidRDefault="00D345DF" w:rsidP="00573033">
                    <w:r>
                      <w:rPr>
                        <w:rFonts w:cs="Arial"/>
                        <w:color w:val="000000"/>
                        <w:sz w:val="16"/>
                        <w:szCs w:val="16"/>
                      </w:rPr>
                      <w:t>80.0</w:t>
                    </w:r>
                  </w:p>
                </w:txbxContent>
              </v:textbox>
            </v:rect>
            <v:line id="_x0000_s2459" style="position:absolute" from="215,2923" to="6638,2924" strokeweight="0"/>
            <v:rect id="_x0000_s2460" style="position:absolute;left:253;top:3024;width:88;height:88" fillcolor="teal" strokeweight="36e-5mm"/>
            <v:rect id="_x0000_s2461" style="position:absolute;left:392;top:2973;width:356;height:184;mso-wrap-style:none" filled="f" stroked="f">
              <v:textbox style="mso-next-textbox:#_x0000_s2461;mso-fit-shape-to-text:t" inset="0,0,0,0">
                <w:txbxContent>
                  <w:p w:rsidR="00D345DF" w:rsidRDefault="00D345DF" w:rsidP="00573033">
                    <w:r>
                      <w:rPr>
                        <w:rFonts w:cs="Arial"/>
                        <w:color w:val="000000"/>
                        <w:sz w:val="16"/>
                        <w:szCs w:val="16"/>
                      </w:rPr>
                      <w:t>2007</w:t>
                    </w:r>
                  </w:p>
                </w:txbxContent>
              </v:textbox>
            </v:rect>
            <v:rect id="_x0000_s2462" style="position:absolute;left:936;top:2961;width:401;height:184;mso-wrap-style:none" filled="f" stroked="f">
              <v:textbox style="mso-next-textbox:#_x0000_s2462;mso-fit-shape-to-text:t" inset="0,0,0,0">
                <w:txbxContent>
                  <w:p w:rsidR="00D345DF" w:rsidRDefault="00D345DF" w:rsidP="00573033">
                    <w:r>
                      <w:rPr>
                        <w:rFonts w:cs="Arial"/>
                        <w:color w:val="000000"/>
                        <w:sz w:val="16"/>
                        <w:szCs w:val="16"/>
                      </w:rPr>
                      <w:t>100.0</w:t>
                    </w:r>
                  </w:p>
                </w:txbxContent>
              </v:textbox>
            </v:rect>
            <v:rect id="_x0000_s2463" style="position:absolute;left:1669;top:2961;width:223;height:184;mso-wrap-style:none" filled="f" stroked="f">
              <v:textbox style="mso-next-textbox:#_x0000_s2463;mso-fit-shape-to-text:t" inset="0,0,0,0">
                <w:txbxContent>
                  <w:p w:rsidR="00D345DF" w:rsidRDefault="00D345DF" w:rsidP="00573033">
                    <w:r>
                      <w:rPr>
                        <w:rFonts w:cs="Arial"/>
                        <w:color w:val="000000"/>
                        <w:sz w:val="16"/>
                        <w:szCs w:val="16"/>
                      </w:rPr>
                      <w:t>0.0</w:t>
                    </w:r>
                  </w:p>
                </w:txbxContent>
              </v:textbox>
            </v:rect>
            <v:rect id="_x0000_s2464" style="position:absolute;left:2288;top:2961;width:312;height:184;mso-wrap-style:none" filled="f" stroked="f">
              <v:textbox style="mso-next-textbox:#_x0000_s2464;mso-fit-shape-to-text:t" inset="0,0,0,0">
                <w:txbxContent>
                  <w:p w:rsidR="00D345DF" w:rsidRDefault="00D345DF" w:rsidP="00573033">
                    <w:r>
                      <w:rPr>
                        <w:rFonts w:cs="Arial"/>
                        <w:color w:val="000000"/>
                        <w:sz w:val="16"/>
                        <w:szCs w:val="16"/>
                      </w:rPr>
                      <w:t>20.0</w:t>
                    </w:r>
                  </w:p>
                </w:txbxContent>
              </v:textbox>
            </v:rect>
            <v:rect id="_x0000_s2465" style="position:absolute;left:2933;top:2961;width:312;height:184;mso-wrap-style:none" filled="f" stroked="f">
              <v:textbox style="mso-next-textbox:#_x0000_s2465;mso-fit-shape-to-text:t" inset="0,0,0,0">
                <w:txbxContent>
                  <w:p w:rsidR="00D345DF" w:rsidRDefault="00D345DF" w:rsidP="00573033">
                    <w:r>
                      <w:rPr>
                        <w:rFonts w:cs="Arial"/>
                        <w:color w:val="000000"/>
                        <w:sz w:val="16"/>
                        <w:szCs w:val="16"/>
                      </w:rPr>
                      <w:t>16.7</w:t>
                    </w:r>
                  </w:p>
                </w:txbxContent>
              </v:textbox>
            </v:rect>
            <v:rect id="_x0000_s2466" style="position:absolute;left:3578;top:2961;width:312;height:184;mso-wrap-style:none" filled="f" stroked="f">
              <v:textbox style="mso-next-textbox:#_x0000_s2466;mso-fit-shape-to-text:t" inset="0,0,0,0">
                <w:txbxContent>
                  <w:p w:rsidR="00D345DF" w:rsidRDefault="00D345DF" w:rsidP="00573033">
                    <w:r>
                      <w:rPr>
                        <w:rFonts w:cs="Arial"/>
                        <w:color w:val="000000"/>
                        <w:sz w:val="16"/>
                        <w:szCs w:val="16"/>
                      </w:rPr>
                      <w:t>80.0</w:t>
                    </w:r>
                  </w:p>
                </w:txbxContent>
              </v:textbox>
            </v:rect>
            <v:rect id="_x0000_s2467" style="position:absolute;left:4236;top:2961;width:312;height:184;mso-wrap-style:none" filled="f" stroked="f">
              <v:textbox style="mso-next-textbox:#_x0000_s2467;mso-fit-shape-to-text:t" inset="0,0,0,0">
                <w:txbxContent>
                  <w:p w:rsidR="00D345DF" w:rsidRDefault="00D345DF" w:rsidP="00573033">
                    <w:r>
                      <w:rPr>
                        <w:rFonts w:cs="Arial"/>
                        <w:color w:val="000000"/>
                        <w:sz w:val="16"/>
                        <w:szCs w:val="16"/>
                      </w:rPr>
                      <w:t>82.9</w:t>
                    </w:r>
                  </w:p>
                </w:txbxContent>
              </v:textbox>
            </v:rect>
            <v:rect id="_x0000_s2468" style="position:absolute;left:4880;top:2961;width:312;height:184;mso-wrap-style:none" filled="f" stroked="f">
              <v:textbox style="mso-next-textbox:#_x0000_s2468;mso-fit-shape-to-text:t" inset="0,0,0,0">
                <w:txbxContent>
                  <w:p w:rsidR="00D345DF" w:rsidRDefault="00D345DF" w:rsidP="00573033">
                    <w:r>
                      <w:rPr>
                        <w:rFonts w:cs="Arial"/>
                        <w:color w:val="000000"/>
                        <w:sz w:val="16"/>
                        <w:szCs w:val="16"/>
                      </w:rPr>
                      <w:t>84.4</w:t>
                    </w:r>
                  </w:p>
                </w:txbxContent>
              </v:textbox>
            </v:rect>
            <v:rect id="_x0000_s2469" style="position:absolute;left:5525;top:2961;width:312;height:184;mso-wrap-style:none" filled="f" stroked="f">
              <v:textbox style="mso-next-textbox:#_x0000_s2469;mso-fit-shape-to-text:t" inset="0,0,0,0">
                <w:txbxContent>
                  <w:p w:rsidR="00D345DF" w:rsidRDefault="00D345DF" w:rsidP="00573033">
                    <w:r>
                      <w:rPr>
                        <w:rFonts w:cs="Arial"/>
                        <w:color w:val="000000"/>
                        <w:sz w:val="16"/>
                        <w:szCs w:val="16"/>
                      </w:rPr>
                      <w:t>73.0</w:t>
                    </w:r>
                  </w:p>
                </w:txbxContent>
              </v:textbox>
            </v:rect>
            <v:rect id="_x0000_s2470" style="position:absolute;left:6183;top:2961;width:312;height:184;mso-wrap-style:none" filled="f" stroked="f">
              <v:textbox style="mso-next-textbox:#_x0000_s2470;mso-fit-shape-to-text:t" inset="0,0,0,0">
                <w:txbxContent>
                  <w:p w:rsidR="00D345DF" w:rsidRDefault="00D345DF" w:rsidP="00573033">
                    <w:r>
                      <w:rPr>
                        <w:rFonts w:cs="Arial"/>
                        <w:color w:val="000000"/>
                        <w:sz w:val="16"/>
                        <w:szCs w:val="16"/>
                      </w:rPr>
                      <w:t>79.8</w:t>
                    </w:r>
                  </w:p>
                </w:txbxContent>
              </v:textbox>
            </v:rect>
            <v:rect id="_x0000_s2471" style="position:absolute;left:986;top:2404;width:303;height:184;mso-wrap-style:none" filled="f" stroked="f">
              <v:textbox style="mso-next-textbox:#_x0000_s2471;mso-fit-shape-to-text:t" inset="0,0,0,0">
                <w:txbxContent>
                  <w:p w:rsidR="00D345DF" w:rsidRDefault="00D345DF" w:rsidP="00573033">
                    <w:r>
                      <w:rPr>
                        <w:rFonts w:cs="Arial"/>
                        <w:color w:val="000000"/>
                        <w:sz w:val="16"/>
                        <w:szCs w:val="16"/>
                      </w:rPr>
                      <w:t>G00</w:t>
                    </w:r>
                  </w:p>
                </w:txbxContent>
              </v:textbox>
            </v:rect>
            <v:rect id="_x0000_s2472" style="position:absolute;left:1631;top:2404;width:303;height:184;mso-wrap-style:none" filled="f" stroked="f">
              <v:textbox style="mso-next-textbox:#_x0000_s2472;mso-fit-shape-to-text:t" inset="0,0,0,0">
                <w:txbxContent>
                  <w:p w:rsidR="00D345DF" w:rsidRDefault="00D345DF" w:rsidP="00573033">
                    <w:r>
                      <w:rPr>
                        <w:rFonts w:cs="Arial"/>
                        <w:color w:val="000000"/>
                        <w:sz w:val="16"/>
                        <w:szCs w:val="16"/>
                      </w:rPr>
                      <w:t>G01</w:t>
                    </w:r>
                  </w:p>
                </w:txbxContent>
              </v:textbox>
            </v:rect>
            <v:rect id="_x0000_s2473" style="position:absolute;left:2288;top:2404;width:303;height:184;mso-wrap-style:none" filled="f" stroked="f">
              <v:textbox style="mso-next-textbox:#_x0000_s2473;mso-fit-shape-to-text:t" inset="0,0,0,0">
                <w:txbxContent>
                  <w:p w:rsidR="00D345DF" w:rsidRDefault="00D345DF" w:rsidP="00573033">
                    <w:r>
                      <w:rPr>
                        <w:rFonts w:cs="Arial"/>
                        <w:color w:val="000000"/>
                        <w:sz w:val="16"/>
                        <w:szCs w:val="16"/>
                      </w:rPr>
                      <w:t>G02</w:t>
                    </w:r>
                  </w:p>
                </w:txbxContent>
              </v:textbox>
            </v:rect>
            <v:rect id="_x0000_s2474" style="position:absolute;left:2933;top:2404;width:303;height:184;mso-wrap-style:none" filled="f" stroked="f">
              <v:textbox style="mso-next-textbox:#_x0000_s2474;mso-fit-shape-to-text:t" inset="0,0,0,0">
                <w:txbxContent>
                  <w:p w:rsidR="00D345DF" w:rsidRDefault="00D345DF" w:rsidP="00573033">
                    <w:r>
                      <w:rPr>
                        <w:rFonts w:cs="Arial"/>
                        <w:color w:val="000000"/>
                        <w:sz w:val="16"/>
                        <w:szCs w:val="16"/>
                      </w:rPr>
                      <w:t>G03</w:t>
                    </w:r>
                  </w:p>
                </w:txbxContent>
              </v:textbox>
            </v:rect>
            <v:rect id="_x0000_s2475" style="position:absolute;left:3578;top:2404;width:303;height:184;mso-wrap-style:none" filled="f" stroked="f">
              <v:textbox style="mso-next-textbox:#_x0000_s2475;mso-fit-shape-to-text:t" inset="0,0,0,0">
                <w:txbxContent>
                  <w:p w:rsidR="00D345DF" w:rsidRDefault="00D345DF" w:rsidP="00573033">
                    <w:r>
                      <w:rPr>
                        <w:rFonts w:cs="Arial"/>
                        <w:color w:val="000000"/>
                        <w:sz w:val="16"/>
                        <w:szCs w:val="16"/>
                      </w:rPr>
                      <w:t>G04</w:t>
                    </w:r>
                  </w:p>
                </w:txbxContent>
              </v:textbox>
            </v:rect>
            <v:rect id="_x0000_s2476" style="position:absolute;left:4236;top:2404;width:303;height:184;mso-wrap-style:none" filled="f" stroked="f">
              <v:textbox style="mso-next-textbox:#_x0000_s2476;mso-fit-shape-to-text:t" inset="0,0,0,0">
                <w:txbxContent>
                  <w:p w:rsidR="00D345DF" w:rsidRDefault="00D345DF" w:rsidP="00573033">
                    <w:r>
                      <w:rPr>
                        <w:rFonts w:cs="Arial"/>
                        <w:color w:val="000000"/>
                        <w:sz w:val="16"/>
                        <w:szCs w:val="16"/>
                      </w:rPr>
                      <w:t>G05</w:t>
                    </w:r>
                  </w:p>
                </w:txbxContent>
              </v:textbox>
            </v:rect>
            <v:rect id="_x0000_s2477" style="position:absolute;left:4880;top:2404;width:303;height:184;mso-wrap-style:none" filled="f" stroked="f">
              <v:textbox style="mso-next-textbox:#_x0000_s2477;mso-fit-shape-to-text:t" inset="0,0,0,0">
                <w:txbxContent>
                  <w:p w:rsidR="00D345DF" w:rsidRDefault="00D345DF" w:rsidP="00573033">
                    <w:r>
                      <w:rPr>
                        <w:rFonts w:cs="Arial"/>
                        <w:color w:val="000000"/>
                        <w:sz w:val="16"/>
                        <w:szCs w:val="16"/>
                      </w:rPr>
                      <w:t>G06</w:t>
                    </w:r>
                  </w:p>
                </w:txbxContent>
              </v:textbox>
            </v:rect>
            <v:rect id="_x0000_s2478" style="position:absolute;left:5525;top:2404;width:303;height:184;mso-wrap-style:none" filled="f" stroked="f">
              <v:textbox style="mso-next-textbox:#_x0000_s2478;mso-fit-shape-to-text:t" inset="0,0,0,0">
                <w:txbxContent>
                  <w:p w:rsidR="00D345DF" w:rsidRDefault="00D345DF" w:rsidP="00573033">
                    <w:r>
                      <w:rPr>
                        <w:rFonts w:cs="Arial"/>
                        <w:color w:val="000000"/>
                        <w:sz w:val="16"/>
                        <w:szCs w:val="16"/>
                      </w:rPr>
                      <w:t>G07</w:t>
                    </w:r>
                  </w:p>
                </w:txbxContent>
              </v:textbox>
            </v:rect>
            <v:rect id="_x0000_s2479" style="position:absolute;left:6094;top:2404;width:516;height:184;mso-wrap-style:none" filled="f" stroked="f">
              <v:textbox style="mso-next-textbox:#_x0000_s2479;mso-fit-shape-to-text:t" inset="0,0,0,0">
                <w:txbxContent>
                  <w:p w:rsidR="00D345DF" w:rsidRDefault="00D345DF" w:rsidP="00573033">
                    <w:r>
                      <w:rPr>
                        <w:rFonts w:cs="Arial"/>
                        <w:color w:val="000000"/>
                        <w:sz w:val="16"/>
                        <w:szCs w:val="16"/>
                      </w:rPr>
                      <w:t>TOTAL</w:t>
                    </w:r>
                  </w:p>
                </w:txbxContent>
              </v:textbox>
            </v:rect>
            <w10:wrap type="none"/>
            <w10:anchorlock/>
          </v:group>
        </w:pict>
      </w:r>
    </w:p>
    <w:p w:rsidR="009571FA" w:rsidRPr="00433C1A" w:rsidRDefault="00433C1A" w:rsidP="00E53968">
      <w:pPr>
        <w:pStyle w:val="ListParagraph"/>
        <w:spacing w:after="200" w:line="276" w:lineRule="auto"/>
        <w:rPr>
          <w:b/>
          <w:sz w:val="22"/>
          <w:szCs w:val="22"/>
        </w:rPr>
      </w:pPr>
      <w:r>
        <w:rPr>
          <w:b/>
          <w:sz w:val="24"/>
          <w:szCs w:val="22"/>
        </w:rPr>
        <w:t xml:space="preserve">2.  </w:t>
      </w:r>
      <w:r w:rsidR="009571FA" w:rsidRPr="00433C1A">
        <w:rPr>
          <w:b/>
          <w:sz w:val="24"/>
          <w:szCs w:val="22"/>
        </w:rPr>
        <w:t>Sex parity among new appointments in 2007</w:t>
      </w:r>
    </w:p>
    <w:p w:rsidR="009571FA" w:rsidRDefault="009571FA" w:rsidP="00573033">
      <w:pPr>
        <w:rPr>
          <w:sz w:val="22"/>
          <w:szCs w:val="22"/>
        </w:rPr>
      </w:pPr>
      <w:r w:rsidRPr="006A07B7">
        <w:rPr>
          <w:sz w:val="22"/>
          <w:szCs w:val="22"/>
        </w:rPr>
        <w:t xml:space="preserve">This section pertains to the second overall indicator for sex parity. It is based on the analysis of the information on recruitments completed during a given calendar year (2006, 2007) and active at December 31 of the corresponding </w:t>
      </w:r>
      <w:r w:rsidR="00C028D4">
        <w:rPr>
          <w:sz w:val="22"/>
          <w:szCs w:val="22"/>
        </w:rPr>
        <w:t>year. The PAHO Office of Human R</w:t>
      </w:r>
      <w:r w:rsidRPr="006A07B7">
        <w:rPr>
          <w:sz w:val="22"/>
          <w:szCs w:val="22"/>
        </w:rPr>
        <w:t>esources provided this data disaggregated by sex, grade, type of contract</w:t>
      </w:r>
      <w:r w:rsidR="00252C2F">
        <w:rPr>
          <w:sz w:val="22"/>
          <w:szCs w:val="22"/>
        </w:rPr>
        <w:t xml:space="preserve"> and</w:t>
      </w:r>
      <w:r w:rsidRPr="006A07B7">
        <w:rPr>
          <w:sz w:val="22"/>
          <w:szCs w:val="22"/>
        </w:rPr>
        <w:t xml:space="preserve"> location (HQ or CO)</w:t>
      </w:r>
      <w:r w:rsidR="00252C2F">
        <w:rPr>
          <w:sz w:val="22"/>
          <w:szCs w:val="22"/>
        </w:rPr>
        <w:t xml:space="preserve">. </w:t>
      </w:r>
      <w:r w:rsidRPr="006A07B7">
        <w:rPr>
          <w:sz w:val="22"/>
          <w:szCs w:val="22"/>
        </w:rPr>
        <w:t xml:space="preserve"> A more detailed disaggregation by grade level was also made available in relation to the professional categories of UG, D, P, and NO.  The following are the most relevant findings</w:t>
      </w:r>
      <w:r w:rsidR="00252C2F">
        <w:rPr>
          <w:sz w:val="22"/>
          <w:szCs w:val="22"/>
        </w:rPr>
        <w:t>.</w:t>
      </w:r>
    </w:p>
    <w:p w:rsidR="00185762" w:rsidRPr="000C7A25" w:rsidRDefault="00185762" w:rsidP="00573033">
      <w:pPr>
        <w:rPr>
          <w:sz w:val="18"/>
          <w:szCs w:val="22"/>
        </w:rPr>
      </w:pPr>
    </w:p>
    <w:p w:rsidR="00185762" w:rsidRPr="000C7A25" w:rsidRDefault="00185762" w:rsidP="000C7A25">
      <w:pPr>
        <w:pStyle w:val="ListParagraph"/>
        <w:numPr>
          <w:ilvl w:val="0"/>
          <w:numId w:val="67"/>
        </w:numPr>
        <w:tabs>
          <w:tab w:val="left" w:pos="1890"/>
        </w:tabs>
        <w:rPr>
          <w:sz w:val="22"/>
          <w:szCs w:val="22"/>
        </w:rPr>
      </w:pPr>
      <w:r w:rsidRPr="000C7A25">
        <w:rPr>
          <w:b/>
          <w:i/>
          <w:sz w:val="22"/>
          <w:szCs w:val="22"/>
        </w:rPr>
        <w:t xml:space="preserve">By grade </w:t>
      </w:r>
    </w:p>
    <w:p w:rsidR="000C7A25" w:rsidRPr="000C7A25" w:rsidRDefault="000C7A25" w:rsidP="000C7A25">
      <w:pPr>
        <w:pStyle w:val="ListParagraph"/>
        <w:tabs>
          <w:tab w:val="left" w:pos="1890"/>
        </w:tabs>
        <w:ind w:left="360"/>
        <w:rPr>
          <w:sz w:val="4"/>
          <w:szCs w:val="22"/>
        </w:rPr>
      </w:pPr>
    </w:p>
    <w:p w:rsidR="00185762" w:rsidRDefault="00185762" w:rsidP="00185762">
      <w:pPr>
        <w:pStyle w:val="ListParagraph"/>
        <w:tabs>
          <w:tab w:val="left" w:pos="1890"/>
        </w:tabs>
        <w:ind w:left="0"/>
        <w:rPr>
          <w:sz w:val="22"/>
          <w:szCs w:val="22"/>
        </w:rPr>
      </w:pPr>
      <w:r>
        <w:rPr>
          <w:sz w:val="22"/>
          <w:szCs w:val="22"/>
        </w:rPr>
        <w:t xml:space="preserve">Women represented </w:t>
      </w:r>
      <w:r>
        <w:rPr>
          <w:b/>
          <w:sz w:val="22"/>
          <w:szCs w:val="22"/>
        </w:rPr>
        <w:t>60%</w:t>
      </w:r>
      <w:r>
        <w:rPr>
          <w:sz w:val="22"/>
          <w:szCs w:val="22"/>
        </w:rPr>
        <w:t xml:space="preserve"> of the total number of new recruitments. The respective proportion was </w:t>
      </w:r>
      <w:r>
        <w:rPr>
          <w:b/>
          <w:sz w:val="22"/>
          <w:szCs w:val="22"/>
        </w:rPr>
        <w:t>52%</w:t>
      </w:r>
      <w:r>
        <w:rPr>
          <w:sz w:val="22"/>
          <w:szCs w:val="22"/>
        </w:rPr>
        <w:t xml:space="preserve"> in the P and higher grades, </w:t>
      </w:r>
      <w:r>
        <w:rPr>
          <w:b/>
          <w:sz w:val="22"/>
          <w:szCs w:val="22"/>
        </w:rPr>
        <w:t>88%</w:t>
      </w:r>
      <w:r>
        <w:rPr>
          <w:sz w:val="22"/>
          <w:szCs w:val="22"/>
        </w:rPr>
        <w:t xml:space="preserve"> in the National Officers and </w:t>
      </w:r>
      <w:r>
        <w:rPr>
          <w:b/>
          <w:sz w:val="22"/>
          <w:szCs w:val="22"/>
        </w:rPr>
        <w:t>78%</w:t>
      </w:r>
      <w:r>
        <w:rPr>
          <w:sz w:val="22"/>
          <w:szCs w:val="22"/>
        </w:rPr>
        <w:t xml:space="preserve"> in the General Services categories (Table 16a). </w:t>
      </w:r>
    </w:p>
    <w:p w:rsidR="009571FA" w:rsidRPr="00B31EA4" w:rsidRDefault="003D65A2" w:rsidP="00B31EA4">
      <w:pPr>
        <w:pStyle w:val="ListParagraph"/>
        <w:tabs>
          <w:tab w:val="left" w:pos="1890"/>
        </w:tabs>
        <w:ind w:left="288"/>
        <w:rPr>
          <w:szCs w:val="22"/>
        </w:rPr>
      </w:pPr>
      <w:r w:rsidRPr="00B31EA4">
        <w:rPr>
          <w:b/>
          <w:szCs w:val="22"/>
        </w:rPr>
        <w:t>Table 16</w:t>
      </w:r>
      <w:r w:rsidR="009571FA" w:rsidRPr="00B31EA4">
        <w:rPr>
          <w:b/>
          <w:szCs w:val="22"/>
        </w:rPr>
        <w:t>.</w:t>
      </w:r>
      <w:r w:rsidR="009571FA" w:rsidRPr="00B31EA4">
        <w:rPr>
          <w:szCs w:val="22"/>
        </w:rPr>
        <w:t xml:space="preserve"> AMRO/PAHO: Number of men and women, and percentage of women </w:t>
      </w:r>
      <w:r w:rsidR="00653800" w:rsidRPr="00B31EA4">
        <w:rPr>
          <w:szCs w:val="22"/>
        </w:rPr>
        <w:t xml:space="preserve">newly </w:t>
      </w:r>
      <w:r w:rsidR="009571FA" w:rsidRPr="00B31EA4">
        <w:rPr>
          <w:szCs w:val="22"/>
        </w:rPr>
        <w:t>hired in 2007</w:t>
      </w:r>
      <w:r w:rsidRPr="00B31EA4">
        <w:rPr>
          <w:szCs w:val="22"/>
        </w:rPr>
        <w:t xml:space="preserve"> </w:t>
      </w:r>
      <w:r w:rsidR="00653800" w:rsidRPr="00B31EA4">
        <w:rPr>
          <w:szCs w:val="22"/>
        </w:rPr>
        <w:t>or</w:t>
      </w:r>
      <w:r w:rsidRPr="00B31EA4">
        <w:rPr>
          <w:szCs w:val="22"/>
        </w:rPr>
        <w:t xml:space="preserve"> 2006</w:t>
      </w:r>
      <w:r w:rsidR="009571FA" w:rsidRPr="00B31EA4">
        <w:rPr>
          <w:szCs w:val="22"/>
        </w:rPr>
        <w:t xml:space="preserve">, according to grade, type of contract, location, and </w:t>
      </w:r>
      <w:r w:rsidR="00EB368C" w:rsidRPr="00B31EA4">
        <w:rPr>
          <w:szCs w:val="22"/>
        </w:rPr>
        <w:t>year</w:t>
      </w:r>
      <w:r w:rsidR="009571FA" w:rsidRPr="00B31EA4">
        <w:rPr>
          <w:szCs w:val="22"/>
        </w:rPr>
        <w:t xml:space="preserve">.             </w:t>
      </w:r>
    </w:p>
    <w:p w:rsidR="009571FA" w:rsidRPr="000943E9" w:rsidRDefault="009571FA" w:rsidP="00957D19">
      <w:pPr>
        <w:pStyle w:val="ListParagraph"/>
        <w:ind w:left="810"/>
        <w:rPr>
          <w:b/>
          <w:sz w:val="2"/>
          <w:szCs w:val="22"/>
        </w:rPr>
      </w:pPr>
    </w:p>
    <w:tbl>
      <w:tblPr>
        <w:tblpPr w:leftFromText="180" w:rightFromText="180" w:vertAnchor="text" w:horzAnchor="margin" w:tblpXSpec="center" w:tblpY="194"/>
        <w:tblW w:w="0" w:type="auto"/>
        <w:tblLayout w:type="fixed"/>
        <w:tblLook w:val="00A0"/>
      </w:tblPr>
      <w:tblGrid>
        <w:gridCol w:w="738"/>
        <w:gridCol w:w="630"/>
        <w:gridCol w:w="630"/>
        <w:gridCol w:w="630"/>
        <w:gridCol w:w="630"/>
        <w:gridCol w:w="630"/>
        <w:gridCol w:w="665"/>
        <w:gridCol w:w="501"/>
        <w:gridCol w:w="479"/>
        <w:gridCol w:w="501"/>
        <w:gridCol w:w="518"/>
        <w:gridCol w:w="540"/>
        <w:gridCol w:w="540"/>
        <w:gridCol w:w="576"/>
        <w:gridCol w:w="630"/>
      </w:tblGrid>
      <w:tr w:rsidR="009571FA" w:rsidTr="00EB368C">
        <w:trPr>
          <w:trHeight w:val="255"/>
        </w:trPr>
        <w:tc>
          <w:tcPr>
            <w:tcW w:w="738" w:type="dxa"/>
            <w:vMerge w:val="restart"/>
            <w:tcBorders>
              <w:top w:val="single" w:sz="4" w:space="0" w:color="auto"/>
              <w:left w:val="single" w:sz="4" w:space="0" w:color="auto"/>
              <w:bottom w:val="single" w:sz="4" w:space="0" w:color="auto"/>
              <w:right w:val="single" w:sz="4" w:space="0" w:color="auto"/>
            </w:tcBorders>
            <w:shd w:val="clear" w:color="auto" w:fill="FFCC99"/>
          </w:tcPr>
          <w:p w:rsidR="009571FA" w:rsidRDefault="009571FA">
            <w:pPr>
              <w:jc w:val="center"/>
              <w:rPr>
                <w:rFonts w:cs="Arial"/>
                <w:bCs/>
                <w:color w:val="000000"/>
                <w:sz w:val="12"/>
                <w:szCs w:val="20"/>
              </w:rPr>
            </w:pPr>
          </w:p>
          <w:p w:rsidR="009571FA" w:rsidRDefault="00EB368C">
            <w:pPr>
              <w:jc w:val="center"/>
              <w:rPr>
                <w:rFonts w:ascii="Arial Narrow" w:hAnsi="Arial Narrow" w:cs="Arial"/>
                <w:b/>
                <w:bCs/>
                <w:color w:val="000000"/>
                <w:szCs w:val="20"/>
              </w:rPr>
            </w:pPr>
            <w:r>
              <w:rPr>
                <w:rFonts w:ascii="Arial Narrow" w:hAnsi="Arial Narrow" w:cs="Arial"/>
                <w:b/>
                <w:bCs/>
                <w:color w:val="000000"/>
                <w:szCs w:val="20"/>
              </w:rPr>
              <w:t>a.</w:t>
            </w:r>
            <w:r w:rsidR="009571FA">
              <w:rPr>
                <w:rFonts w:ascii="Arial Narrow" w:hAnsi="Arial Narrow" w:cs="Arial"/>
                <w:b/>
                <w:bCs/>
                <w:color w:val="000000"/>
                <w:szCs w:val="20"/>
              </w:rPr>
              <w:t xml:space="preserve">    </w:t>
            </w:r>
          </w:p>
          <w:p w:rsidR="009571FA" w:rsidRDefault="009571FA">
            <w:pPr>
              <w:jc w:val="center"/>
              <w:rPr>
                <w:rFonts w:cs="Arial"/>
                <w:bCs/>
                <w:color w:val="000000"/>
                <w:sz w:val="12"/>
                <w:szCs w:val="20"/>
              </w:rPr>
            </w:pPr>
            <w:r>
              <w:rPr>
                <w:rFonts w:ascii="Arial Narrow" w:hAnsi="Arial Narrow" w:cs="Arial"/>
                <w:b/>
                <w:bCs/>
                <w:color w:val="000000"/>
                <w:szCs w:val="20"/>
              </w:rPr>
              <w:t>2007</w:t>
            </w:r>
          </w:p>
        </w:tc>
        <w:tc>
          <w:tcPr>
            <w:tcW w:w="6894" w:type="dxa"/>
            <w:gridSpan w:val="12"/>
            <w:tcBorders>
              <w:top w:val="single" w:sz="4" w:space="0" w:color="auto"/>
              <w:left w:val="nil"/>
              <w:bottom w:val="single" w:sz="4" w:space="0" w:color="auto"/>
              <w:right w:val="single" w:sz="4" w:space="0" w:color="auto"/>
            </w:tcBorders>
            <w:shd w:val="clear" w:color="auto" w:fill="FFCC99"/>
            <w:vAlign w:val="bottom"/>
          </w:tcPr>
          <w:p w:rsidR="009571FA" w:rsidRDefault="009571FA">
            <w:pPr>
              <w:jc w:val="center"/>
              <w:rPr>
                <w:rFonts w:cs="Arial"/>
                <w:b/>
                <w:bCs/>
                <w:sz w:val="18"/>
                <w:szCs w:val="20"/>
              </w:rPr>
            </w:pPr>
            <w:r>
              <w:rPr>
                <w:rFonts w:cs="Arial"/>
                <w:b/>
                <w:bCs/>
                <w:sz w:val="18"/>
                <w:szCs w:val="20"/>
              </w:rPr>
              <w:t>Contract type</w:t>
            </w:r>
          </w:p>
        </w:tc>
        <w:tc>
          <w:tcPr>
            <w:tcW w:w="576" w:type="dxa"/>
            <w:vMerge w:val="restart"/>
            <w:tcBorders>
              <w:top w:val="single" w:sz="4" w:space="0" w:color="auto"/>
              <w:left w:val="single" w:sz="4" w:space="0" w:color="auto"/>
              <w:bottom w:val="single" w:sz="4" w:space="0" w:color="000000"/>
              <w:right w:val="single" w:sz="4" w:space="0" w:color="auto"/>
            </w:tcBorders>
            <w:shd w:val="clear" w:color="auto" w:fill="FFCC99"/>
            <w:vAlign w:val="center"/>
          </w:tcPr>
          <w:p w:rsidR="009571FA" w:rsidRDefault="009571FA">
            <w:pPr>
              <w:jc w:val="center"/>
              <w:rPr>
                <w:rFonts w:ascii="Arial Narrow" w:hAnsi="Arial Narrow" w:cs="Arial"/>
                <w:b/>
                <w:bCs/>
                <w:sz w:val="16"/>
                <w:szCs w:val="20"/>
              </w:rPr>
            </w:pPr>
          </w:p>
          <w:p w:rsidR="009571FA" w:rsidRDefault="009571FA">
            <w:pPr>
              <w:jc w:val="center"/>
              <w:rPr>
                <w:rFonts w:ascii="Arial Narrow" w:hAnsi="Arial Narrow" w:cs="Arial"/>
                <w:b/>
                <w:bCs/>
                <w:sz w:val="16"/>
                <w:szCs w:val="20"/>
              </w:rPr>
            </w:pPr>
            <w:r>
              <w:rPr>
                <w:rFonts w:ascii="Arial Narrow" w:hAnsi="Arial Narrow" w:cs="Arial"/>
                <w:b/>
                <w:bCs/>
                <w:sz w:val="16"/>
                <w:szCs w:val="20"/>
              </w:rPr>
              <w:t>Total</w:t>
            </w:r>
          </w:p>
        </w:tc>
        <w:tc>
          <w:tcPr>
            <w:tcW w:w="630" w:type="dxa"/>
            <w:vMerge w:val="restart"/>
            <w:tcBorders>
              <w:top w:val="single" w:sz="4" w:space="0" w:color="auto"/>
              <w:left w:val="single" w:sz="4" w:space="0" w:color="auto"/>
              <w:bottom w:val="single" w:sz="4" w:space="0" w:color="000000"/>
              <w:right w:val="single" w:sz="4" w:space="0" w:color="auto"/>
            </w:tcBorders>
            <w:shd w:val="clear" w:color="auto" w:fill="FFCC99"/>
            <w:vAlign w:val="center"/>
          </w:tcPr>
          <w:p w:rsidR="009571FA" w:rsidRDefault="009571FA">
            <w:pPr>
              <w:jc w:val="center"/>
              <w:rPr>
                <w:rFonts w:cs="Arial"/>
                <w:b/>
                <w:bCs/>
                <w:sz w:val="16"/>
                <w:szCs w:val="20"/>
              </w:rPr>
            </w:pPr>
            <w:r>
              <w:rPr>
                <w:rFonts w:cs="Arial"/>
                <w:b/>
                <w:bCs/>
                <w:sz w:val="16"/>
                <w:szCs w:val="20"/>
              </w:rPr>
              <w:t xml:space="preserve">% </w:t>
            </w:r>
          </w:p>
          <w:p w:rsidR="009571FA" w:rsidRDefault="009571FA">
            <w:pPr>
              <w:jc w:val="center"/>
              <w:rPr>
                <w:rFonts w:cs="Arial"/>
                <w:b/>
                <w:bCs/>
                <w:sz w:val="16"/>
                <w:szCs w:val="20"/>
              </w:rPr>
            </w:pPr>
            <w:r>
              <w:rPr>
                <w:rFonts w:cs="Arial"/>
                <w:b/>
                <w:bCs/>
                <w:sz w:val="16"/>
                <w:szCs w:val="20"/>
              </w:rPr>
              <w:t>Fem</w:t>
            </w:r>
          </w:p>
        </w:tc>
      </w:tr>
      <w:tr w:rsidR="009571FA" w:rsidTr="00EB368C">
        <w:trPr>
          <w:trHeight w:val="255"/>
        </w:trPr>
        <w:tc>
          <w:tcPr>
            <w:tcW w:w="738" w:type="dxa"/>
            <w:vMerge/>
            <w:tcBorders>
              <w:top w:val="single" w:sz="4" w:space="0" w:color="auto"/>
              <w:left w:val="single" w:sz="4" w:space="0" w:color="auto"/>
              <w:bottom w:val="single" w:sz="4" w:space="0" w:color="auto"/>
              <w:right w:val="single" w:sz="4" w:space="0" w:color="auto"/>
            </w:tcBorders>
            <w:vAlign w:val="center"/>
          </w:tcPr>
          <w:p w:rsidR="009571FA" w:rsidRDefault="009571FA">
            <w:pPr>
              <w:rPr>
                <w:rFonts w:cs="Arial"/>
                <w:bCs/>
                <w:color w:val="000000"/>
                <w:sz w:val="12"/>
                <w:szCs w:val="20"/>
              </w:rPr>
            </w:pPr>
          </w:p>
        </w:tc>
        <w:tc>
          <w:tcPr>
            <w:tcW w:w="3815" w:type="dxa"/>
            <w:gridSpan w:val="6"/>
            <w:tcBorders>
              <w:top w:val="single" w:sz="4" w:space="0" w:color="auto"/>
              <w:left w:val="nil"/>
              <w:bottom w:val="single" w:sz="4" w:space="0" w:color="auto"/>
              <w:right w:val="single" w:sz="4" w:space="0" w:color="auto"/>
            </w:tcBorders>
            <w:shd w:val="clear" w:color="auto" w:fill="FFCC99"/>
            <w:vAlign w:val="bottom"/>
          </w:tcPr>
          <w:p w:rsidR="009571FA" w:rsidRDefault="009571FA">
            <w:pPr>
              <w:jc w:val="center"/>
              <w:rPr>
                <w:rFonts w:cs="Arial"/>
                <w:b/>
                <w:bCs/>
                <w:sz w:val="18"/>
                <w:szCs w:val="20"/>
              </w:rPr>
            </w:pPr>
            <w:r>
              <w:rPr>
                <w:rFonts w:cs="Arial"/>
                <w:b/>
                <w:bCs/>
                <w:sz w:val="18"/>
                <w:szCs w:val="20"/>
              </w:rPr>
              <w:t>Long term</w:t>
            </w:r>
          </w:p>
        </w:tc>
        <w:tc>
          <w:tcPr>
            <w:tcW w:w="3079" w:type="dxa"/>
            <w:gridSpan w:val="6"/>
            <w:tcBorders>
              <w:top w:val="single" w:sz="4" w:space="0" w:color="auto"/>
              <w:left w:val="nil"/>
              <w:bottom w:val="single" w:sz="4" w:space="0" w:color="auto"/>
              <w:right w:val="single" w:sz="4" w:space="0" w:color="auto"/>
            </w:tcBorders>
            <w:shd w:val="clear" w:color="auto" w:fill="FFCC99"/>
            <w:vAlign w:val="bottom"/>
          </w:tcPr>
          <w:p w:rsidR="009571FA" w:rsidRDefault="009571FA">
            <w:pPr>
              <w:jc w:val="center"/>
              <w:rPr>
                <w:rFonts w:cs="Arial"/>
                <w:b/>
                <w:bCs/>
                <w:sz w:val="18"/>
                <w:szCs w:val="20"/>
              </w:rPr>
            </w:pPr>
            <w:r>
              <w:rPr>
                <w:rFonts w:cs="Arial"/>
                <w:b/>
                <w:bCs/>
                <w:sz w:val="18"/>
                <w:szCs w:val="20"/>
              </w:rPr>
              <w:t>Temporary</w:t>
            </w:r>
          </w:p>
        </w:tc>
        <w:tc>
          <w:tcPr>
            <w:tcW w:w="576" w:type="dxa"/>
            <w:vMerge/>
            <w:tcBorders>
              <w:top w:val="single" w:sz="4" w:space="0" w:color="auto"/>
              <w:left w:val="single" w:sz="4" w:space="0" w:color="auto"/>
              <w:bottom w:val="single" w:sz="4" w:space="0" w:color="000000"/>
              <w:right w:val="single" w:sz="4" w:space="0" w:color="auto"/>
            </w:tcBorders>
            <w:vAlign w:val="center"/>
          </w:tcPr>
          <w:p w:rsidR="009571FA" w:rsidRDefault="009571FA">
            <w:pPr>
              <w:rPr>
                <w:rFonts w:ascii="Arial Narrow" w:hAnsi="Arial Narrow" w:cs="Arial"/>
                <w:b/>
                <w:bCs/>
                <w:sz w:val="16"/>
                <w:szCs w:val="20"/>
              </w:rPr>
            </w:pPr>
          </w:p>
        </w:tc>
        <w:tc>
          <w:tcPr>
            <w:tcW w:w="630" w:type="dxa"/>
            <w:vMerge/>
            <w:tcBorders>
              <w:top w:val="single" w:sz="4" w:space="0" w:color="auto"/>
              <w:left w:val="single" w:sz="4" w:space="0" w:color="auto"/>
              <w:bottom w:val="single" w:sz="4" w:space="0" w:color="000000"/>
              <w:right w:val="single" w:sz="4" w:space="0" w:color="auto"/>
            </w:tcBorders>
            <w:vAlign w:val="center"/>
          </w:tcPr>
          <w:p w:rsidR="009571FA" w:rsidRDefault="009571FA">
            <w:pPr>
              <w:rPr>
                <w:rFonts w:cs="Arial"/>
                <w:b/>
                <w:bCs/>
                <w:sz w:val="16"/>
                <w:szCs w:val="20"/>
              </w:rPr>
            </w:pPr>
          </w:p>
        </w:tc>
      </w:tr>
      <w:tr w:rsidR="009571FA" w:rsidTr="00EB368C">
        <w:trPr>
          <w:trHeight w:val="285"/>
        </w:trPr>
        <w:tc>
          <w:tcPr>
            <w:tcW w:w="738" w:type="dxa"/>
            <w:vMerge/>
            <w:tcBorders>
              <w:top w:val="single" w:sz="4" w:space="0" w:color="auto"/>
              <w:left w:val="single" w:sz="4" w:space="0" w:color="auto"/>
              <w:bottom w:val="single" w:sz="4" w:space="0" w:color="auto"/>
              <w:right w:val="single" w:sz="4" w:space="0" w:color="auto"/>
            </w:tcBorders>
            <w:vAlign w:val="center"/>
          </w:tcPr>
          <w:p w:rsidR="009571FA" w:rsidRDefault="009571FA">
            <w:pPr>
              <w:rPr>
                <w:rFonts w:cs="Arial"/>
                <w:bCs/>
                <w:color w:val="000000"/>
                <w:sz w:val="12"/>
                <w:szCs w:val="20"/>
              </w:rPr>
            </w:pPr>
          </w:p>
        </w:tc>
        <w:tc>
          <w:tcPr>
            <w:tcW w:w="1260" w:type="dxa"/>
            <w:gridSpan w:val="2"/>
            <w:tcBorders>
              <w:top w:val="single" w:sz="4" w:space="0" w:color="auto"/>
              <w:left w:val="nil"/>
              <w:bottom w:val="single" w:sz="4" w:space="0" w:color="auto"/>
              <w:right w:val="single" w:sz="4" w:space="0" w:color="000000"/>
            </w:tcBorders>
            <w:shd w:val="clear" w:color="auto" w:fill="CCFFFF"/>
            <w:vAlign w:val="bottom"/>
          </w:tcPr>
          <w:p w:rsidR="009571FA" w:rsidRDefault="009571FA">
            <w:pPr>
              <w:jc w:val="center"/>
              <w:rPr>
                <w:rFonts w:ascii="Arial Narrow" w:hAnsi="Arial Narrow" w:cs="Arial"/>
                <w:b/>
                <w:bCs/>
                <w:sz w:val="18"/>
                <w:szCs w:val="20"/>
              </w:rPr>
            </w:pPr>
            <w:r>
              <w:rPr>
                <w:rFonts w:ascii="Arial Narrow" w:hAnsi="Arial Narrow" w:cs="Arial"/>
                <w:b/>
                <w:bCs/>
                <w:sz w:val="18"/>
                <w:szCs w:val="20"/>
              </w:rPr>
              <w:t>HQ</w:t>
            </w:r>
          </w:p>
        </w:tc>
        <w:tc>
          <w:tcPr>
            <w:tcW w:w="1260" w:type="dxa"/>
            <w:gridSpan w:val="2"/>
            <w:tcBorders>
              <w:top w:val="single" w:sz="4" w:space="0" w:color="auto"/>
              <w:left w:val="nil"/>
              <w:bottom w:val="single" w:sz="4" w:space="0" w:color="auto"/>
              <w:right w:val="single" w:sz="4" w:space="0" w:color="000000"/>
            </w:tcBorders>
            <w:shd w:val="clear" w:color="auto" w:fill="CCFFFF"/>
            <w:vAlign w:val="bottom"/>
          </w:tcPr>
          <w:p w:rsidR="009571FA" w:rsidRDefault="009571FA">
            <w:pPr>
              <w:jc w:val="center"/>
              <w:rPr>
                <w:rFonts w:ascii="Arial Narrow" w:hAnsi="Arial Narrow" w:cs="Arial"/>
                <w:b/>
                <w:bCs/>
                <w:sz w:val="18"/>
                <w:szCs w:val="20"/>
              </w:rPr>
            </w:pPr>
            <w:r>
              <w:rPr>
                <w:rFonts w:ascii="Arial Narrow" w:hAnsi="Arial Narrow" w:cs="Arial"/>
                <w:b/>
                <w:bCs/>
                <w:sz w:val="18"/>
                <w:szCs w:val="20"/>
              </w:rPr>
              <w:t>CO</w:t>
            </w:r>
          </w:p>
        </w:tc>
        <w:tc>
          <w:tcPr>
            <w:tcW w:w="630" w:type="dxa"/>
            <w:vMerge w:val="restart"/>
            <w:tcBorders>
              <w:top w:val="nil"/>
              <w:left w:val="single" w:sz="4" w:space="0" w:color="auto"/>
              <w:bottom w:val="single" w:sz="4" w:space="0" w:color="000000"/>
              <w:right w:val="single" w:sz="4" w:space="0" w:color="auto"/>
            </w:tcBorders>
            <w:shd w:val="clear" w:color="auto" w:fill="FFFFCC"/>
            <w:vAlign w:val="center"/>
          </w:tcPr>
          <w:p w:rsidR="009571FA" w:rsidRDefault="009571FA">
            <w:pPr>
              <w:jc w:val="center"/>
              <w:rPr>
                <w:rFonts w:ascii="Arial Narrow" w:hAnsi="Arial Narrow" w:cs="Arial"/>
                <w:bCs/>
                <w:sz w:val="18"/>
                <w:szCs w:val="20"/>
              </w:rPr>
            </w:pPr>
            <w:r>
              <w:rPr>
                <w:rFonts w:ascii="Arial Narrow" w:hAnsi="Arial Narrow" w:cs="Arial"/>
                <w:bCs/>
                <w:sz w:val="18"/>
                <w:szCs w:val="20"/>
              </w:rPr>
              <w:t>N</w:t>
            </w:r>
          </w:p>
        </w:tc>
        <w:tc>
          <w:tcPr>
            <w:tcW w:w="665" w:type="dxa"/>
            <w:vMerge w:val="restart"/>
            <w:tcBorders>
              <w:top w:val="nil"/>
              <w:left w:val="single" w:sz="4" w:space="0" w:color="auto"/>
              <w:bottom w:val="single" w:sz="4" w:space="0" w:color="000000"/>
              <w:right w:val="single" w:sz="4" w:space="0" w:color="auto"/>
            </w:tcBorders>
            <w:shd w:val="clear" w:color="auto" w:fill="FFFFCC"/>
            <w:vAlign w:val="center"/>
          </w:tcPr>
          <w:p w:rsidR="009571FA" w:rsidRDefault="009571FA">
            <w:pPr>
              <w:jc w:val="center"/>
              <w:rPr>
                <w:rFonts w:ascii="Arial Narrow" w:hAnsi="Arial Narrow" w:cs="Arial"/>
                <w:b/>
                <w:bCs/>
                <w:sz w:val="18"/>
                <w:szCs w:val="20"/>
              </w:rPr>
            </w:pPr>
            <w:r>
              <w:rPr>
                <w:rFonts w:ascii="Arial Narrow" w:hAnsi="Arial Narrow" w:cs="Arial"/>
                <w:b/>
                <w:bCs/>
                <w:sz w:val="18"/>
                <w:szCs w:val="20"/>
              </w:rPr>
              <w:t xml:space="preserve">% </w:t>
            </w:r>
          </w:p>
          <w:p w:rsidR="009571FA" w:rsidRDefault="009571FA">
            <w:pPr>
              <w:jc w:val="center"/>
              <w:rPr>
                <w:rFonts w:ascii="Arial Narrow" w:hAnsi="Arial Narrow" w:cs="Arial"/>
                <w:bCs/>
                <w:sz w:val="18"/>
                <w:szCs w:val="20"/>
              </w:rPr>
            </w:pPr>
            <w:r>
              <w:rPr>
                <w:rFonts w:ascii="Arial Narrow" w:hAnsi="Arial Narrow" w:cs="Arial"/>
                <w:bCs/>
                <w:sz w:val="18"/>
                <w:szCs w:val="20"/>
              </w:rPr>
              <w:t>Fem</w:t>
            </w:r>
          </w:p>
        </w:tc>
        <w:tc>
          <w:tcPr>
            <w:tcW w:w="980" w:type="dxa"/>
            <w:gridSpan w:val="2"/>
            <w:tcBorders>
              <w:top w:val="single" w:sz="4" w:space="0" w:color="auto"/>
              <w:left w:val="nil"/>
              <w:bottom w:val="single" w:sz="4" w:space="0" w:color="auto"/>
              <w:right w:val="single" w:sz="4" w:space="0" w:color="000000"/>
            </w:tcBorders>
            <w:shd w:val="clear" w:color="auto" w:fill="CCFFFF"/>
            <w:vAlign w:val="bottom"/>
          </w:tcPr>
          <w:p w:rsidR="009571FA" w:rsidRDefault="009571FA">
            <w:pPr>
              <w:jc w:val="center"/>
              <w:rPr>
                <w:rFonts w:ascii="Arial Narrow" w:hAnsi="Arial Narrow" w:cs="Arial"/>
                <w:bCs/>
                <w:sz w:val="18"/>
                <w:szCs w:val="20"/>
              </w:rPr>
            </w:pPr>
            <w:r>
              <w:rPr>
                <w:rFonts w:ascii="Arial Narrow" w:hAnsi="Arial Narrow" w:cs="Arial"/>
                <w:bCs/>
                <w:sz w:val="18"/>
                <w:szCs w:val="20"/>
              </w:rPr>
              <w:t>HQ</w:t>
            </w:r>
          </w:p>
        </w:tc>
        <w:tc>
          <w:tcPr>
            <w:tcW w:w="1019" w:type="dxa"/>
            <w:gridSpan w:val="2"/>
            <w:tcBorders>
              <w:top w:val="single" w:sz="4" w:space="0" w:color="auto"/>
              <w:left w:val="nil"/>
              <w:bottom w:val="single" w:sz="4" w:space="0" w:color="auto"/>
              <w:right w:val="single" w:sz="4" w:space="0" w:color="000000"/>
            </w:tcBorders>
            <w:shd w:val="clear" w:color="auto" w:fill="CCFFFF"/>
            <w:vAlign w:val="bottom"/>
          </w:tcPr>
          <w:p w:rsidR="009571FA" w:rsidRDefault="009571FA">
            <w:pPr>
              <w:jc w:val="center"/>
              <w:rPr>
                <w:rFonts w:ascii="Arial Narrow" w:hAnsi="Arial Narrow" w:cs="Arial"/>
                <w:bCs/>
                <w:sz w:val="18"/>
                <w:szCs w:val="20"/>
              </w:rPr>
            </w:pPr>
            <w:r>
              <w:rPr>
                <w:rFonts w:ascii="Arial Narrow" w:hAnsi="Arial Narrow" w:cs="Arial"/>
                <w:bCs/>
                <w:sz w:val="18"/>
                <w:szCs w:val="20"/>
              </w:rPr>
              <w:t>CO</w:t>
            </w:r>
          </w:p>
        </w:tc>
        <w:tc>
          <w:tcPr>
            <w:tcW w:w="540" w:type="dxa"/>
            <w:vMerge w:val="restart"/>
            <w:tcBorders>
              <w:top w:val="nil"/>
              <w:left w:val="single" w:sz="4" w:space="0" w:color="auto"/>
              <w:bottom w:val="single" w:sz="4" w:space="0" w:color="000000"/>
              <w:right w:val="single" w:sz="4" w:space="0" w:color="auto"/>
            </w:tcBorders>
            <w:shd w:val="clear" w:color="auto" w:fill="FFFFCC"/>
            <w:vAlign w:val="center"/>
          </w:tcPr>
          <w:p w:rsidR="009571FA" w:rsidRDefault="009571FA">
            <w:pPr>
              <w:rPr>
                <w:rFonts w:ascii="Arial Narrow" w:hAnsi="Arial Narrow" w:cs="Arial"/>
                <w:bCs/>
                <w:sz w:val="18"/>
                <w:szCs w:val="20"/>
              </w:rPr>
            </w:pPr>
          </w:p>
          <w:p w:rsidR="009571FA" w:rsidRDefault="009571FA">
            <w:pPr>
              <w:jc w:val="center"/>
              <w:rPr>
                <w:rFonts w:ascii="Arial Narrow" w:hAnsi="Arial Narrow" w:cs="Arial"/>
                <w:bCs/>
                <w:sz w:val="18"/>
                <w:szCs w:val="20"/>
              </w:rPr>
            </w:pPr>
            <w:r>
              <w:rPr>
                <w:rFonts w:ascii="Arial Narrow" w:hAnsi="Arial Narrow" w:cs="Arial"/>
                <w:bCs/>
                <w:sz w:val="16"/>
                <w:szCs w:val="20"/>
              </w:rPr>
              <w:t>N</w:t>
            </w:r>
          </w:p>
        </w:tc>
        <w:tc>
          <w:tcPr>
            <w:tcW w:w="540" w:type="dxa"/>
            <w:vMerge w:val="restart"/>
            <w:tcBorders>
              <w:top w:val="nil"/>
              <w:left w:val="single" w:sz="4" w:space="0" w:color="auto"/>
              <w:bottom w:val="single" w:sz="4" w:space="0" w:color="000000"/>
              <w:right w:val="single" w:sz="4" w:space="0" w:color="auto"/>
            </w:tcBorders>
            <w:shd w:val="clear" w:color="auto" w:fill="FFFFCC"/>
            <w:vAlign w:val="center"/>
          </w:tcPr>
          <w:p w:rsidR="009571FA" w:rsidRDefault="009571FA">
            <w:pPr>
              <w:jc w:val="center"/>
              <w:rPr>
                <w:rFonts w:ascii="Arial Narrow" w:hAnsi="Arial Narrow" w:cs="Arial"/>
                <w:bCs/>
                <w:sz w:val="18"/>
                <w:szCs w:val="20"/>
              </w:rPr>
            </w:pPr>
            <w:r>
              <w:rPr>
                <w:rFonts w:ascii="Arial Narrow" w:hAnsi="Arial Narrow" w:cs="Arial"/>
                <w:bCs/>
                <w:sz w:val="18"/>
                <w:szCs w:val="20"/>
              </w:rPr>
              <w:t xml:space="preserve">% </w:t>
            </w:r>
          </w:p>
          <w:p w:rsidR="009571FA" w:rsidRDefault="009571FA">
            <w:pPr>
              <w:jc w:val="center"/>
              <w:rPr>
                <w:rFonts w:ascii="Arial Narrow" w:hAnsi="Arial Narrow" w:cs="Arial"/>
                <w:bCs/>
                <w:sz w:val="18"/>
                <w:szCs w:val="20"/>
              </w:rPr>
            </w:pPr>
            <w:r>
              <w:rPr>
                <w:rFonts w:ascii="Arial Narrow" w:hAnsi="Arial Narrow" w:cs="Arial"/>
                <w:bCs/>
                <w:sz w:val="18"/>
                <w:szCs w:val="20"/>
              </w:rPr>
              <w:t>Fem</w:t>
            </w:r>
          </w:p>
        </w:tc>
        <w:tc>
          <w:tcPr>
            <w:tcW w:w="576" w:type="dxa"/>
            <w:vMerge/>
            <w:tcBorders>
              <w:top w:val="single" w:sz="4" w:space="0" w:color="auto"/>
              <w:left w:val="single" w:sz="4" w:space="0" w:color="auto"/>
              <w:bottom w:val="single" w:sz="4" w:space="0" w:color="000000"/>
              <w:right w:val="single" w:sz="4" w:space="0" w:color="auto"/>
            </w:tcBorders>
            <w:vAlign w:val="center"/>
          </w:tcPr>
          <w:p w:rsidR="009571FA" w:rsidRDefault="009571FA">
            <w:pPr>
              <w:rPr>
                <w:rFonts w:ascii="Arial Narrow" w:hAnsi="Arial Narrow" w:cs="Arial"/>
                <w:b/>
                <w:bCs/>
                <w:sz w:val="16"/>
                <w:szCs w:val="20"/>
              </w:rPr>
            </w:pPr>
          </w:p>
        </w:tc>
        <w:tc>
          <w:tcPr>
            <w:tcW w:w="630" w:type="dxa"/>
            <w:vMerge/>
            <w:tcBorders>
              <w:top w:val="single" w:sz="4" w:space="0" w:color="auto"/>
              <w:left w:val="single" w:sz="4" w:space="0" w:color="auto"/>
              <w:bottom w:val="single" w:sz="4" w:space="0" w:color="000000"/>
              <w:right w:val="single" w:sz="4" w:space="0" w:color="auto"/>
            </w:tcBorders>
            <w:vAlign w:val="center"/>
          </w:tcPr>
          <w:p w:rsidR="009571FA" w:rsidRDefault="009571FA">
            <w:pPr>
              <w:rPr>
                <w:rFonts w:cs="Arial"/>
                <w:b/>
                <w:bCs/>
                <w:sz w:val="16"/>
                <w:szCs w:val="20"/>
              </w:rPr>
            </w:pPr>
          </w:p>
        </w:tc>
      </w:tr>
      <w:tr w:rsidR="009571FA" w:rsidTr="00EB368C">
        <w:trPr>
          <w:trHeight w:val="243"/>
        </w:trPr>
        <w:tc>
          <w:tcPr>
            <w:tcW w:w="738" w:type="dxa"/>
            <w:vMerge/>
            <w:tcBorders>
              <w:top w:val="single" w:sz="4" w:space="0" w:color="auto"/>
              <w:left w:val="single" w:sz="4" w:space="0" w:color="auto"/>
              <w:bottom w:val="single" w:sz="4" w:space="0" w:color="auto"/>
              <w:right w:val="single" w:sz="4" w:space="0" w:color="auto"/>
            </w:tcBorders>
            <w:vAlign w:val="center"/>
          </w:tcPr>
          <w:p w:rsidR="009571FA" w:rsidRDefault="009571FA">
            <w:pPr>
              <w:rPr>
                <w:rFonts w:cs="Arial"/>
                <w:bCs/>
                <w:color w:val="000000"/>
                <w:sz w:val="12"/>
                <w:szCs w:val="20"/>
              </w:rPr>
            </w:pPr>
          </w:p>
        </w:tc>
        <w:tc>
          <w:tcPr>
            <w:tcW w:w="630" w:type="dxa"/>
            <w:tcBorders>
              <w:top w:val="nil"/>
              <w:left w:val="nil"/>
              <w:bottom w:val="single" w:sz="4" w:space="0" w:color="auto"/>
              <w:right w:val="single" w:sz="4" w:space="0" w:color="auto"/>
            </w:tcBorders>
            <w:shd w:val="clear" w:color="auto" w:fill="CCFFFF"/>
            <w:vAlign w:val="bottom"/>
          </w:tcPr>
          <w:p w:rsidR="009571FA" w:rsidRDefault="009571FA">
            <w:pPr>
              <w:jc w:val="center"/>
              <w:rPr>
                <w:rFonts w:ascii="Arial Narrow" w:hAnsi="Arial Narrow" w:cs="Arial"/>
                <w:bCs/>
                <w:sz w:val="16"/>
                <w:szCs w:val="20"/>
              </w:rPr>
            </w:pPr>
            <w:r>
              <w:rPr>
                <w:rFonts w:ascii="Arial Narrow" w:hAnsi="Arial Narrow" w:cs="Arial"/>
                <w:bCs/>
                <w:sz w:val="16"/>
                <w:szCs w:val="20"/>
              </w:rPr>
              <w:t>Male</w:t>
            </w:r>
          </w:p>
        </w:tc>
        <w:tc>
          <w:tcPr>
            <w:tcW w:w="630" w:type="dxa"/>
            <w:tcBorders>
              <w:top w:val="nil"/>
              <w:left w:val="nil"/>
              <w:bottom w:val="single" w:sz="4" w:space="0" w:color="auto"/>
              <w:right w:val="single" w:sz="4" w:space="0" w:color="auto"/>
            </w:tcBorders>
            <w:shd w:val="clear" w:color="auto" w:fill="CCFFFF"/>
            <w:vAlign w:val="bottom"/>
          </w:tcPr>
          <w:p w:rsidR="009571FA" w:rsidRDefault="009571FA">
            <w:pPr>
              <w:jc w:val="center"/>
              <w:rPr>
                <w:rFonts w:ascii="Arial Narrow" w:hAnsi="Arial Narrow" w:cs="Arial"/>
                <w:bCs/>
                <w:sz w:val="16"/>
                <w:szCs w:val="20"/>
              </w:rPr>
            </w:pPr>
            <w:r>
              <w:rPr>
                <w:rFonts w:ascii="Arial Narrow" w:hAnsi="Arial Narrow" w:cs="Arial"/>
                <w:bCs/>
                <w:sz w:val="16"/>
                <w:szCs w:val="20"/>
              </w:rPr>
              <w:t>Fem</w:t>
            </w:r>
          </w:p>
        </w:tc>
        <w:tc>
          <w:tcPr>
            <w:tcW w:w="630" w:type="dxa"/>
            <w:tcBorders>
              <w:top w:val="nil"/>
              <w:left w:val="nil"/>
              <w:bottom w:val="single" w:sz="4" w:space="0" w:color="auto"/>
              <w:right w:val="single" w:sz="4" w:space="0" w:color="auto"/>
            </w:tcBorders>
            <w:shd w:val="clear" w:color="auto" w:fill="CCFFFF"/>
            <w:vAlign w:val="bottom"/>
          </w:tcPr>
          <w:p w:rsidR="009571FA" w:rsidRDefault="009571FA">
            <w:pPr>
              <w:jc w:val="center"/>
              <w:rPr>
                <w:rFonts w:ascii="Arial Narrow" w:hAnsi="Arial Narrow" w:cs="Arial"/>
                <w:bCs/>
                <w:sz w:val="16"/>
                <w:szCs w:val="20"/>
              </w:rPr>
            </w:pPr>
            <w:r>
              <w:rPr>
                <w:rFonts w:ascii="Arial Narrow" w:hAnsi="Arial Narrow" w:cs="Arial"/>
                <w:bCs/>
                <w:sz w:val="16"/>
                <w:szCs w:val="20"/>
              </w:rPr>
              <w:t>Male</w:t>
            </w:r>
          </w:p>
        </w:tc>
        <w:tc>
          <w:tcPr>
            <w:tcW w:w="630" w:type="dxa"/>
            <w:tcBorders>
              <w:top w:val="nil"/>
              <w:left w:val="nil"/>
              <w:bottom w:val="single" w:sz="4" w:space="0" w:color="auto"/>
              <w:right w:val="single" w:sz="4" w:space="0" w:color="auto"/>
            </w:tcBorders>
            <w:shd w:val="clear" w:color="auto" w:fill="CCFFFF"/>
            <w:vAlign w:val="bottom"/>
          </w:tcPr>
          <w:p w:rsidR="009571FA" w:rsidRDefault="009571FA">
            <w:pPr>
              <w:jc w:val="center"/>
              <w:rPr>
                <w:rFonts w:ascii="Arial Narrow" w:hAnsi="Arial Narrow" w:cs="Arial"/>
                <w:bCs/>
                <w:sz w:val="16"/>
                <w:szCs w:val="20"/>
              </w:rPr>
            </w:pPr>
            <w:r>
              <w:rPr>
                <w:rFonts w:ascii="Arial Narrow" w:hAnsi="Arial Narrow" w:cs="Arial"/>
                <w:bCs/>
                <w:sz w:val="16"/>
                <w:szCs w:val="20"/>
              </w:rPr>
              <w:t>Fem</w:t>
            </w:r>
          </w:p>
        </w:tc>
        <w:tc>
          <w:tcPr>
            <w:tcW w:w="630" w:type="dxa"/>
            <w:vMerge/>
            <w:tcBorders>
              <w:top w:val="nil"/>
              <w:left w:val="single" w:sz="4" w:space="0" w:color="auto"/>
              <w:bottom w:val="single" w:sz="4" w:space="0" w:color="000000"/>
              <w:right w:val="single" w:sz="4" w:space="0" w:color="auto"/>
            </w:tcBorders>
            <w:vAlign w:val="center"/>
          </w:tcPr>
          <w:p w:rsidR="009571FA" w:rsidRDefault="009571FA">
            <w:pPr>
              <w:rPr>
                <w:rFonts w:ascii="Arial Narrow" w:hAnsi="Arial Narrow" w:cs="Arial"/>
                <w:bCs/>
                <w:sz w:val="18"/>
                <w:szCs w:val="20"/>
              </w:rPr>
            </w:pPr>
          </w:p>
        </w:tc>
        <w:tc>
          <w:tcPr>
            <w:tcW w:w="665" w:type="dxa"/>
            <w:vMerge/>
            <w:tcBorders>
              <w:top w:val="nil"/>
              <w:left w:val="single" w:sz="4" w:space="0" w:color="auto"/>
              <w:bottom w:val="single" w:sz="4" w:space="0" w:color="000000"/>
              <w:right w:val="single" w:sz="4" w:space="0" w:color="auto"/>
            </w:tcBorders>
            <w:vAlign w:val="center"/>
          </w:tcPr>
          <w:p w:rsidR="009571FA" w:rsidRDefault="009571FA">
            <w:pPr>
              <w:rPr>
                <w:rFonts w:ascii="Arial Narrow" w:hAnsi="Arial Narrow" w:cs="Arial"/>
                <w:bCs/>
                <w:sz w:val="18"/>
                <w:szCs w:val="20"/>
              </w:rPr>
            </w:pPr>
          </w:p>
        </w:tc>
        <w:tc>
          <w:tcPr>
            <w:tcW w:w="501" w:type="dxa"/>
            <w:tcBorders>
              <w:top w:val="nil"/>
              <w:left w:val="nil"/>
              <w:bottom w:val="single" w:sz="4" w:space="0" w:color="auto"/>
              <w:right w:val="single" w:sz="4" w:space="0" w:color="auto"/>
            </w:tcBorders>
            <w:shd w:val="clear" w:color="auto" w:fill="CCFFFF"/>
            <w:vAlign w:val="bottom"/>
          </w:tcPr>
          <w:p w:rsidR="009571FA" w:rsidRDefault="009571FA">
            <w:pPr>
              <w:jc w:val="center"/>
              <w:rPr>
                <w:rFonts w:ascii="Arial Narrow" w:hAnsi="Arial Narrow" w:cs="Arial"/>
                <w:bCs/>
                <w:sz w:val="16"/>
                <w:szCs w:val="20"/>
              </w:rPr>
            </w:pPr>
            <w:r>
              <w:rPr>
                <w:rFonts w:ascii="Arial Narrow" w:hAnsi="Arial Narrow" w:cs="Arial"/>
                <w:bCs/>
                <w:sz w:val="16"/>
                <w:szCs w:val="20"/>
              </w:rPr>
              <w:t>Male</w:t>
            </w:r>
          </w:p>
        </w:tc>
        <w:tc>
          <w:tcPr>
            <w:tcW w:w="479" w:type="dxa"/>
            <w:tcBorders>
              <w:top w:val="nil"/>
              <w:left w:val="nil"/>
              <w:bottom w:val="single" w:sz="4" w:space="0" w:color="auto"/>
              <w:right w:val="single" w:sz="4" w:space="0" w:color="auto"/>
            </w:tcBorders>
            <w:shd w:val="clear" w:color="auto" w:fill="CCFFFF"/>
            <w:vAlign w:val="bottom"/>
          </w:tcPr>
          <w:p w:rsidR="009571FA" w:rsidRDefault="009571FA">
            <w:pPr>
              <w:jc w:val="center"/>
              <w:rPr>
                <w:rFonts w:ascii="Arial Narrow" w:hAnsi="Arial Narrow" w:cs="Arial"/>
                <w:bCs/>
                <w:sz w:val="16"/>
                <w:szCs w:val="20"/>
              </w:rPr>
            </w:pPr>
            <w:r>
              <w:rPr>
                <w:rFonts w:ascii="Arial Narrow" w:hAnsi="Arial Narrow" w:cs="Arial"/>
                <w:bCs/>
                <w:sz w:val="16"/>
                <w:szCs w:val="20"/>
              </w:rPr>
              <w:t>Fem</w:t>
            </w:r>
          </w:p>
        </w:tc>
        <w:tc>
          <w:tcPr>
            <w:tcW w:w="501" w:type="dxa"/>
            <w:tcBorders>
              <w:top w:val="nil"/>
              <w:left w:val="nil"/>
              <w:bottom w:val="single" w:sz="4" w:space="0" w:color="auto"/>
              <w:right w:val="single" w:sz="4" w:space="0" w:color="auto"/>
            </w:tcBorders>
            <w:shd w:val="clear" w:color="auto" w:fill="CCFFFF"/>
            <w:vAlign w:val="bottom"/>
          </w:tcPr>
          <w:p w:rsidR="009571FA" w:rsidRDefault="009571FA">
            <w:pPr>
              <w:jc w:val="center"/>
              <w:rPr>
                <w:rFonts w:ascii="Arial Narrow" w:hAnsi="Arial Narrow" w:cs="Arial"/>
                <w:bCs/>
                <w:sz w:val="16"/>
                <w:szCs w:val="20"/>
              </w:rPr>
            </w:pPr>
            <w:r>
              <w:rPr>
                <w:rFonts w:ascii="Arial Narrow" w:hAnsi="Arial Narrow" w:cs="Arial"/>
                <w:bCs/>
                <w:sz w:val="16"/>
                <w:szCs w:val="20"/>
              </w:rPr>
              <w:t>Male</w:t>
            </w:r>
          </w:p>
        </w:tc>
        <w:tc>
          <w:tcPr>
            <w:tcW w:w="518" w:type="dxa"/>
            <w:tcBorders>
              <w:top w:val="nil"/>
              <w:left w:val="nil"/>
              <w:bottom w:val="single" w:sz="4" w:space="0" w:color="auto"/>
              <w:right w:val="single" w:sz="4" w:space="0" w:color="auto"/>
            </w:tcBorders>
            <w:shd w:val="clear" w:color="auto" w:fill="CCFFFF"/>
            <w:vAlign w:val="bottom"/>
          </w:tcPr>
          <w:p w:rsidR="009571FA" w:rsidRDefault="009571FA">
            <w:pPr>
              <w:jc w:val="center"/>
              <w:rPr>
                <w:rFonts w:ascii="Arial Narrow" w:hAnsi="Arial Narrow" w:cs="Arial"/>
                <w:bCs/>
                <w:sz w:val="16"/>
                <w:szCs w:val="20"/>
              </w:rPr>
            </w:pPr>
            <w:r>
              <w:rPr>
                <w:rFonts w:ascii="Arial Narrow" w:hAnsi="Arial Narrow" w:cs="Arial"/>
                <w:bCs/>
                <w:sz w:val="16"/>
                <w:szCs w:val="20"/>
              </w:rPr>
              <w:t>Fem</w:t>
            </w:r>
          </w:p>
        </w:tc>
        <w:tc>
          <w:tcPr>
            <w:tcW w:w="540" w:type="dxa"/>
            <w:vMerge/>
            <w:tcBorders>
              <w:top w:val="nil"/>
              <w:left w:val="single" w:sz="4" w:space="0" w:color="auto"/>
              <w:bottom w:val="single" w:sz="4" w:space="0" w:color="000000"/>
              <w:right w:val="single" w:sz="4" w:space="0" w:color="auto"/>
            </w:tcBorders>
            <w:vAlign w:val="center"/>
          </w:tcPr>
          <w:p w:rsidR="009571FA" w:rsidRDefault="009571FA">
            <w:pPr>
              <w:rPr>
                <w:rFonts w:ascii="Arial Narrow" w:hAnsi="Arial Narrow" w:cs="Arial"/>
                <w:bCs/>
                <w:sz w:val="18"/>
                <w:szCs w:val="20"/>
              </w:rPr>
            </w:pPr>
          </w:p>
        </w:tc>
        <w:tc>
          <w:tcPr>
            <w:tcW w:w="540" w:type="dxa"/>
            <w:vMerge/>
            <w:tcBorders>
              <w:top w:val="nil"/>
              <w:left w:val="single" w:sz="4" w:space="0" w:color="auto"/>
              <w:bottom w:val="single" w:sz="4" w:space="0" w:color="000000"/>
              <w:right w:val="single" w:sz="4" w:space="0" w:color="auto"/>
            </w:tcBorders>
            <w:vAlign w:val="center"/>
          </w:tcPr>
          <w:p w:rsidR="009571FA" w:rsidRDefault="009571FA">
            <w:pPr>
              <w:rPr>
                <w:rFonts w:ascii="Arial Narrow" w:hAnsi="Arial Narrow" w:cs="Arial"/>
                <w:bCs/>
                <w:sz w:val="18"/>
                <w:szCs w:val="20"/>
              </w:rPr>
            </w:pPr>
          </w:p>
        </w:tc>
        <w:tc>
          <w:tcPr>
            <w:tcW w:w="576" w:type="dxa"/>
            <w:vMerge/>
            <w:tcBorders>
              <w:top w:val="single" w:sz="4" w:space="0" w:color="auto"/>
              <w:left w:val="single" w:sz="4" w:space="0" w:color="auto"/>
              <w:bottom w:val="single" w:sz="4" w:space="0" w:color="000000"/>
              <w:right w:val="single" w:sz="4" w:space="0" w:color="auto"/>
            </w:tcBorders>
            <w:vAlign w:val="center"/>
          </w:tcPr>
          <w:p w:rsidR="009571FA" w:rsidRDefault="009571FA">
            <w:pPr>
              <w:rPr>
                <w:rFonts w:ascii="Arial Narrow" w:hAnsi="Arial Narrow" w:cs="Arial"/>
                <w:b/>
                <w:bCs/>
                <w:sz w:val="16"/>
                <w:szCs w:val="20"/>
              </w:rPr>
            </w:pPr>
          </w:p>
        </w:tc>
        <w:tc>
          <w:tcPr>
            <w:tcW w:w="630" w:type="dxa"/>
            <w:vMerge/>
            <w:tcBorders>
              <w:top w:val="single" w:sz="4" w:space="0" w:color="auto"/>
              <w:left w:val="single" w:sz="4" w:space="0" w:color="auto"/>
              <w:bottom w:val="single" w:sz="4" w:space="0" w:color="000000"/>
              <w:right w:val="single" w:sz="4" w:space="0" w:color="auto"/>
            </w:tcBorders>
            <w:vAlign w:val="center"/>
          </w:tcPr>
          <w:p w:rsidR="009571FA" w:rsidRDefault="009571FA">
            <w:pPr>
              <w:rPr>
                <w:rFonts w:cs="Arial"/>
                <w:b/>
                <w:bCs/>
                <w:sz w:val="16"/>
                <w:szCs w:val="20"/>
              </w:rPr>
            </w:pPr>
          </w:p>
        </w:tc>
      </w:tr>
      <w:tr w:rsidR="009571FA" w:rsidTr="00EB368C">
        <w:trPr>
          <w:trHeight w:val="255"/>
        </w:trPr>
        <w:tc>
          <w:tcPr>
            <w:tcW w:w="738" w:type="dxa"/>
            <w:tcBorders>
              <w:top w:val="nil"/>
              <w:left w:val="single" w:sz="4" w:space="0" w:color="auto"/>
              <w:bottom w:val="single" w:sz="4" w:space="0" w:color="auto"/>
              <w:right w:val="single" w:sz="4" w:space="0" w:color="auto"/>
            </w:tcBorders>
            <w:shd w:val="clear" w:color="auto" w:fill="FFCC99"/>
          </w:tcPr>
          <w:p w:rsidR="009571FA" w:rsidRDefault="009571FA">
            <w:pPr>
              <w:jc w:val="center"/>
              <w:rPr>
                <w:rFonts w:cs="Arial"/>
                <w:b/>
                <w:color w:val="000000"/>
                <w:sz w:val="18"/>
                <w:szCs w:val="20"/>
              </w:rPr>
            </w:pPr>
            <w:r>
              <w:rPr>
                <w:rFonts w:cs="Arial"/>
                <w:b/>
                <w:color w:val="000000"/>
                <w:sz w:val="18"/>
                <w:szCs w:val="20"/>
              </w:rPr>
              <w:t>P+</w:t>
            </w:r>
          </w:p>
        </w:tc>
        <w:tc>
          <w:tcPr>
            <w:tcW w:w="630" w:type="dxa"/>
            <w:tcBorders>
              <w:top w:val="nil"/>
              <w:left w:val="nil"/>
              <w:bottom w:val="single" w:sz="4" w:space="0" w:color="auto"/>
              <w:right w:val="single" w:sz="4" w:space="0" w:color="auto"/>
            </w:tcBorders>
          </w:tcPr>
          <w:p w:rsidR="009571FA" w:rsidRPr="0022291B" w:rsidRDefault="009571FA">
            <w:pPr>
              <w:jc w:val="center"/>
              <w:rPr>
                <w:rFonts w:ascii="Arial Narrow" w:hAnsi="Arial Narrow" w:cs="Arial"/>
                <w:color w:val="000000"/>
                <w:szCs w:val="20"/>
              </w:rPr>
            </w:pPr>
            <w:r w:rsidRPr="0022291B">
              <w:rPr>
                <w:rFonts w:ascii="Arial Narrow" w:hAnsi="Arial Narrow" w:cs="Arial"/>
                <w:color w:val="000000"/>
                <w:szCs w:val="20"/>
              </w:rPr>
              <w:t>6</w:t>
            </w:r>
          </w:p>
        </w:tc>
        <w:tc>
          <w:tcPr>
            <w:tcW w:w="630" w:type="dxa"/>
            <w:tcBorders>
              <w:top w:val="nil"/>
              <w:left w:val="nil"/>
              <w:bottom w:val="single" w:sz="4" w:space="0" w:color="auto"/>
              <w:right w:val="single" w:sz="4" w:space="0" w:color="auto"/>
            </w:tcBorders>
          </w:tcPr>
          <w:p w:rsidR="009571FA" w:rsidRPr="0022291B" w:rsidRDefault="009571FA">
            <w:pPr>
              <w:jc w:val="center"/>
              <w:rPr>
                <w:rFonts w:ascii="Arial Narrow" w:hAnsi="Arial Narrow" w:cs="Arial"/>
                <w:color w:val="000000"/>
                <w:szCs w:val="20"/>
              </w:rPr>
            </w:pPr>
            <w:r w:rsidRPr="0022291B">
              <w:rPr>
                <w:rFonts w:ascii="Arial Narrow" w:hAnsi="Arial Narrow" w:cs="Arial"/>
                <w:color w:val="000000"/>
                <w:szCs w:val="20"/>
              </w:rPr>
              <w:t>4</w:t>
            </w:r>
          </w:p>
        </w:tc>
        <w:tc>
          <w:tcPr>
            <w:tcW w:w="630" w:type="dxa"/>
            <w:tcBorders>
              <w:top w:val="nil"/>
              <w:left w:val="nil"/>
              <w:bottom w:val="single" w:sz="4" w:space="0" w:color="auto"/>
              <w:right w:val="single" w:sz="4" w:space="0" w:color="auto"/>
            </w:tcBorders>
          </w:tcPr>
          <w:p w:rsidR="009571FA" w:rsidRPr="0022291B" w:rsidRDefault="009571FA">
            <w:pPr>
              <w:jc w:val="center"/>
              <w:rPr>
                <w:rFonts w:ascii="Arial Narrow" w:hAnsi="Arial Narrow" w:cs="Arial"/>
                <w:color w:val="000000"/>
                <w:szCs w:val="20"/>
              </w:rPr>
            </w:pPr>
            <w:r w:rsidRPr="0022291B">
              <w:rPr>
                <w:rFonts w:ascii="Arial Narrow" w:hAnsi="Arial Narrow" w:cs="Arial"/>
                <w:color w:val="000000"/>
                <w:szCs w:val="20"/>
              </w:rPr>
              <w:t>7</w:t>
            </w:r>
          </w:p>
        </w:tc>
        <w:tc>
          <w:tcPr>
            <w:tcW w:w="630" w:type="dxa"/>
            <w:tcBorders>
              <w:top w:val="nil"/>
              <w:left w:val="nil"/>
              <w:bottom w:val="single" w:sz="4" w:space="0" w:color="auto"/>
              <w:right w:val="single" w:sz="4" w:space="0" w:color="auto"/>
            </w:tcBorders>
          </w:tcPr>
          <w:p w:rsidR="009571FA" w:rsidRPr="0022291B" w:rsidRDefault="009571FA">
            <w:pPr>
              <w:jc w:val="center"/>
              <w:rPr>
                <w:rFonts w:ascii="Arial Narrow" w:hAnsi="Arial Narrow" w:cs="Arial"/>
                <w:color w:val="000000"/>
                <w:szCs w:val="20"/>
              </w:rPr>
            </w:pPr>
            <w:r w:rsidRPr="0022291B">
              <w:rPr>
                <w:rFonts w:ascii="Arial Narrow" w:hAnsi="Arial Narrow" w:cs="Arial"/>
                <w:color w:val="000000"/>
                <w:szCs w:val="20"/>
              </w:rPr>
              <w:t>5</w:t>
            </w:r>
          </w:p>
        </w:tc>
        <w:tc>
          <w:tcPr>
            <w:tcW w:w="630" w:type="dxa"/>
            <w:tcBorders>
              <w:top w:val="nil"/>
              <w:left w:val="nil"/>
              <w:bottom w:val="single" w:sz="4" w:space="0" w:color="auto"/>
              <w:right w:val="single" w:sz="4" w:space="0" w:color="auto"/>
            </w:tcBorders>
            <w:shd w:val="clear" w:color="auto" w:fill="FFFFCC"/>
            <w:vAlign w:val="bottom"/>
          </w:tcPr>
          <w:p w:rsidR="009571FA" w:rsidRPr="0022291B" w:rsidRDefault="009571FA">
            <w:pPr>
              <w:jc w:val="center"/>
              <w:rPr>
                <w:rFonts w:ascii="Arial Narrow" w:hAnsi="Arial Narrow" w:cs="Arial"/>
                <w:szCs w:val="20"/>
              </w:rPr>
            </w:pPr>
            <w:r w:rsidRPr="0022291B">
              <w:rPr>
                <w:rFonts w:ascii="Arial Narrow" w:hAnsi="Arial Narrow" w:cs="Arial"/>
                <w:szCs w:val="20"/>
              </w:rPr>
              <w:t>22</w:t>
            </w:r>
          </w:p>
        </w:tc>
        <w:tc>
          <w:tcPr>
            <w:tcW w:w="665" w:type="dxa"/>
            <w:tcBorders>
              <w:top w:val="nil"/>
              <w:left w:val="nil"/>
              <w:bottom w:val="single" w:sz="4" w:space="0" w:color="auto"/>
              <w:right w:val="single" w:sz="4" w:space="0" w:color="auto"/>
            </w:tcBorders>
            <w:shd w:val="clear" w:color="auto" w:fill="FFFFCC"/>
            <w:vAlign w:val="bottom"/>
          </w:tcPr>
          <w:p w:rsidR="009571FA" w:rsidRPr="0022291B" w:rsidRDefault="009571FA">
            <w:pPr>
              <w:jc w:val="center"/>
              <w:rPr>
                <w:rFonts w:ascii="Arial Narrow" w:hAnsi="Arial Narrow" w:cs="Arial"/>
                <w:szCs w:val="20"/>
              </w:rPr>
            </w:pPr>
            <w:r w:rsidRPr="0022291B">
              <w:rPr>
                <w:rFonts w:ascii="Arial Narrow" w:hAnsi="Arial Narrow" w:cs="Arial"/>
                <w:szCs w:val="20"/>
              </w:rPr>
              <w:t>41</w:t>
            </w:r>
          </w:p>
        </w:tc>
        <w:tc>
          <w:tcPr>
            <w:tcW w:w="501" w:type="dxa"/>
            <w:tcBorders>
              <w:top w:val="nil"/>
              <w:left w:val="nil"/>
              <w:bottom w:val="single" w:sz="4" w:space="0" w:color="auto"/>
              <w:right w:val="single" w:sz="4" w:space="0" w:color="auto"/>
            </w:tcBorders>
          </w:tcPr>
          <w:p w:rsidR="009571FA" w:rsidRPr="0022291B" w:rsidRDefault="009571FA">
            <w:pPr>
              <w:jc w:val="center"/>
              <w:rPr>
                <w:rFonts w:ascii="Arial Narrow" w:hAnsi="Arial Narrow" w:cs="Arial"/>
                <w:color w:val="000000"/>
                <w:szCs w:val="20"/>
              </w:rPr>
            </w:pPr>
            <w:r w:rsidRPr="0022291B">
              <w:rPr>
                <w:rFonts w:ascii="Arial Narrow" w:hAnsi="Arial Narrow" w:cs="Arial"/>
                <w:color w:val="000000"/>
                <w:szCs w:val="20"/>
              </w:rPr>
              <w:t>30</w:t>
            </w:r>
          </w:p>
        </w:tc>
        <w:tc>
          <w:tcPr>
            <w:tcW w:w="479" w:type="dxa"/>
            <w:tcBorders>
              <w:top w:val="nil"/>
              <w:left w:val="nil"/>
              <w:bottom w:val="single" w:sz="4" w:space="0" w:color="auto"/>
              <w:right w:val="single" w:sz="4" w:space="0" w:color="auto"/>
            </w:tcBorders>
          </w:tcPr>
          <w:p w:rsidR="009571FA" w:rsidRPr="0022291B" w:rsidRDefault="009571FA">
            <w:pPr>
              <w:jc w:val="center"/>
              <w:rPr>
                <w:rFonts w:ascii="Arial Narrow" w:hAnsi="Arial Narrow" w:cs="Arial"/>
                <w:color w:val="000000"/>
                <w:szCs w:val="20"/>
              </w:rPr>
            </w:pPr>
            <w:r w:rsidRPr="0022291B">
              <w:rPr>
                <w:rFonts w:ascii="Arial Narrow" w:hAnsi="Arial Narrow" w:cs="Arial"/>
                <w:color w:val="000000"/>
                <w:szCs w:val="20"/>
              </w:rPr>
              <w:t>47</w:t>
            </w:r>
          </w:p>
        </w:tc>
        <w:tc>
          <w:tcPr>
            <w:tcW w:w="501" w:type="dxa"/>
            <w:tcBorders>
              <w:top w:val="nil"/>
              <w:left w:val="nil"/>
              <w:bottom w:val="single" w:sz="4" w:space="0" w:color="auto"/>
              <w:right w:val="single" w:sz="4" w:space="0" w:color="auto"/>
            </w:tcBorders>
          </w:tcPr>
          <w:p w:rsidR="009571FA" w:rsidRPr="0022291B" w:rsidRDefault="009571FA">
            <w:pPr>
              <w:jc w:val="center"/>
              <w:rPr>
                <w:rFonts w:ascii="Arial Narrow" w:hAnsi="Arial Narrow" w:cs="Arial"/>
                <w:color w:val="000000"/>
                <w:szCs w:val="20"/>
              </w:rPr>
            </w:pPr>
            <w:r w:rsidRPr="0022291B">
              <w:rPr>
                <w:rFonts w:ascii="Arial Narrow" w:hAnsi="Arial Narrow" w:cs="Arial"/>
                <w:color w:val="000000"/>
                <w:szCs w:val="20"/>
              </w:rPr>
              <w:t>15</w:t>
            </w:r>
          </w:p>
        </w:tc>
        <w:tc>
          <w:tcPr>
            <w:tcW w:w="518" w:type="dxa"/>
            <w:tcBorders>
              <w:top w:val="nil"/>
              <w:left w:val="nil"/>
              <w:bottom w:val="single" w:sz="4" w:space="0" w:color="auto"/>
              <w:right w:val="single" w:sz="4" w:space="0" w:color="auto"/>
            </w:tcBorders>
          </w:tcPr>
          <w:p w:rsidR="009571FA" w:rsidRPr="0022291B" w:rsidRDefault="009571FA">
            <w:pPr>
              <w:jc w:val="center"/>
              <w:rPr>
                <w:rFonts w:ascii="Arial Narrow" w:hAnsi="Arial Narrow" w:cs="Arial"/>
                <w:color w:val="000000"/>
                <w:szCs w:val="20"/>
              </w:rPr>
            </w:pPr>
            <w:r w:rsidRPr="0022291B">
              <w:rPr>
                <w:rFonts w:ascii="Arial Narrow" w:hAnsi="Arial Narrow" w:cs="Arial"/>
                <w:color w:val="000000"/>
                <w:szCs w:val="20"/>
              </w:rPr>
              <w:t>7</w:t>
            </w:r>
          </w:p>
        </w:tc>
        <w:tc>
          <w:tcPr>
            <w:tcW w:w="540" w:type="dxa"/>
            <w:tcBorders>
              <w:top w:val="nil"/>
              <w:left w:val="nil"/>
              <w:bottom w:val="single" w:sz="4" w:space="0" w:color="auto"/>
              <w:right w:val="single" w:sz="4" w:space="0" w:color="auto"/>
            </w:tcBorders>
            <w:shd w:val="clear" w:color="auto" w:fill="FFFFCC"/>
            <w:vAlign w:val="bottom"/>
          </w:tcPr>
          <w:p w:rsidR="009571FA" w:rsidRPr="0022291B" w:rsidRDefault="009571FA">
            <w:pPr>
              <w:jc w:val="center"/>
              <w:rPr>
                <w:rFonts w:ascii="Arial Narrow" w:hAnsi="Arial Narrow" w:cs="Arial"/>
                <w:szCs w:val="20"/>
              </w:rPr>
            </w:pPr>
            <w:r w:rsidRPr="0022291B">
              <w:rPr>
                <w:rFonts w:ascii="Arial Narrow" w:hAnsi="Arial Narrow" w:cs="Arial"/>
                <w:szCs w:val="20"/>
              </w:rPr>
              <w:t>99</w:t>
            </w:r>
          </w:p>
        </w:tc>
        <w:tc>
          <w:tcPr>
            <w:tcW w:w="540" w:type="dxa"/>
            <w:tcBorders>
              <w:top w:val="nil"/>
              <w:left w:val="nil"/>
              <w:bottom w:val="single" w:sz="4" w:space="0" w:color="auto"/>
              <w:right w:val="single" w:sz="4" w:space="0" w:color="auto"/>
            </w:tcBorders>
            <w:shd w:val="clear" w:color="auto" w:fill="FFFFCC"/>
            <w:vAlign w:val="bottom"/>
          </w:tcPr>
          <w:p w:rsidR="009571FA" w:rsidRPr="0022291B" w:rsidRDefault="009571FA">
            <w:pPr>
              <w:jc w:val="center"/>
              <w:rPr>
                <w:rFonts w:ascii="Arial Narrow" w:hAnsi="Arial Narrow" w:cs="Arial"/>
                <w:szCs w:val="20"/>
              </w:rPr>
            </w:pPr>
            <w:r w:rsidRPr="0022291B">
              <w:rPr>
                <w:rFonts w:ascii="Arial Narrow" w:hAnsi="Arial Narrow" w:cs="Arial"/>
                <w:szCs w:val="20"/>
              </w:rPr>
              <w:t>55</w:t>
            </w:r>
          </w:p>
        </w:tc>
        <w:tc>
          <w:tcPr>
            <w:tcW w:w="576" w:type="dxa"/>
            <w:tcBorders>
              <w:top w:val="nil"/>
              <w:left w:val="nil"/>
              <w:bottom w:val="single" w:sz="4" w:space="0" w:color="auto"/>
              <w:right w:val="single" w:sz="4" w:space="0" w:color="auto"/>
            </w:tcBorders>
            <w:shd w:val="clear" w:color="auto" w:fill="FFCC99"/>
            <w:vAlign w:val="bottom"/>
          </w:tcPr>
          <w:p w:rsidR="009571FA" w:rsidRPr="0022291B" w:rsidRDefault="009571FA">
            <w:pPr>
              <w:jc w:val="center"/>
              <w:rPr>
                <w:rFonts w:ascii="Arial Narrow" w:hAnsi="Arial Narrow" w:cs="Arial"/>
                <w:szCs w:val="20"/>
              </w:rPr>
            </w:pPr>
            <w:r w:rsidRPr="0022291B">
              <w:rPr>
                <w:rFonts w:ascii="Arial Narrow" w:hAnsi="Arial Narrow" w:cs="Arial"/>
                <w:szCs w:val="20"/>
              </w:rPr>
              <w:t>121</w:t>
            </w:r>
          </w:p>
        </w:tc>
        <w:tc>
          <w:tcPr>
            <w:tcW w:w="630" w:type="dxa"/>
            <w:tcBorders>
              <w:top w:val="nil"/>
              <w:left w:val="nil"/>
              <w:bottom w:val="single" w:sz="4" w:space="0" w:color="auto"/>
              <w:right w:val="single" w:sz="4" w:space="0" w:color="auto"/>
            </w:tcBorders>
            <w:shd w:val="clear" w:color="auto" w:fill="FFCC99"/>
            <w:vAlign w:val="bottom"/>
          </w:tcPr>
          <w:p w:rsidR="009571FA" w:rsidRPr="0022291B" w:rsidRDefault="009571FA">
            <w:pPr>
              <w:jc w:val="center"/>
              <w:rPr>
                <w:rFonts w:ascii="Arial Narrow" w:hAnsi="Arial Narrow" w:cs="Arial"/>
                <w:szCs w:val="20"/>
              </w:rPr>
            </w:pPr>
            <w:r w:rsidRPr="0022291B">
              <w:rPr>
                <w:rFonts w:ascii="Arial Narrow" w:hAnsi="Arial Narrow" w:cs="Arial"/>
                <w:szCs w:val="20"/>
              </w:rPr>
              <w:t>52</w:t>
            </w:r>
          </w:p>
        </w:tc>
      </w:tr>
      <w:tr w:rsidR="009571FA" w:rsidTr="00EB368C">
        <w:trPr>
          <w:trHeight w:val="255"/>
        </w:trPr>
        <w:tc>
          <w:tcPr>
            <w:tcW w:w="738" w:type="dxa"/>
            <w:tcBorders>
              <w:top w:val="nil"/>
              <w:left w:val="single" w:sz="4" w:space="0" w:color="auto"/>
              <w:bottom w:val="single" w:sz="4" w:space="0" w:color="auto"/>
              <w:right w:val="single" w:sz="4" w:space="0" w:color="auto"/>
            </w:tcBorders>
            <w:shd w:val="clear" w:color="auto" w:fill="FFCC99"/>
          </w:tcPr>
          <w:p w:rsidR="009571FA" w:rsidRDefault="009571FA">
            <w:pPr>
              <w:jc w:val="center"/>
              <w:rPr>
                <w:rFonts w:cs="Arial"/>
                <w:b/>
                <w:color w:val="000000"/>
                <w:sz w:val="18"/>
                <w:szCs w:val="20"/>
              </w:rPr>
            </w:pPr>
            <w:r>
              <w:rPr>
                <w:rFonts w:cs="Arial"/>
                <w:b/>
                <w:color w:val="000000"/>
                <w:sz w:val="18"/>
                <w:szCs w:val="20"/>
              </w:rPr>
              <w:t>GS</w:t>
            </w:r>
          </w:p>
        </w:tc>
        <w:tc>
          <w:tcPr>
            <w:tcW w:w="630" w:type="dxa"/>
            <w:tcBorders>
              <w:top w:val="nil"/>
              <w:left w:val="nil"/>
              <w:bottom w:val="single" w:sz="4" w:space="0" w:color="auto"/>
              <w:right w:val="single" w:sz="4" w:space="0" w:color="auto"/>
            </w:tcBorders>
          </w:tcPr>
          <w:p w:rsidR="009571FA" w:rsidRPr="0022291B" w:rsidRDefault="009571FA">
            <w:pPr>
              <w:jc w:val="center"/>
              <w:rPr>
                <w:rFonts w:ascii="Arial Narrow" w:hAnsi="Arial Narrow" w:cs="Arial"/>
                <w:color w:val="000000"/>
                <w:szCs w:val="20"/>
              </w:rPr>
            </w:pPr>
            <w:r w:rsidRPr="0022291B">
              <w:rPr>
                <w:rFonts w:ascii="Arial Narrow" w:hAnsi="Arial Narrow" w:cs="Arial"/>
                <w:color w:val="000000"/>
                <w:szCs w:val="20"/>
              </w:rPr>
              <w:t>1</w:t>
            </w:r>
          </w:p>
        </w:tc>
        <w:tc>
          <w:tcPr>
            <w:tcW w:w="630" w:type="dxa"/>
            <w:tcBorders>
              <w:top w:val="nil"/>
              <w:left w:val="nil"/>
              <w:bottom w:val="single" w:sz="4" w:space="0" w:color="auto"/>
              <w:right w:val="single" w:sz="4" w:space="0" w:color="auto"/>
            </w:tcBorders>
          </w:tcPr>
          <w:p w:rsidR="009571FA" w:rsidRPr="0022291B" w:rsidRDefault="009571FA">
            <w:pPr>
              <w:jc w:val="center"/>
              <w:rPr>
                <w:rFonts w:ascii="Arial Narrow" w:hAnsi="Arial Narrow" w:cs="Arial"/>
                <w:color w:val="000000"/>
                <w:szCs w:val="20"/>
              </w:rPr>
            </w:pPr>
            <w:r w:rsidRPr="0022291B">
              <w:rPr>
                <w:rFonts w:ascii="Arial Narrow" w:hAnsi="Arial Narrow" w:cs="Arial"/>
                <w:color w:val="000000"/>
                <w:szCs w:val="20"/>
              </w:rPr>
              <w:t>1</w:t>
            </w:r>
          </w:p>
        </w:tc>
        <w:tc>
          <w:tcPr>
            <w:tcW w:w="630" w:type="dxa"/>
            <w:tcBorders>
              <w:top w:val="nil"/>
              <w:left w:val="nil"/>
              <w:bottom w:val="single" w:sz="4" w:space="0" w:color="auto"/>
              <w:right w:val="single" w:sz="4" w:space="0" w:color="auto"/>
            </w:tcBorders>
          </w:tcPr>
          <w:p w:rsidR="009571FA" w:rsidRPr="0022291B" w:rsidRDefault="009571FA">
            <w:pPr>
              <w:jc w:val="center"/>
              <w:rPr>
                <w:rFonts w:ascii="Arial Narrow" w:hAnsi="Arial Narrow" w:cs="Arial"/>
                <w:color w:val="000000"/>
                <w:szCs w:val="20"/>
              </w:rPr>
            </w:pPr>
            <w:r w:rsidRPr="0022291B">
              <w:rPr>
                <w:rFonts w:ascii="Arial Narrow" w:hAnsi="Arial Narrow" w:cs="Arial"/>
                <w:color w:val="000000"/>
                <w:szCs w:val="20"/>
              </w:rPr>
              <w:t>1</w:t>
            </w:r>
          </w:p>
        </w:tc>
        <w:tc>
          <w:tcPr>
            <w:tcW w:w="630" w:type="dxa"/>
            <w:tcBorders>
              <w:top w:val="nil"/>
              <w:left w:val="nil"/>
              <w:bottom w:val="single" w:sz="4" w:space="0" w:color="auto"/>
              <w:right w:val="single" w:sz="4" w:space="0" w:color="auto"/>
            </w:tcBorders>
          </w:tcPr>
          <w:p w:rsidR="009571FA" w:rsidRPr="0022291B" w:rsidRDefault="009571FA">
            <w:pPr>
              <w:jc w:val="center"/>
              <w:rPr>
                <w:rFonts w:ascii="Arial Narrow" w:hAnsi="Arial Narrow" w:cs="Arial"/>
                <w:color w:val="000000"/>
                <w:szCs w:val="20"/>
              </w:rPr>
            </w:pPr>
            <w:r w:rsidRPr="0022291B">
              <w:rPr>
                <w:rFonts w:ascii="Arial Narrow" w:hAnsi="Arial Narrow" w:cs="Arial"/>
                <w:color w:val="000000"/>
                <w:szCs w:val="20"/>
              </w:rPr>
              <w:t>2</w:t>
            </w:r>
          </w:p>
        </w:tc>
        <w:tc>
          <w:tcPr>
            <w:tcW w:w="630" w:type="dxa"/>
            <w:tcBorders>
              <w:top w:val="nil"/>
              <w:left w:val="nil"/>
              <w:bottom w:val="single" w:sz="4" w:space="0" w:color="auto"/>
              <w:right w:val="single" w:sz="4" w:space="0" w:color="auto"/>
            </w:tcBorders>
            <w:shd w:val="clear" w:color="auto" w:fill="FFFFCC"/>
            <w:vAlign w:val="bottom"/>
          </w:tcPr>
          <w:p w:rsidR="009571FA" w:rsidRPr="0022291B" w:rsidRDefault="009571FA">
            <w:pPr>
              <w:jc w:val="center"/>
              <w:rPr>
                <w:rFonts w:ascii="Arial Narrow" w:hAnsi="Arial Narrow" w:cs="Arial"/>
                <w:szCs w:val="20"/>
              </w:rPr>
            </w:pPr>
            <w:r w:rsidRPr="0022291B">
              <w:rPr>
                <w:rFonts w:ascii="Arial Narrow" w:hAnsi="Arial Narrow" w:cs="Arial"/>
                <w:szCs w:val="20"/>
              </w:rPr>
              <w:t>5</w:t>
            </w:r>
          </w:p>
        </w:tc>
        <w:tc>
          <w:tcPr>
            <w:tcW w:w="665" w:type="dxa"/>
            <w:tcBorders>
              <w:top w:val="nil"/>
              <w:left w:val="nil"/>
              <w:bottom w:val="single" w:sz="4" w:space="0" w:color="auto"/>
              <w:right w:val="single" w:sz="4" w:space="0" w:color="auto"/>
            </w:tcBorders>
            <w:shd w:val="clear" w:color="auto" w:fill="FFFFCC"/>
            <w:vAlign w:val="bottom"/>
          </w:tcPr>
          <w:p w:rsidR="009571FA" w:rsidRPr="0022291B" w:rsidRDefault="009571FA">
            <w:pPr>
              <w:jc w:val="center"/>
              <w:rPr>
                <w:rFonts w:ascii="Arial Narrow" w:hAnsi="Arial Narrow" w:cs="Arial"/>
                <w:szCs w:val="20"/>
              </w:rPr>
            </w:pPr>
            <w:r w:rsidRPr="0022291B">
              <w:rPr>
                <w:rFonts w:ascii="Arial Narrow" w:hAnsi="Arial Narrow" w:cs="Arial"/>
                <w:szCs w:val="20"/>
              </w:rPr>
              <w:t>60</w:t>
            </w:r>
          </w:p>
        </w:tc>
        <w:tc>
          <w:tcPr>
            <w:tcW w:w="501" w:type="dxa"/>
            <w:tcBorders>
              <w:top w:val="nil"/>
              <w:left w:val="nil"/>
              <w:bottom w:val="single" w:sz="4" w:space="0" w:color="auto"/>
              <w:right w:val="single" w:sz="4" w:space="0" w:color="auto"/>
            </w:tcBorders>
          </w:tcPr>
          <w:p w:rsidR="009571FA" w:rsidRPr="0022291B" w:rsidRDefault="009571FA">
            <w:pPr>
              <w:jc w:val="center"/>
              <w:rPr>
                <w:rFonts w:ascii="Arial Narrow" w:hAnsi="Arial Narrow" w:cs="Arial"/>
                <w:color w:val="000000"/>
                <w:szCs w:val="20"/>
              </w:rPr>
            </w:pPr>
            <w:r w:rsidRPr="0022291B">
              <w:rPr>
                <w:rFonts w:ascii="Arial Narrow" w:hAnsi="Arial Narrow" w:cs="Arial"/>
                <w:color w:val="000000"/>
                <w:szCs w:val="20"/>
              </w:rPr>
              <w:t>7</w:t>
            </w:r>
          </w:p>
        </w:tc>
        <w:tc>
          <w:tcPr>
            <w:tcW w:w="479" w:type="dxa"/>
            <w:tcBorders>
              <w:top w:val="nil"/>
              <w:left w:val="nil"/>
              <w:bottom w:val="single" w:sz="4" w:space="0" w:color="auto"/>
              <w:right w:val="single" w:sz="4" w:space="0" w:color="auto"/>
            </w:tcBorders>
          </w:tcPr>
          <w:p w:rsidR="009571FA" w:rsidRPr="0022291B" w:rsidRDefault="009571FA">
            <w:pPr>
              <w:jc w:val="center"/>
              <w:rPr>
                <w:rFonts w:ascii="Arial Narrow" w:hAnsi="Arial Narrow" w:cs="Arial"/>
                <w:color w:val="000000"/>
                <w:szCs w:val="20"/>
              </w:rPr>
            </w:pPr>
            <w:r w:rsidRPr="0022291B">
              <w:rPr>
                <w:rFonts w:ascii="Arial Narrow" w:hAnsi="Arial Narrow" w:cs="Arial"/>
                <w:color w:val="000000"/>
                <w:szCs w:val="20"/>
              </w:rPr>
              <w:t>29</w:t>
            </w:r>
          </w:p>
        </w:tc>
        <w:tc>
          <w:tcPr>
            <w:tcW w:w="501" w:type="dxa"/>
            <w:tcBorders>
              <w:top w:val="nil"/>
              <w:left w:val="nil"/>
              <w:bottom w:val="single" w:sz="4" w:space="0" w:color="auto"/>
              <w:right w:val="single" w:sz="4" w:space="0" w:color="auto"/>
            </w:tcBorders>
          </w:tcPr>
          <w:p w:rsidR="009571FA" w:rsidRPr="0022291B" w:rsidRDefault="009571FA">
            <w:pPr>
              <w:jc w:val="center"/>
              <w:rPr>
                <w:rFonts w:ascii="Arial Narrow" w:hAnsi="Arial Narrow" w:cs="Arial"/>
                <w:color w:val="000000"/>
                <w:szCs w:val="20"/>
              </w:rPr>
            </w:pPr>
            <w:r w:rsidRPr="0022291B">
              <w:rPr>
                <w:rFonts w:ascii="Arial Narrow" w:hAnsi="Arial Narrow" w:cs="Arial"/>
                <w:color w:val="000000"/>
                <w:szCs w:val="20"/>
              </w:rPr>
              <w:t>0</w:t>
            </w:r>
          </w:p>
        </w:tc>
        <w:tc>
          <w:tcPr>
            <w:tcW w:w="518" w:type="dxa"/>
            <w:tcBorders>
              <w:top w:val="nil"/>
              <w:left w:val="nil"/>
              <w:bottom w:val="single" w:sz="4" w:space="0" w:color="auto"/>
              <w:right w:val="single" w:sz="4" w:space="0" w:color="auto"/>
            </w:tcBorders>
          </w:tcPr>
          <w:p w:rsidR="009571FA" w:rsidRPr="0022291B" w:rsidRDefault="009571FA">
            <w:pPr>
              <w:jc w:val="center"/>
              <w:rPr>
                <w:rFonts w:ascii="Arial Narrow" w:hAnsi="Arial Narrow" w:cs="Arial"/>
                <w:color w:val="000000"/>
                <w:szCs w:val="20"/>
              </w:rPr>
            </w:pPr>
            <w:r w:rsidRPr="0022291B">
              <w:rPr>
                <w:rFonts w:ascii="Arial Narrow" w:hAnsi="Arial Narrow" w:cs="Arial"/>
                <w:color w:val="000000"/>
                <w:szCs w:val="20"/>
              </w:rPr>
              <w:t>0</w:t>
            </w:r>
          </w:p>
        </w:tc>
        <w:tc>
          <w:tcPr>
            <w:tcW w:w="540" w:type="dxa"/>
            <w:tcBorders>
              <w:top w:val="nil"/>
              <w:left w:val="nil"/>
              <w:bottom w:val="single" w:sz="4" w:space="0" w:color="auto"/>
              <w:right w:val="single" w:sz="4" w:space="0" w:color="auto"/>
            </w:tcBorders>
            <w:shd w:val="clear" w:color="auto" w:fill="FFFFCC"/>
            <w:vAlign w:val="bottom"/>
          </w:tcPr>
          <w:p w:rsidR="009571FA" w:rsidRPr="0022291B" w:rsidRDefault="009571FA">
            <w:pPr>
              <w:jc w:val="center"/>
              <w:rPr>
                <w:rFonts w:ascii="Arial Narrow" w:hAnsi="Arial Narrow" w:cs="Arial"/>
                <w:szCs w:val="20"/>
              </w:rPr>
            </w:pPr>
            <w:r w:rsidRPr="0022291B">
              <w:rPr>
                <w:rFonts w:ascii="Arial Narrow" w:hAnsi="Arial Narrow" w:cs="Arial"/>
                <w:szCs w:val="20"/>
              </w:rPr>
              <w:t>36</w:t>
            </w:r>
          </w:p>
        </w:tc>
        <w:tc>
          <w:tcPr>
            <w:tcW w:w="540" w:type="dxa"/>
            <w:tcBorders>
              <w:top w:val="nil"/>
              <w:left w:val="nil"/>
              <w:bottom w:val="single" w:sz="4" w:space="0" w:color="auto"/>
              <w:right w:val="single" w:sz="4" w:space="0" w:color="auto"/>
            </w:tcBorders>
            <w:shd w:val="clear" w:color="auto" w:fill="FFFFCC"/>
            <w:vAlign w:val="bottom"/>
          </w:tcPr>
          <w:p w:rsidR="009571FA" w:rsidRPr="0022291B" w:rsidRDefault="009571FA">
            <w:pPr>
              <w:jc w:val="center"/>
              <w:rPr>
                <w:rFonts w:ascii="Arial Narrow" w:hAnsi="Arial Narrow" w:cs="Arial"/>
                <w:szCs w:val="20"/>
              </w:rPr>
            </w:pPr>
            <w:r w:rsidRPr="0022291B">
              <w:rPr>
                <w:rFonts w:ascii="Arial Narrow" w:hAnsi="Arial Narrow" w:cs="Arial"/>
                <w:szCs w:val="20"/>
              </w:rPr>
              <w:t>81</w:t>
            </w:r>
          </w:p>
        </w:tc>
        <w:tc>
          <w:tcPr>
            <w:tcW w:w="576" w:type="dxa"/>
            <w:tcBorders>
              <w:top w:val="nil"/>
              <w:left w:val="nil"/>
              <w:bottom w:val="single" w:sz="4" w:space="0" w:color="auto"/>
              <w:right w:val="single" w:sz="4" w:space="0" w:color="auto"/>
            </w:tcBorders>
            <w:shd w:val="clear" w:color="auto" w:fill="FFCC99"/>
            <w:vAlign w:val="bottom"/>
          </w:tcPr>
          <w:p w:rsidR="009571FA" w:rsidRPr="0022291B" w:rsidRDefault="009571FA">
            <w:pPr>
              <w:jc w:val="center"/>
              <w:rPr>
                <w:rFonts w:ascii="Arial Narrow" w:hAnsi="Arial Narrow" w:cs="Arial"/>
                <w:szCs w:val="20"/>
              </w:rPr>
            </w:pPr>
            <w:r w:rsidRPr="0022291B">
              <w:rPr>
                <w:rFonts w:ascii="Arial Narrow" w:hAnsi="Arial Narrow" w:cs="Arial"/>
                <w:szCs w:val="20"/>
              </w:rPr>
              <w:t>41</w:t>
            </w:r>
          </w:p>
        </w:tc>
        <w:tc>
          <w:tcPr>
            <w:tcW w:w="630" w:type="dxa"/>
            <w:tcBorders>
              <w:top w:val="nil"/>
              <w:left w:val="nil"/>
              <w:bottom w:val="single" w:sz="4" w:space="0" w:color="auto"/>
              <w:right w:val="single" w:sz="4" w:space="0" w:color="auto"/>
            </w:tcBorders>
            <w:shd w:val="clear" w:color="auto" w:fill="FFCC99"/>
            <w:vAlign w:val="bottom"/>
          </w:tcPr>
          <w:p w:rsidR="009571FA" w:rsidRPr="0022291B" w:rsidRDefault="009571FA">
            <w:pPr>
              <w:jc w:val="center"/>
              <w:rPr>
                <w:rFonts w:ascii="Arial Narrow" w:hAnsi="Arial Narrow" w:cs="Arial"/>
                <w:szCs w:val="20"/>
              </w:rPr>
            </w:pPr>
            <w:r w:rsidRPr="0022291B">
              <w:rPr>
                <w:rFonts w:ascii="Arial Narrow" w:hAnsi="Arial Narrow" w:cs="Arial"/>
                <w:szCs w:val="20"/>
              </w:rPr>
              <w:t>78</w:t>
            </w:r>
          </w:p>
        </w:tc>
      </w:tr>
      <w:tr w:rsidR="009571FA" w:rsidTr="00EB368C">
        <w:trPr>
          <w:trHeight w:val="255"/>
        </w:trPr>
        <w:tc>
          <w:tcPr>
            <w:tcW w:w="738" w:type="dxa"/>
            <w:tcBorders>
              <w:top w:val="nil"/>
              <w:left w:val="single" w:sz="4" w:space="0" w:color="auto"/>
              <w:bottom w:val="single" w:sz="4" w:space="0" w:color="auto"/>
              <w:right w:val="single" w:sz="4" w:space="0" w:color="auto"/>
            </w:tcBorders>
            <w:shd w:val="clear" w:color="auto" w:fill="FFCC99"/>
          </w:tcPr>
          <w:p w:rsidR="009571FA" w:rsidRDefault="009571FA">
            <w:pPr>
              <w:jc w:val="center"/>
              <w:rPr>
                <w:rFonts w:cs="Arial"/>
                <w:b/>
                <w:color w:val="000000"/>
                <w:sz w:val="18"/>
                <w:szCs w:val="20"/>
              </w:rPr>
            </w:pPr>
            <w:r>
              <w:rPr>
                <w:rFonts w:cs="Arial"/>
                <w:b/>
                <w:color w:val="000000"/>
                <w:sz w:val="18"/>
                <w:szCs w:val="20"/>
              </w:rPr>
              <w:t>NPO</w:t>
            </w:r>
          </w:p>
        </w:tc>
        <w:tc>
          <w:tcPr>
            <w:tcW w:w="630" w:type="dxa"/>
            <w:tcBorders>
              <w:top w:val="nil"/>
              <w:left w:val="nil"/>
              <w:bottom w:val="single" w:sz="4" w:space="0" w:color="auto"/>
              <w:right w:val="single" w:sz="4" w:space="0" w:color="auto"/>
            </w:tcBorders>
          </w:tcPr>
          <w:p w:rsidR="009571FA" w:rsidRPr="0022291B" w:rsidRDefault="009571FA">
            <w:pPr>
              <w:jc w:val="center"/>
              <w:rPr>
                <w:rFonts w:ascii="Arial Narrow" w:hAnsi="Arial Narrow" w:cs="Arial"/>
                <w:color w:val="000000"/>
                <w:szCs w:val="20"/>
              </w:rPr>
            </w:pPr>
            <w:r w:rsidRPr="0022291B">
              <w:rPr>
                <w:rFonts w:ascii="Arial Narrow" w:hAnsi="Arial Narrow" w:cs="Arial"/>
                <w:color w:val="000000"/>
                <w:szCs w:val="20"/>
              </w:rPr>
              <w:t>0</w:t>
            </w:r>
          </w:p>
        </w:tc>
        <w:tc>
          <w:tcPr>
            <w:tcW w:w="630" w:type="dxa"/>
            <w:tcBorders>
              <w:top w:val="nil"/>
              <w:left w:val="nil"/>
              <w:bottom w:val="single" w:sz="4" w:space="0" w:color="auto"/>
              <w:right w:val="single" w:sz="4" w:space="0" w:color="auto"/>
            </w:tcBorders>
          </w:tcPr>
          <w:p w:rsidR="009571FA" w:rsidRPr="0022291B" w:rsidRDefault="009571FA">
            <w:pPr>
              <w:jc w:val="center"/>
              <w:rPr>
                <w:rFonts w:ascii="Arial Narrow" w:hAnsi="Arial Narrow" w:cs="Arial"/>
                <w:color w:val="000000"/>
                <w:szCs w:val="20"/>
              </w:rPr>
            </w:pPr>
            <w:r w:rsidRPr="0022291B">
              <w:rPr>
                <w:rFonts w:ascii="Arial Narrow" w:hAnsi="Arial Narrow" w:cs="Arial"/>
                <w:color w:val="000000"/>
                <w:szCs w:val="20"/>
              </w:rPr>
              <w:t>0</w:t>
            </w:r>
          </w:p>
        </w:tc>
        <w:tc>
          <w:tcPr>
            <w:tcW w:w="630" w:type="dxa"/>
            <w:tcBorders>
              <w:top w:val="nil"/>
              <w:left w:val="nil"/>
              <w:bottom w:val="single" w:sz="4" w:space="0" w:color="auto"/>
              <w:right w:val="single" w:sz="4" w:space="0" w:color="auto"/>
            </w:tcBorders>
          </w:tcPr>
          <w:p w:rsidR="009571FA" w:rsidRPr="0022291B" w:rsidRDefault="009571FA">
            <w:pPr>
              <w:jc w:val="center"/>
              <w:rPr>
                <w:rFonts w:ascii="Arial Narrow" w:hAnsi="Arial Narrow" w:cs="Arial"/>
                <w:color w:val="000000"/>
                <w:szCs w:val="20"/>
              </w:rPr>
            </w:pPr>
            <w:r w:rsidRPr="0022291B">
              <w:rPr>
                <w:rFonts w:ascii="Arial Narrow" w:hAnsi="Arial Narrow" w:cs="Arial"/>
                <w:color w:val="000000"/>
                <w:szCs w:val="20"/>
              </w:rPr>
              <w:t>1</w:t>
            </w:r>
          </w:p>
        </w:tc>
        <w:tc>
          <w:tcPr>
            <w:tcW w:w="630" w:type="dxa"/>
            <w:tcBorders>
              <w:top w:val="nil"/>
              <w:left w:val="nil"/>
              <w:bottom w:val="single" w:sz="4" w:space="0" w:color="auto"/>
              <w:right w:val="single" w:sz="4" w:space="0" w:color="auto"/>
            </w:tcBorders>
          </w:tcPr>
          <w:p w:rsidR="009571FA" w:rsidRPr="0022291B" w:rsidRDefault="009571FA">
            <w:pPr>
              <w:jc w:val="center"/>
              <w:rPr>
                <w:rFonts w:ascii="Arial Narrow" w:hAnsi="Arial Narrow" w:cs="Arial"/>
                <w:color w:val="000000"/>
                <w:szCs w:val="20"/>
              </w:rPr>
            </w:pPr>
            <w:r w:rsidRPr="0022291B">
              <w:rPr>
                <w:rFonts w:ascii="Arial Narrow" w:hAnsi="Arial Narrow" w:cs="Arial"/>
                <w:color w:val="000000"/>
                <w:szCs w:val="20"/>
              </w:rPr>
              <w:t>7</w:t>
            </w:r>
          </w:p>
        </w:tc>
        <w:tc>
          <w:tcPr>
            <w:tcW w:w="630" w:type="dxa"/>
            <w:tcBorders>
              <w:top w:val="nil"/>
              <w:left w:val="nil"/>
              <w:bottom w:val="single" w:sz="4" w:space="0" w:color="auto"/>
              <w:right w:val="single" w:sz="4" w:space="0" w:color="auto"/>
            </w:tcBorders>
            <w:shd w:val="clear" w:color="auto" w:fill="FFFFCC"/>
            <w:vAlign w:val="bottom"/>
          </w:tcPr>
          <w:p w:rsidR="009571FA" w:rsidRPr="0022291B" w:rsidRDefault="009571FA">
            <w:pPr>
              <w:jc w:val="center"/>
              <w:rPr>
                <w:rFonts w:ascii="Arial Narrow" w:hAnsi="Arial Narrow" w:cs="Arial"/>
                <w:szCs w:val="20"/>
              </w:rPr>
            </w:pPr>
            <w:r w:rsidRPr="0022291B">
              <w:rPr>
                <w:rFonts w:ascii="Arial Narrow" w:hAnsi="Arial Narrow" w:cs="Arial"/>
                <w:szCs w:val="20"/>
              </w:rPr>
              <w:t>8</w:t>
            </w:r>
          </w:p>
        </w:tc>
        <w:tc>
          <w:tcPr>
            <w:tcW w:w="665" w:type="dxa"/>
            <w:tcBorders>
              <w:top w:val="nil"/>
              <w:left w:val="nil"/>
              <w:bottom w:val="single" w:sz="4" w:space="0" w:color="auto"/>
              <w:right w:val="single" w:sz="4" w:space="0" w:color="auto"/>
            </w:tcBorders>
            <w:shd w:val="clear" w:color="auto" w:fill="FFFFCC"/>
            <w:vAlign w:val="bottom"/>
          </w:tcPr>
          <w:p w:rsidR="009571FA" w:rsidRPr="0022291B" w:rsidRDefault="009571FA">
            <w:pPr>
              <w:jc w:val="center"/>
              <w:rPr>
                <w:rFonts w:ascii="Arial Narrow" w:hAnsi="Arial Narrow" w:cs="Arial"/>
                <w:szCs w:val="20"/>
              </w:rPr>
            </w:pPr>
            <w:r w:rsidRPr="0022291B">
              <w:rPr>
                <w:rFonts w:ascii="Arial Narrow" w:hAnsi="Arial Narrow" w:cs="Arial"/>
                <w:szCs w:val="20"/>
              </w:rPr>
              <w:t>88</w:t>
            </w:r>
          </w:p>
        </w:tc>
        <w:tc>
          <w:tcPr>
            <w:tcW w:w="501" w:type="dxa"/>
            <w:tcBorders>
              <w:top w:val="nil"/>
              <w:left w:val="nil"/>
              <w:bottom w:val="single" w:sz="4" w:space="0" w:color="auto"/>
              <w:right w:val="single" w:sz="4" w:space="0" w:color="auto"/>
            </w:tcBorders>
          </w:tcPr>
          <w:p w:rsidR="009571FA" w:rsidRPr="0022291B" w:rsidRDefault="009571FA">
            <w:pPr>
              <w:jc w:val="center"/>
              <w:rPr>
                <w:rFonts w:ascii="Arial Narrow" w:hAnsi="Arial Narrow" w:cs="Arial"/>
                <w:color w:val="000000"/>
                <w:szCs w:val="20"/>
              </w:rPr>
            </w:pPr>
            <w:r w:rsidRPr="0022291B">
              <w:rPr>
                <w:rFonts w:ascii="Arial Narrow" w:hAnsi="Arial Narrow" w:cs="Arial"/>
                <w:color w:val="000000"/>
                <w:szCs w:val="20"/>
              </w:rPr>
              <w:t>0</w:t>
            </w:r>
          </w:p>
        </w:tc>
        <w:tc>
          <w:tcPr>
            <w:tcW w:w="479" w:type="dxa"/>
            <w:tcBorders>
              <w:top w:val="nil"/>
              <w:left w:val="nil"/>
              <w:bottom w:val="single" w:sz="4" w:space="0" w:color="auto"/>
              <w:right w:val="single" w:sz="4" w:space="0" w:color="auto"/>
            </w:tcBorders>
          </w:tcPr>
          <w:p w:rsidR="009571FA" w:rsidRPr="0022291B" w:rsidRDefault="009571FA">
            <w:pPr>
              <w:jc w:val="center"/>
              <w:rPr>
                <w:rFonts w:ascii="Arial Narrow" w:hAnsi="Arial Narrow" w:cs="Arial"/>
                <w:color w:val="000000"/>
                <w:szCs w:val="20"/>
              </w:rPr>
            </w:pPr>
            <w:r w:rsidRPr="0022291B">
              <w:rPr>
                <w:rFonts w:ascii="Arial Narrow" w:hAnsi="Arial Narrow" w:cs="Arial"/>
                <w:color w:val="000000"/>
                <w:szCs w:val="20"/>
              </w:rPr>
              <w:t>0</w:t>
            </w:r>
          </w:p>
        </w:tc>
        <w:tc>
          <w:tcPr>
            <w:tcW w:w="501" w:type="dxa"/>
            <w:tcBorders>
              <w:top w:val="nil"/>
              <w:left w:val="nil"/>
              <w:bottom w:val="single" w:sz="4" w:space="0" w:color="auto"/>
              <w:right w:val="single" w:sz="4" w:space="0" w:color="auto"/>
            </w:tcBorders>
          </w:tcPr>
          <w:p w:rsidR="009571FA" w:rsidRPr="0022291B" w:rsidRDefault="009571FA">
            <w:pPr>
              <w:jc w:val="center"/>
              <w:rPr>
                <w:rFonts w:ascii="Arial Narrow" w:hAnsi="Arial Narrow" w:cs="Arial"/>
                <w:color w:val="000000"/>
                <w:szCs w:val="20"/>
              </w:rPr>
            </w:pPr>
            <w:r w:rsidRPr="0022291B">
              <w:rPr>
                <w:rFonts w:ascii="Arial Narrow" w:hAnsi="Arial Narrow" w:cs="Arial"/>
                <w:color w:val="000000"/>
                <w:szCs w:val="20"/>
              </w:rPr>
              <w:t>0</w:t>
            </w:r>
          </w:p>
        </w:tc>
        <w:tc>
          <w:tcPr>
            <w:tcW w:w="518" w:type="dxa"/>
            <w:tcBorders>
              <w:top w:val="nil"/>
              <w:left w:val="nil"/>
              <w:bottom w:val="single" w:sz="4" w:space="0" w:color="auto"/>
              <w:right w:val="single" w:sz="4" w:space="0" w:color="auto"/>
            </w:tcBorders>
          </w:tcPr>
          <w:p w:rsidR="009571FA" w:rsidRPr="0022291B" w:rsidRDefault="009571FA">
            <w:pPr>
              <w:jc w:val="center"/>
              <w:rPr>
                <w:rFonts w:ascii="Arial Narrow" w:hAnsi="Arial Narrow" w:cs="Arial"/>
                <w:color w:val="000000"/>
                <w:szCs w:val="20"/>
              </w:rPr>
            </w:pPr>
            <w:r w:rsidRPr="0022291B">
              <w:rPr>
                <w:rFonts w:ascii="Arial Narrow" w:hAnsi="Arial Narrow" w:cs="Arial"/>
                <w:color w:val="000000"/>
                <w:szCs w:val="20"/>
              </w:rPr>
              <w:t>0</w:t>
            </w:r>
          </w:p>
        </w:tc>
        <w:tc>
          <w:tcPr>
            <w:tcW w:w="540" w:type="dxa"/>
            <w:tcBorders>
              <w:top w:val="nil"/>
              <w:left w:val="nil"/>
              <w:bottom w:val="single" w:sz="4" w:space="0" w:color="auto"/>
              <w:right w:val="single" w:sz="4" w:space="0" w:color="auto"/>
            </w:tcBorders>
            <w:shd w:val="clear" w:color="auto" w:fill="FFFFCC"/>
            <w:vAlign w:val="bottom"/>
          </w:tcPr>
          <w:p w:rsidR="009571FA" w:rsidRPr="0022291B" w:rsidRDefault="009571FA">
            <w:pPr>
              <w:jc w:val="center"/>
              <w:rPr>
                <w:rFonts w:ascii="Arial Narrow" w:hAnsi="Arial Narrow" w:cs="Arial"/>
                <w:szCs w:val="20"/>
              </w:rPr>
            </w:pPr>
            <w:r w:rsidRPr="0022291B">
              <w:rPr>
                <w:rFonts w:ascii="Arial Narrow" w:hAnsi="Arial Narrow" w:cs="Arial"/>
                <w:szCs w:val="20"/>
              </w:rPr>
              <w:t>0</w:t>
            </w:r>
          </w:p>
        </w:tc>
        <w:tc>
          <w:tcPr>
            <w:tcW w:w="540" w:type="dxa"/>
            <w:tcBorders>
              <w:top w:val="nil"/>
              <w:left w:val="nil"/>
              <w:bottom w:val="single" w:sz="4" w:space="0" w:color="auto"/>
              <w:right w:val="single" w:sz="4" w:space="0" w:color="auto"/>
            </w:tcBorders>
            <w:shd w:val="clear" w:color="auto" w:fill="FFFFCC"/>
            <w:vAlign w:val="bottom"/>
          </w:tcPr>
          <w:p w:rsidR="009571FA" w:rsidRPr="0022291B" w:rsidRDefault="009571FA">
            <w:pPr>
              <w:jc w:val="center"/>
              <w:rPr>
                <w:rFonts w:ascii="Arial Narrow" w:hAnsi="Arial Narrow" w:cs="Arial"/>
                <w:szCs w:val="20"/>
              </w:rPr>
            </w:pPr>
            <w:r w:rsidRPr="0022291B">
              <w:rPr>
                <w:rFonts w:ascii="Arial Narrow" w:hAnsi="Arial Narrow" w:cs="Arial"/>
                <w:szCs w:val="20"/>
              </w:rPr>
              <w:t>0</w:t>
            </w:r>
          </w:p>
        </w:tc>
        <w:tc>
          <w:tcPr>
            <w:tcW w:w="576" w:type="dxa"/>
            <w:tcBorders>
              <w:top w:val="nil"/>
              <w:left w:val="nil"/>
              <w:bottom w:val="single" w:sz="4" w:space="0" w:color="auto"/>
              <w:right w:val="single" w:sz="4" w:space="0" w:color="auto"/>
            </w:tcBorders>
            <w:shd w:val="clear" w:color="auto" w:fill="FFCC99"/>
            <w:vAlign w:val="bottom"/>
          </w:tcPr>
          <w:p w:rsidR="009571FA" w:rsidRPr="0022291B" w:rsidRDefault="009571FA">
            <w:pPr>
              <w:jc w:val="center"/>
              <w:rPr>
                <w:rFonts w:ascii="Arial Narrow" w:hAnsi="Arial Narrow" w:cs="Arial"/>
                <w:szCs w:val="20"/>
              </w:rPr>
            </w:pPr>
            <w:r w:rsidRPr="0022291B">
              <w:rPr>
                <w:rFonts w:ascii="Arial Narrow" w:hAnsi="Arial Narrow" w:cs="Arial"/>
                <w:szCs w:val="20"/>
              </w:rPr>
              <w:t>8</w:t>
            </w:r>
          </w:p>
        </w:tc>
        <w:tc>
          <w:tcPr>
            <w:tcW w:w="630" w:type="dxa"/>
            <w:tcBorders>
              <w:top w:val="nil"/>
              <w:left w:val="nil"/>
              <w:bottom w:val="single" w:sz="4" w:space="0" w:color="auto"/>
              <w:right w:val="single" w:sz="4" w:space="0" w:color="auto"/>
            </w:tcBorders>
            <w:shd w:val="clear" w:color="auto" w:fill="FFCC99"/>
            <w:vAlign w:val="bottom"/>
          </w:tcPr>
          <w:p w:rsidR="009571FA" w:rsidRPr="0022291B" w:rsidRDefault="009571FA">
            <w:pPr>
              <w:jc w:val="center"/>
              <w:rPr>
                <w:rFonts w:ascii="Arial Narrow" w:hAnsi="Arial Narrow" w:cs="Arial"/>
                <w:szCs w:val="20"/>
              </w:rPr>
            </w:pPr>
            <w:r w:rsidRPr="0022291B">
              <w:rPr>
                <w:rFonts w:ascii="Arial Narrow" w:hAnsi="Arial Narrow" w:cs="Arial"/>
                <w:szCs w:val="20"/>
              </w:rPr>
              <w:t>88</w:t>
            </w:r>
          </w:p>
        </w:tc>
      </w:tr>
      <w:tr w:rsidR="009571FA" w:rsidTr="00EB368C">
        <w:trPr>
          <w:trHeight w:val="242"/>
        </w:trPr>
        <w:tc>
          <w:tcPr>
            <w:tcW w:w="738" w:type="dxa"/>
            <w:tcBorders>
              <w:top w:val="nil"/>
              <w:left w:val="single" w:sz="4" w:space="0" w:color="auto"/>
              <w:bottom w:val="single" w:sz="4" w:space="0" w:color="auto"/>
              <w:right w:val="single" w:sz="4" w:space="0" w:color="auto"/>
            </w:tcBorders>
            <w:shd w:val="clear" w:color="auto" w:fill="CCCCFF"/>
          </w:tcPr>
          <w:p w:rsidR="009571FA" w:rsidRDefault="009571FA">
            <w:pPr>
              <w:jc w:val="center"/>
              <w:rPr>
                <w:rFonts w:cs="Arial"/>
                <w:b/>
                <w:bCs/>
                <w:color w:val="000000"/>
                <w:sz w:val="10"/>
                <w:szCs w:val="20"/>
              </w:rPr>
            </w:pPr>
          </w:p>
          <w:p w:rsidR="009571FA" w:rsidRDefault="009571FA">
            <w:pPr>
              <w:jc w:val="center"/>
              <w:rPr>
                <w:rFonts w:cs="Arial"/>
                <w:b/>
                <w:bCs/>
                <w:color w:val="000000"/>
                <w:sz w:val="18"/>
                <w:szCs w:val="20"/>
              </w:rPr>
            </w:pPr>
            <w:r>
              <w:rPr>
                <w:rFonts w:cs="Arial"/>
                <w:b/>
                <w:bCs/>
                <w:color w:val="000000"/>
                <w:sz w:val="18"/>
                <w:szCs w:val="20"/>
              </w:rPr>
              <w:t>Total</w:t>
            </w:r>
          </w:p>
        </w:tc>
        <w:tc>
          <w:tcPr>
            <w:tcW w:w="630" w:type="dxa"/>
            <w:tcBorders>
              <w:top w:val="nil"/>
              <w:left w:val="nil"/>
              <w:bottom w:val="single" w:sz="4" w:space="0" w:color="auto"/>
              <w:right w:val="single" w:sz="4" w:space="0" w:color="auto"/>
            </w:tcBorders>
            <w:shd w:val="clear" w:color="auto" w:fill="CCCCFF"/>
          </w:tcPr>
          <w:p w:rsidR="009571FA" w:rsidRPr="0022291B" w:rsidRDefault="009571FA">
            <w:pPr>
              <w:jc w:val="center"/>
              <w:rPr>
                <w:rFonts w:ascii="Arial Narrow" w:hAnsi="Arial Narrow" w:cs="Arial"/>
                <w:b/>
                <w:bCs/>
                <w:color w:val="000000"/>
                <w:szCs w:val="20"/>
              </w:rPr>
            </w:pPr>
          </w:p>
          <w:p w:rsidR="009571FA" w:rsidRPr="0022291B" w:rsidRDefault="009571FA">
            <w:pPr>
              <w:jc w:val="center"/>
              <w:rPr>
                <w:rFonts w:ascii="Arial Narrow" w:hAnsi="Arial Narrow" w:cs="Arial"/>
                <w:b/>
                <w:bCs/>
                <w:color w:val="000000"/>
                <w:szCs w:val="20"/>
              </w:rPr>
            </w:pPr>
            <w:r w:rsidRPr="0022291B">
              <w:rPr>
                <w:rFonts w:ascii="Arial Narrow" w:hAnsi="Arial Narrow" w:cs="Arial"/>
                <w:b/>
                <w:bCs/>
                <w:color w:val="000000"/>
                <w:szCs w:val="20"/>
              </w:rPr>
              <w:t>7</w:t>
            </w:r>
          </w:p>
        </w:tc>
        <w:tc>
          <w:tcPr>
            <w:tcW w:w="630" w:type="dxa"/>
            <w:tcBorders>
              <w:top w:val="nil"/>
              <w:left w:val="nil"/>
              <w:bottom w:val="single" w:sz="4" w:space="0" w:color="auto"/>
              <w:right w:val="single" w:sz="4" w:space="0" w:color="auto"/>
            </w:tcBorders>
            <w:shd w:val="clear" w:color="auto" w:fill="CCCCFF"/>
          </w:tcPr>
          <w:p w:rsidR="009571FA" w:rsidRPr="0022291B" w:rsidRDefault="009571FA">
            <w:pPr>
              <w:jc w:val="center"/>
              <w:rPr>
                <w:rFonts w:ascii="Arial Narrow" w:hAnsi="Arial Narrow" w:cs="Arial"/>
                <w:b/>
                <w:bCs/>
                <w:color w:val="000000"/>
                <w:szCs w:val="20"/>
              </w:rPr>
            </w:pPr>
          </w:p>
          <w:p w:rsidR="009571FA" w:rsidRPr="0022291B" w:rsidRDefault="009571FA">
            <w:pPr>
              <w:jc w:val="center"/>
              <w:rPr>
                <w:rFonts w:ascii="Arial Narrow" w:hAnsi="Arial Narrow" w:cs="Arial"/>
                <w:b/>
                <w:bCs/>
                <w:color w:val="000000"/>
                <w:szCs w:val="20"/>
              </w:rPr>
            </w:pPr>
            <w:r w:rsidRPr="0022291B">
              <w:rPr>
                <w:rFonts w:ascii="Arial Narrow" w:hAnsi="Arial Narrow" w:cs="Arial"/>
                <w:b/>
                <w:bCs/>
                <w:color w:val="000000"/>
                <w:szCs w:val="20"/>
              </w:rPr>
              <w:t>5</w:t>
            </w:r>
          </w:p>
        </w:tc>
        <w:tc>
          <w:tcPr>
            <w:tcW w:w="630" w:type="dxa"/>
            <w:tcBorders>
              <w:top w:val="nil"/>
              <w:left w:val="nil"/>
              <w:bottom w:val="single" w:sz="4" w:space="0" w:color="auto"/>
              <w:right w:val="single" w:sz="4" w:space="0" w:color="auto"/>
            </w:tcBorders>
            <w:shd w:val="clear" w:color="auto" w:fill="CCCCFF"/>
          </w:tcPr>
          <w:p w:rsidR="009571FA" w:rsidRPr="0022291B" w:rsidRDefault="009571FA">
            <w:pPr>
              <w:jc w:val="center"/>
              <w:rPr>
                <w:rFonts w:ascii="Arial Narrow" w:hAnsi="Arial Narrow" w:cs="Arial"/>
                <w:b/>
                <w:bCs/>
                <w:color w:val="000000"/>
                <w:szCs w:val="20"/>
              </w:rPr>
            </w:pPr>
          </w:p>
          <w:p w:rsidR="009571FA" w:rsidRPr="0022291B" w:rsidRDefault="009571FA">
            <w:pPr>
              <w:jc w:val="center"/>
              <w:rPr>
                <w:rFonts w:ascii="Arial Narrow" w:hAnsi="Arial Narrow" w:cs="Arial"/>
                <w:b/>
                <w:bCs/>
                <w:color w:val="000000"/>
                <w:szCs w:val="20"/>
              </w:rPr>
            </w:pPr>
            <w:r w:rsidRPr="0022291B">
              <w:rPr>
                <w:rFonts w:ascii="Arial Narrow" w:hAnsi="Arial Narrow" w:cs="Arial"/>
                <w:b/>
                <w:bCs/>
                <w:color w:val="000000"/>
                <w:szCs w:val="20"/>
              </w:rPr>
              <w:t>9</w:t>
            </w:r>
          </w:p>
        </w:tc>
        <w:tc>
          <w:tcPr>
            <w:tcW w:w="630" w:type="dxa"/>
            <w:tcBorders>
              <w:top w:val="nil"/>
              <w:left w:val="nil"/>
              <w:bottom w:val="single" w:sz="4" w:space="0" w:color="auto"/>
              <w:right w:val="single" w:sz="4" w:space="0" w:color="auto"/>
            </w:tcBorders>
            <w:shd w:val="clear" w:color="auto" w:fill="CCCCFF"/>
          </w:tcPr>
          <w:p w:rsidR="009571FA" w:rsidRPr="0022291B" w:rsidRDefault="009571FA">
            <w:pPr>
              <w:jc w:val="center"/>
              <w:rPr>
                <w:rFonts w:ascii="Arial Narrow" w:hAnsi="Arial Narrow" w:cs="Arial"/>
                <w:b/>
                <w:bCs/>
                <w:color w:val="000000"/>
                <w:szCs w:val="20"/>
              </w:rPr>
            </w:pPr>
          </w:p>
          <w:p w:rsidR="009571FA" w:rsidRPr="0022291B" w:rsidRDefault="009571FA">
            <w:pPr>
              <w:jc w:val="center"/>
              <w:rPr>
                <w:rFonts w:ascii="Arial Narrow" w:hAnsi="Arial Narrow" w:cs="Arial"/>
                <w:b/>
                <w:bCs/>
                <w:color w:val="000000"/>
                <w:szCs w:val="20"/>
              </w:rPr>
            </w:pPr>
            <w:r w:rsidRPr="0022291B">
              <w:rPr>
                <w:rFonts w:ascii="Arial Narrow" w:hAnsi="Arial Narrow" w:cs="Arial"/>
                <w:b/>
                <w:bCs/>
                <w:color w:val="000000"/>
                <w:szCs w:val="20"/>
              </w:rPr>
              <w:t>14</w:t>
            </w:r>
          </w:p>
        </w:tc>
        <w:tc>
          <w:tcPr>
            <w:tcW w:w="630" w:type="dxa"/>
            <w:tcBorders>
              <w:top w:val="nil"/>
              <w:left w:val="nil"/>
              <w:bottom w:val="single" w:sz="4" w:space="0" w:color="auto"/>
              <w:right w:val="single" w:sz="4" w:space="0" w:color="auto"/>
            </w:tcBorders>
            <w:shd w:val="clear" w:color="auto" w:fill="CCCCFF"/>
          </w:tcPr>
          <w:p w:rsidR="009571FA" w:rsidRPr="0022291B" w:rsidRDefault="009571FA">
            <w:pPr>
              <w:rPr>
                <w:rFonts w:ascii="Arial Narrow" w:hAnsi="Arial Narrow" w:cs="Arial"/>
                <w:b/>
                <w:bCs/>
                <w:color w:val="000000"/>
                <w:szCs w:val="20"/>
              </w:rPr>
            </w:pPr>
            <w:r w:rsidRPr="0022291B">
              <w:rPr>
                <w:rFonts w:ascii="Arial Narrow" w:hAnsi="Arial Narrow" w:cs="Arial"/>
                <w:b/>
                <w:bCs/>
                <w:color w:val="000000"/>
                <w:szCs w:val="20"/>
              </w:rPr>
              <w:t xml:space="preserve">  </w:t>
            </w:r>
          </w:p>
          <w:p w:rsidR="009571FA" w:rsidRPr="0022291B" w:rsidRDefault="009571FA">
            <w:pPr>
              <w:jc w:val="center"/>
              <w:rPr>
                <w:rFonts w:ascii="Arial Narrow" w:hAnsi="Arial Narrow" w:cs="Arial"/>
                <w:b/>
                <w:bCs/>
                <w:color w:val="000000"/>
                <w:szCs w:val="20"/>
              </w:rPr>
            </w:pPr>
            <w:r w:rsidRPr="0022291B">
              <w:rPr>
                <w:rFonts w:ascii="Arial Narrow" w:hAnsi="Arial Narrow" w:cs="Arial"/>
                <w:b/>
                <w:bCs/>
                <w:color w:val="000000"/>
                <w:szCs w:val="20"/>
              </w:rPr>
              <w:t>35</w:t>
            </w:r>
          </w:p>
        </w:tc>
        <w:tc>
          <w:tcPr>
            <w:tcW w:w="665" w:type="dxa"/>
            <w:tcBorders>
              <w:top w:val="nil"/>
              <w:left w:val="nil"/>
              <w:bottom w:val="single" w:sz="4" w:space="0" w:color="auto"/>
              <w:right w:val="single" w:sz="4" w:space="0" w:color="auto"/>
            </w:tcBorders>
            <w:shd w:val="clear" w:color="auto" w:fill="CCCCFF"/>
            <w:vAlign w:val="bottom"/>
          </w:tcPr>
          <w:p w:rsidR="009571FA" w:rsidRPr="0022291B" w:rsidRDefault="009571FA">
            <w:pPr>
              <w:jc w:val="center"/>
              <w:rPr>
                <w:rFonts w:ascii="Arial Narrow" w:hAnsi="Arial Narrow" w:cs="Arial"/>
                <w:b/>
                <w:bCs/>
                <w:szCs w:val="20"/>
              </w:rPr>
            </w:pPr>
            <w:r w:rsidRPr="0022291B">
              <w:rPr>
                <w:rFonts w:ascii="Arial Narrow" w:hAnsi="Arial Narrow" w:cs="Arial"/>
                <w:b/>
                <w:bCs/>
                <w:szCs w:val="20"/>
              </w:rPr>
              <w:t>54</w:t>
            </w:r>
          </w:p>
        </w:tc>
        <w:tc>
          <w:tcPr>
            <w:tcW w:w="501" w:type="dxa"/>
            <w:tcBorders>
              <w:top w:val="nil"/>
              <w:left w:val="nil"/>
              <w:bottom w:val="single" w:sz="4" w:space="0" w:color="auto"/>
              <w:right w:val="single" w:sz="4" w:space="0" w:color="auto"/>
            </w:tcBorders>
            <w:shd w:val="clear" w:color="auto" w:fill="CCCCFF"/>
          </w:tcPr>
          <w:p w:rsidR="009571FA" w:rsidRPr="0022291B" w:rsidRDefault="009571FA">
            <w:pPr>
              <w:jc w:val="center"/>
              <w:rPr>
                <w:rFonts w:ascii="Arial Narrow" w:hAnsi="Arial Narrow" w:cs="Arial"/>
                <w:b/>
                <w:bCs/>
                <w:color w:val="000000"/>
                <w:szCs w:val="20"/>
              </w:rPr>
            </w:pPr>
          </w:p>
          <w:p w:rsidR="009571FA" w:rsidRPr="0022291B" w:rsidRDefault="009571FA">
            <w:pPr>
              <w:jc w:val="center"/>
              <w:rPr>
                <w:rFonts w:ascii="Arial Narrow" w:hAnsi="Arial Narrow" w:cs="Arial"/>
                <w:b/>
                <w:bCs/>
                <w:color w:val="000000"/>
                <w:szCs w:val="20"/>
              </w:rPr>
            </w:pPr>
            <w:r w:rsidRPr="0022291B">
              <w:rPr>
                <w:rFonts w:ascii="Arial Narrow" w:hAnsi="Arial Narrow" w:cs="Arial"/>
                <w:b/>
                <w:bCs/>
                <w:color w:val="000000"/>
                <w:szCs w:val="20"/>
              </w:rPr>
              <w:t>37</w:t>
            </w:r>
          </w:p>
        </w:tc>
        <w:tc>
          <w:tcPr>
            <w:tcW w:w="479" w:type="dxa"/>
            <w:tcBorders>
              <w:top w:val="nil"/>
              <w:left w:val="nil"/>
              <w:bottom w:val="single" w:sz="4" w:space="0" w:color="auto"/>
              <w:right w:val="single" w:sz="4" w:space="0" w:color="auto"/>
            </w:tcBorders>
            <w:shd w:val="clear" w:color="auto" w:fill="CCCCFF"/>
          </w:tcPr>
          <w:p w:rsidR="009571FA" w:rsidRPr="0022291B" w:rsidRDefault="009571FA">
            <w:pPr>
              <w:jc w:val="center"/>
              <w:rPr>
                <w:rFonts w:ascii="Arial Narrow" w:hAnsi="Arial Narrow" w:cs="Arial"/>
                <w:b/>
                <w:bCs/>
                <w:color w:val="000000"/>
                <w:szCs w:val="20"/>
              </w:rPr>
            </w:pPr>
          </w:p>
          <w:p w:rsidR="009571FA" w:rsidRPr="0022291B" w:rsidRDefault="009571FA">
            <w:pPr>
              <w:jc w:val="center"/>
              <w:rPr>
                <w:rFonts w:ascii="Arial Narrow" w:hAnsi="Arial Narrow" w:cs="Arial"/>
                <w:b/>
                <w:bCs/>
                <w:color w:val="000000"/>
                <w:szCs w:val="20"/>
              </w:rPr>
            </w:pPr>
            <w:r w:rsidRPr="0022291B">
              <w:rPr>
                <w:rFonts w:ascii="Arial Narrow" w:hAnsi="Arial Narrow" w:cs="Arial"/>
                <w:b/>
                <w:bCs/>
                <w:color w:val="000000"/>
                <w:szCs w:val="20"/>
              </w:rPr>
              <w:t>76</w:t>
            </w:r>
          </w:p>
        </w:tc>
        <w:tc>
          <w:tcPr>
            <w:tcW w:w="501" w:type="dxa"/>
            <w:tcBorders>
              <w:top w:val="nil"/>
              <w:left w:val="nil"/>
              <w:bottom w:val="single" w:sz="4" w:space="0" w:color="auto"/>
              <w:right w:val="single" w:sz="4" w:space="0" w:color="auto"/>
            </w:tcBorders>
            <w:shd w:val="clear" w:color="auto" w:fill="CCCCFF"/>
          </w:tcPr>
          <w:p w:rsidR="009571FA" w:rsidRPr="0022291B" w:rsidRDefault="009571FA">
            <w:pPr>
              <w:jc w:val="center"/>
              <w:rPr>
                <w:rFonts w:ascii="Arial Narrow" w:hAnsi="Arial Narrow" w:cs="Arial"/>
                <w:b/>
                <w:bCs/>
                <w:color w:val="000000"/>
                <w:szCs w:val="20"/>
              </w:rPr>
            </w:pPr>
          </w:p>
          <w:p w:rsidR="009571FA" w:rsidRPr="0022291B" w:rsidRDefault="009571FA">
            <w:pPr>
              <w:jc w:val="center"/>
              <w:rPr>
                <w:rFonts w:ascii="Arial Narrow" w:hAnsi="Arial Narrow" w:cs="Arial"/>
                <w:b/>
                <w:bCs/>
                <w:color w:val="000000"/>
                <w:szCs w:val="20"/>
              </w:rPr>
            </w:pPr>
            <w:r w:rsidRPr="0022291B">
              <w:rPr>
                <w:rFonts w:ascii="Arial Narrow" w:hAnsi="Arial Narrow" w:cs="Arial"/>
                <w:b/>
                <w:bCs/>
                <w:color w:val="000000"/>
                <w:szCs w:val="20"/>
              </w:rPr>
              <w:t>15</w:t>
            </w:r>
          </w:p>
        </w:tc>
        <w:tc>
          <w:tcPr>
            <w:tcW w:w="518" w:type="dxa"/>
            <w:tcBorders>
              <w:top w:val="nil"/>
              <w:left w:val="nil"/>
              <w:bottom w:val="single" w:sz="4" w:space="0" w:color="auto"/>
              <w:right w:val="single" w:sz="4" w:space="0" w:color="auto"/>
            </w:tcBorders>
            <w:shd w:val="clear" w:color="auto" w:fill="CCCCFF"/>
          </w:tcPr>
          <w:p w:rsidR="009571FA" w:rsidRPr="0022291B" w:rsidRDefault="009571FA">
            <w:pPr>
              <w:jc w:val="center"/>
              <w:rPr>
                <w:rFonts w:ascii="Arial Narrow" w:hAnsi="Arial Narrow" w:cs="Arial"/>
                <w:b/>
                <w:bCs/>
                <w:color w:val="000000"/>
                <w:szCs w:val="20"/>
              </w:rPr>
            </w:pPr>
          </w:p>
          <w:p w:rsidR="009571FA" w:rsidRPr="0022291B" w:rsidRDefault="009571FA">
            <w:pPr>
              <w:jc w:val="center"/>
              <w:rPr>
                <w:rFonts w:ascii="Arial Narrow" w:hAnsi="Arial Narrow" w:cs="Arial"/>
                <w:b/>
                <w:bCs/>
                <w:color w:val="000000"/>
                <w:szCs w:val="20"/>
              </w:rPr>
            </w:pPr>
            <w:r w:rsidRPr="0022291B">
              <w:rPr>
                <w:rFonts w:ascii="Arial Narrow" w:hAnsi="Arial Narrow" w:cs="Arial"/>
                <w:b/>
                <w:bCs/>
                <w:color w:val="000000"/>
                <w:szCs w:val="20"/>
              </w:rPr>
              <w:t>7</w:t>
            </w:r>
          </w:p>
        </w:tc>
        <w:tc>
          <w:tcPr>
            <w:tcW w:w="540" w:type="dxa"/>
            <w:tcBorders>
              <w:top w:val="nil"/>
              <w:left w:val="nil"/>
              <w:bottom w:val="single" w:sz="4" w:space="0" w:color="auto"/>
              <w:right w:val="single" w:sz="4" w:space="0" w:color="auto"/>
            </w:tcBorders>
            <w:shd w:val="clear" w:color="auto" w:fill="CCCCFF"/>
          </w:tcPr>
          <w:p w:rsidR="009571FA" w:rsidRPr="0022291B" w:rsidRDefault="009571FA">
            <w:pPr>
              <w:jc w:val="center"/>
              <w:rPr>
                <w:rFonts w:ascii="Arial Narrow" w:hAnsi="Arial Narrow" w:cs="Arial"/>
                <w:b/>
                <w:bCs/>
                <w:color w:val="000000"/>
                <w:szCs w:val="20"/>
              </w:rPr>
            </w:pPr>
          </w:p>
          <w:p w:rsidR="009571FA" w:rsidRPr="0022291B" w:rsidRDefault="009571FA">
            <w:pPr>
              <w:jc w:val="center"/>
              <w:rPr>
                <w:rFonts w:ascii="Arial Narrow" w:hAnsi="Arial Narrow" w:cs="Arial"/>
                <w:b/>
                <w:bCs/>
                <w:color w:val="000000"/>
                <w:szCs w:val="20"/>
              </w:rPr>
            </w:pPr>
            <w:r w:rsidRPr="0022291B">
              <w:rPr>
                <w:rFonts w:ascii="Arial Narrow" w:hAnsi="Arial Narrow" w:cs="Arial"/>
                <w:b/>
                <w:bCs/>
                <w:color w:val="000000"/>
                <w:szCs w:val="20"/>
              </w:rPr>
              <w:t>135</w:t>
            </w:r>
          </w:p>
        </w:tc>
        <w:tc>
          <w:tcPr>
            <w:tcW w:w="540" w:type="dxa"/>
            <w:tcBorders>
              <w:top w:val="nil"/>
              <w:left w:val="nil"/>
              <w:bottom w:val="single" w:sz="4" w:space="0" w:color="auto"/>
              <w:right w:val="single" w:sz="4" w:space="0" w:color="auto"/>
            </w:tcBorders>
            <w:shd w:val="clear" w:color="auto" w:fill="CCCCFF"/>
            <w:vAlign w:val="bottom"/>
          </w:tcPr>
          <w:p w:rsidR="009571FA" w:rsidRPr="0022291B" w:rsidRDefault="009571FA">
            <w:pPr>
              <w:jc w:val="center"/>
              <w:rPr>
                <w:rFonts w:ascii="Arial Narrow" w:hAnsi="Arial Narrow" w:cs="Arial"/>
                <w:b/>
                <w:bCs/>
                <w:szCs w:val="20"/>
              </w:rPr>
            </w:pPr>
            <w:r w:rsidRPr="0022291B">
              <w:rPr>
                <w:rFonts w:ascii="Arial Narrow" w:hAnsi="Arial Narrow" w:cs="Arial"/>
                <w:b/>
                <w:bCs/>
                <w:szCs w:val="20"/>
              </w:rPr>
              <w:t>61</w:t>
            </w:r>
          </w:p>
        </w:tc>
        <w:tc>
          <w:tcPr>
            <w:tcW w:w="576" w:type="dxa"/>
            <w:tcBorders>
              <w:top w:val="nil"/>
              <w:left w:val="nil"/>
              <w:bottom w:val="single" w:sz="4" w:space="0" w:color="auto"/>
              <w:right w:val="single" w:sz="4" w:space="0" w:color="auto"/>
            </w:tcBorders>
            <w:shd w:val="clear" w:color="auto" w:fill="CCCCFF"/>
          </w:tcPr>
          <w:p w:rsidR="009571FA" w:rsidRPr="0022291B" w:rsidRDefault="009571FA">
            <w:pPr>
              <w:jc w:val="center"/>
              <w:rPr>
                <w:rFonts w:ascii="Arial Narrow" w:hAnsi="Arial Narrow" w:cs="Arial"/>
                <w:b/>
                <w:bCs/>
                <w:color w:val="000000"/>
                <w:szCs w:val="20"/>
              </w:rPr>
            </w:pPr>
          </w:p>
          <w:p w:rsidR="009571FA" w:rsidRPr="0022291B" w:rsidRDefault="009571FA">
            <w:pPr>
              <w:jc w:val="center"/>
              <w:rPr>
                <w:rFonts w:ascii="Arial Narrow" w:hAnsi="Arial Narrow" w:cs="Arial"/>
                <w:b/>
                <w:bCs/>
                <w:color w:val="000000"/>
                <w:szCs w:val="20"/>
              </w:rPr>
            </w:pPr>
            <w:r w:rsidRPr="0022291B">
              <w:rPr>
                <w:rFonts w:ascii="Arial Narrow" w:hAnsi="Arial Narrow" w:cs="Arial"/>
                <w:b/>
                <w:bCs/>
                <w:color w:val="000000"/>
                <w:szCs w:val="20"/>
              </w:rPr>
              <w:t>170</w:t>
            </w:r>
          </w:p>
        </w:tc>
        <w:tc>
          <w:tcPr>
            <w:tcW w:w="630" w:type="dxa"/>
            <w:tcBorders>
              <w:top w:val="nil"/>
              <w:left w:val="nil"/>
              <w:bottom w:val="single" w:sz="4" w:space="0" w:color="auto"/>
              <w:right w:val="single" w:sz="4" w:space="0" w:color="auto"/>
            </w:tcBorders>
            <w:shd w:val="clear" w:color="auto" w:fill="CCCCFF"/>
            <w:vAlign w:val="bottom"/>
          </w:tcPr>
          <w:p w:rsidR="009571FA" w:rsidRPr="0022291B" w:rsidRDefault="009571FA">
            <w:pPr>
              <w:jc w:val="center"/>
              <w:rPr>
                <w:rFonts w:ascii="Arial Narrow" w:hAnsi="Arial Narrow" w:cs="Arial"/>
                <w:b/>
                <w:bCs/>
                <w:szCs w:val="20"/>
              </w:rPr>
            </w:pPr>
            <w:r w:rsidRPr="0022291B">
              <w:rPr>
                <w:rFonts w:ascii="Arial Narrow" w:hAnsi="Arial Narrow" w:cs="Arial"/>
                <w:b/>
                <w:bCs/>
                <w:szCs w:val="20"/>
              </w:rPr>
              <w:t>60</w:t>
            </w:r>
          </w:p>
        </w:tc>
      </w:tr>
    </w:tbl>
    <w:p w:rsidR="009571FA" w:rsidRPr="0022291B" w:rsidRDefault="009571FA" w:rsidP="00573033">
      <w:pPr>
        <w:rPr>
          <w:sz w:val="10"/>
          <w:szCs w:val="22"/>
        </w:rPr>
      </w:pPr>
    </w:p>
    <w:p w:rsidR="009571FA" w:rsidRPr="00EB368C" w:rsidRDefault="009571FA" w:rsidP="00573033">
      <w:pPr>
        <w:pStyle w:val="ListParagraph"/>
        <w:ind w:left="810"/>
        <w:rPr>
          <w:sz w:val="6"/>
        </w:rPr>
      </w:pPr>
    </w:p>
    <w:p w:rsidR="003D65A2" w:rsidRPr="00EB368C" w:rsidRDefault="003D65A2" w:rsidP="00573033">
      <w:pPr>
        <w:pStyle w:val="ListParagraph"/>
        <w:ind w:left="810"/>
        <w:rPr>
          <w:sz w:val="2"/>
        </w:rPr>
      </w:pPr>
    </w:p>
    <w:tbl>
      <w:tblPr>
        <w:tblpPr w:leftFromText="180" w:rightFromText="180" w:vertAnchor="text" w:horzAnchor="margin" w:tblpXSpec="center" w:tblpY="259"/>
        <w:tblW w:w="0" w:type="auto"/>
        <w:tblLayout w:type="fixed"/>
        <w:tblLook w:val="00A0"/>
      </w:tblPr>
      <w:tblGrid>
        <w:gridCol w:w="757"/>
        <w:gridCol w:w="617"/>
        <w:gridCol w:w="587"/>
        <w:gridCol w:w="617"/>
        <w:gridCol w:w="680"/>
        <w:gridCol w:w="540"/>
        <w:gridCol w:w="630"/>
        <w:gridCol w:w="540"/>
        <w:gridCol w:w="540"/>
        <w:gridCol w:w="540"/>
        <w:gridCol w:w="540"/>
        <w:gridCol w:w="540"/>
        <w:gridCol w:w="540"/>
        <w:gridCol w:w="630"/>
        <w:gridCol w:w="540"/>
      </w:tblGrid>
      <w:tr w:rsidR="003D65A2" w:rsidTr="00EB368C">
        <w:trPr>
          <w:trHeight w:val="255"/>
        </w:trPr>
        <w:tc>
          <w:tcPr>
            <w:tcW w:w="757" w:type="dxa"/>
            <w:vMerge w:val="restart"/>
            <w:tcBorders>
              <w:top w:val="single" w:sz="4" w:space="0" w:color="auto"/>
              <w:left w:val="single" w:sz="4" w:space="0" w:color="auto"/>
              <w:bottom w:val="single" w:sz="4" w:space="0" w:color="auto"/>
              <w:right w:val="single" w:sz="4" w:space="0" w:color="auto"/>
            </w:tcBorders>
            <w:shd w:val="clear" w:color="auto" w:fill="FFCC99"/>
          </w:tcPr>
          <w:p w:rsidR="00EB368C" w:rsidRDefault="00EB368C" w:rsidP="00EB368C">
            <w:pPr>
              <w:jc w:val="center"/>
              <w:rPr>
                <w:rFonts w:cs="Arial"/>
                <w:b/>
                <w:bCs/>
                <w:color w:val="000000"/>
                <w:sz w:val="18"/>
                <w:szCs w:val="20"/>
              </w:rPr>
            </w:pPr>
          </w:p>
          <w:p w:rsidR="00EB368C" w:rsidRDefault="00EB368C" w:rsidP="00EB368C">
            <w:pPr>
              <w:jc w:val="center"/>
              <w:rPr>
                <w:rFonts w:cs="Arial"/>
                <w:b/>
                <w:bCs/>
                <w:color w:val="000000"/>
                <w:sz w:val="18"/>
                <w:szCs w:val="20"/>
              </w:rPr>
            </w:pPr>
            <w:r>
              <w:rPr>
                <w:rFonts w:cs="Arial"/>
                <w:b/>
                <w:bCs/>
                <w:color w:val="000000"/>
                <w:sz w:val="18"/>
                <w:szCs w:val="20"/>
              </w:rPr>
              <w:t>b.</w:t>
            </w:r>
          </w:p>
          <w:p w:rsidR="003D65A2" w:rsidRDefault="003D65A2" w:rsidP="00EB368C">
            <w:pPr>
              <w:jc w:val="center"/>
              <w:rPr>
                <w:rFonts w:cs="Arial"/>
                <w:b/>
                <w:bCs/>
                <w:color w:val="000000"/>
                <w:sz w:val="18"/>
                <w:szCs w:val="20"/>
              </w:rPr>
            </w:pPr>
            <w:r>
              <w:rPr>
                <w:rFonts w:cs="Arial"/>
                <w:b/>
                <w:bCs/>
                <w:color w:val="000000"/>
                <w:sz w:val="18"/>
                <w:szCs w:val="20"/>
              </w:rPr>
              <w:t xml:space="preserve">2006 </w:t>
            </w:r>
          </w:p>
        </w:tc>
        <w:tc>
          <w:tcPr>
            <w:tcW w:w="3671" w:type="dxa"/>
            <w:gridSpan w:val="6"/>
            <w:tcBorders>
              <w:top w:val="single" w:sz="4" w:space="0" w:color="auto"/>
              <w:left w:val="nil"/>
              <w:bottom w:val="single" w:sz="4" w:space="0" w:color="auto"/>
              <w:right w:val="single" w:sz="4" w:space="0" w:color="auto"/>
            </w:tcBorders>
            <w:shd w:val="clear" w:color="auto" w:fill="FFCC99"/>
            <w:vAlign w:val="bottom"/>
          </w:tcPr>
          <w:p w:rsidR="003D65A2" w:rsidRDefault="003D65A2" w:rsidP="00EB368C">
            <w:pPr>
              <w:jc w:val="center"/>
              <w:rPr>
                <w:rFonts w:cs="Arial"/>
                <w:b/>
                <w:bCs/>
                <w:sz w:val="18"/>
                <w:szCs w:val="20"/>
              </w:rPr>
            </w:pPr>
            <w:r>
              <w:rPr>
                <w:rFonts w:cs="Arial"/>
                <w:b/>
                <w:bCs/>
                <w:sz w:val="18"/>
                <w:szCs w:val="20"/>
              </w:rPr>
              <w:t xml:space="preserve">Long Term </w:t>
            </w:r>
          </w:p>
        </w:tc>
        <w:tc>
          <w:tcPr>
            <w:tcW w:w="3240" w:type="dxa"/>
            <w:gridSpan w:val="6"/>
            <w:tcBorders>
              <w:top w:val="single" w:sz="4" w:space="0" w:color="auto"/>
              <w:left w:val="nil"/>
              <w:bottom w:val="single" w:sz="4" w:space="0" w:color="auto"/>
              <w:right w:val="single" w:sz="4" w:space="0" w:color="000000"/>
            </w:tcBorders>
            <w:shd w:val="clear" w:color="auto" w:fill="FFCC99"/>
            <w:vAlign w:val="bottom"/>
          </w:tcPr>
          <w:p w:rsidR="003D65A2" w:rsidRDefault="003D65A2" w:rsidP="00EB368C">
            <w:pPr>
              <w:jc w:val="center"/>
              <w:rPr>
                <w:rFonts w:cs="Arial"/>
                <w:b/>
                <w:bCs/>
                <w:sz w:val="18"/>
                <w:szCs w:val="20"/>
              </w:rPr>
            </w:pPr>
            <w:r>
              <w:rPr>
                <w:rFonts w:cs="Arial"/>
                <w:b/>
                <w:bCs/>
                <w:sz w:val="18"/>
                <w:szCs w:val="20"/>
              </w:rPr>
              <w:t xml:space="preserve">Temporary </w:t>
            </w:r>
          </w:p>
        </w:tc>
        <w:tc>
          <w:tcPr>
            <w:tcW w:w="630" w:type="dxa"/>
            <w:vMerge w:val="restart"/>
            <w:tcBorders>
              <w:top w:val="single" w:sz="4" w:space="0" w:color="auto"/>
              <w:left w:val="single" w:sz="4" w:space="0" w:color="auto"/>
              <w:bottom w:val="single" w:sz="4" w:space="0" w:color="000000"/>
              <w:right w:val="single" w:sz="4" w:space="0" w:color="auto"/>
            </w:tcBorders>
            <w:shd w:val="clear" w:color="auto" w:fill="FFCC99"/>
            <w:vAlign w:val="center"/>
          </w:tcPr>
          <w:p w:rsidR="003D65A2" w:rsidRDefault="003D65A2" w:rsidP="00BD486C">
            <w:pPr>
              <w:jc w:val="center"/>
              <w:rPr>
                <w:rFonts w:ascii="Arial Narrow" w:hAnsi="Arial Narrow" w:cs="Arial"/>
                <w:b/>
                <w:bCs/>
                <w:sz w:val="18"/>
                <w:szCs w:val="20"/>
              </w:rPr>
            </w:pPr>
            <w:r>
              <w:rPr>
                <w:rFonts w:ascii="Arial Narrow" w:hAnsi="Arial Narrow" w:cs="Arial"/>
                <w:b/>
                <w:bCs/>
                <w:sz w:val="18"/>
                <w:szCs w:val="20"/>
              </w:rPr>
              <w:t>Total</w:t>
            </w:r>
          </w:p>
        </w:tc>
        <w:tc>
          <w:tcPr>
            <w:tcW w:w="540" w:type="dxa"/>
            <w:vMerge w:val="restart"/>
            <w:tcBorders>
              <w:top w:val="single" w:sz="4" w:space="0" w:color="auto"/>
              <w:left w:val="single" w:sz="4" w:space="0" w:color="auto"/>
              <w:bottom w:val="single" w:sz="4" w:space="0" w:color="000000"/>
              <w:right w:val="single" w:sz="4" w:space="0" w:color="auto"/>
            </w:tcBorders>
            <w:shd w:val="clear" w:color="auto" w:fill="FFCC99"/>
            <w:vAlign w:val="center"/>
          </w:tcPr>
          <w:p w:rsidR="003D65A2" w:rsidRDefault="003D65A2" w:rsidP="00BD486C">
            <w:pPr>
              <w:jc w:val="center"/>
              <w:rPr>
                <w:rFonts w:ascii="Arial Narrow" w:hAnsi="Arial Narrow" w:cs="Arial"/>
                <w:b/>
                <w:bCs/>
                <w:sz w:val="18"/>
                <w:szCs w:val="20"/>
              </w:rPr>
            </w:pPr>
            <w:r>
              <w:rPr>
                <w:rFonts w:ascii="Arial Narrow" w:hAnsi="Arial Narrow" w:cs="Arial"/>
                <w:b/>
                <w:bCs/>
                <w:sz w:val="18"/>
                <w:szCs w:val="20"/>
              </w:rPr>
              <w:t>% Fem</w:t>
            </w:r>
          </w:p>
        </w:tc>
      </w:tr>
      <w:tr w:rsidR="003D65A2" w:rsidTr="00EB368C">
        <w:trPr>
          <w:trHeight w:val="285"/>
        </w:trPr>
        <w:tc>
          <w:tcPr>
            <w:tcW w:w="757" w:type="dxa"/>
            <w:vMerge/>
            <w:tcBorders>
              <w:top w:val="single" w:sz="4" w:space="0" w:color="auto"/>
              <w:left w:val="single" w:sz="4" w:space="0" w:color="auto"/>
              <w:bottom w:val="single" w:sz="4" w:space="0" w:color="auto"/>
              <w:right w:val="single" w:sz="4" w:space="0" w:color="auto"/>
            </w:tcBorders>
            <w:vAlign w:val="center"/>
          </w:tcPr>
          <w:p w:rsidR="003D65A2" w:rsidRDefault="003D65A2" w:rsidP="00BD486C">
            <w:pPr>
              <w:rPr>
                <w:rFonts w:cs="Arial"/>
                <w:b/>
                <w:bCs/>
                <w:color w:val="000000"/>
                <w:sz w:val="18"/>
                <w:szCs w:val="20"/>
              </w:rPr>
            </w:pPr>
          </w:p>
        </w:tc>
        <w:tc>
          <w:tcPr>
            <w:tcW w:w="1204" w:type="dxa"/>
            <w:gridSpan w:val="2"/>
            <w:tcBorders>
              <w:top w:val="single" w:sz="4" w:space="0" w:color="auto"/>
              <w:left w:val="nil"/>
              <w:bottom w:val="single" w:sz="4" w:space="0" w:color="auto"/>
              <w:right w:val="single" w:sz="4" w:space="0" w:color="auto"/>
            </w:tcBorders>
            <w:shd w:val="clear" w:color="auto" w:fill="CCFFFF"/>
            <w:vAlign w:val="bottom"/>
          </w:tcPr>
          <w:p w:rsidR="003D65A2" w:rsidRDefault="003D65A2" w:rsidP="00BD486C">
            <w:pPr>
              <w:jc w:val="center"/>
              <w:rPr>
                <w:rFonts w:ascii="Arial Narrow" w:hAnsi="Arial Narrow" w:cs="Arial"/>
                <w:b/>
                <w:bCs/>
                <w:sz w:val="18"/>
                <w:szCs w:val="20"/>
              </w:rPr>
            </w:pPr>
            <w:r>
              <w:rPr>
                <w:rFonts w:ascii="Arial Narrow" w:hAnsi="Arial Narrow" w:cs="Arial"/>
                <w:b/>
                <w:bCs/>
                <w:sz w:val="18"/>
                <w:szCs w:val="20"/>
              </w:rPr>
              <w:t>HQ</w:t>
            </w:r>
          </w:p>
        </w:tc>
        <w:tc>
          <w:tcPr>
            <w:tcW w:w="1297" w:type="dxa"/>
            <w:gridSpan w:val="2"/>
            <w:tcBorders>
              <w:top w:val="single" w:sz="4" w:space="0" w:color="auto"/>
              <w:left w:val="nil"/>
              <w:bottom w:val="single" w:sz="4" w:space="0" w:color="auto"/>
              <w:right w:val="single" w:sz="4" w:space="0" w:color="auto"/>
            </w:tcBorders>
            <w:shd w:val="clear" w:color="auto" w:fill="CCFFFF"/>
            <w:vAlign w:val="bottom"/>
          </w:tcPr>
          <w:p w:rsidR="003D65A2" w:rsidRDefault="003D65A2" w:rsidP="00BD486C">
            <w:pPr>
              <w:jc w:val="center"/>
              <w:rPr>
                <w:rFonts w:ascii="Arial Narrow" w:hAnsi="Arial Narrow" w:cs="Arial"/>
                <w:b/>
                <w:bCs/>
                <w:sz w:val="18"/>
                <w:szCs w:val="20"/>
              </w:rPr>
            </w:pPr>
            <w:r>
              <w:rPr>
                <w:rFonts w:ascii="Arial Narrow" w:hAnsi="Arial Narrow" w:cs="Arial"/>
                <w:b/>
                <w:bCs/>
                <w:sz w:val="18"/>
                <w:szCs w:val="20"/>
              </w:rPr>
              <w:t>CO</w:t>
            </w:r>
          </w:p>
        </w:tc>
        <w:tc>
          <w:tcPr>
            <w:tcW w:w="540" w:type="dxa"/>
            <w:vMerge w:val="restart"/>
            <w:tcBorders>
              <w:top w:val="nil"/>
              <w:left w:val="single" w:sz="4" w:space="0" w:color="auto"/>
              <w:bottom w:val="single" w:sz="4" w:space="0" w:color="000000"/>
              <w:right w:val="single" w:sz="4" w:space="0" w:color="auto"/>
            </w:tcBorders>
            <w:shd w:val="clear" w:color="auto" w:fill="FFFFCC"/>
            <w:vAlign w:val="center"/>
          </w:tcPr>
          <w:p w:rsidR="003D65A2" w:rsidRDefault="003D65A2" w:rsidP="00BD486C">
            <w:pPr>
              <w:jc w:val="center"/>
              <w:rPr>
                <w:rFonts w:ascii="Arial Narrow" w:hAnsi="Arial Narrow" w:cs="Arial"/>
                <w:bCs/>
                <w:sz w:val="16"/>
                <w:szCs w:val="20"/>
              </w:rPr>
            </w:pPr>
            <w:r>
              <w:rPr>
                <w:rFonts w:ascii="Arial Narrow" w:hAnsi="Arial Narrow" w:cs="Arial"/>
                <w:bCs/>
                <w:sz w:val="16"/>
                <w:szCs w:val="20"/>
              </w:rPr>
              <w:t>N</w:t>
            </w:r>
          </w:p>
        </w:tc>
        <w:tc>
          <w:tcPr>
            <w:tcW w:w="630" w:type="dxa"/>
            <w:vMerge w:val="restart"/>
            <w:tcBorders>
              <w:top w:val="nil"/>
              <w:left w:val="single" w:sz="4" w:space="0" w:color="auto"/>
              <w:bottom w:val="single" w:sz="4" w:space="0" w:color="000000"/>
              <w:right w:val="single" w:sz="4" w:space="0" w:color="auto"/>
            </w:tcBorders>
            <w:shd w:val="clear" w:color="auto" w:fill="FFFFCC"/>
            <w:vAlign w:val="center"/>
          </w:tcPr>
          <w:p w:rsidR="003D65A2" w:rsidRDefault="003D65A2" w:rsidP="00BD486C">
            <w:pPr>
              <w:jc w:val="center"/>
              <w:rPr>
                <w:rFonts w:ascii="Arial Narrow" w:hAnsi="Arial Narrow" w:cs="Arial"/>
                <w:bCs/>
                <w:sz w:val="16"/>
                <w:szCs w:val="20"/>
              </w:rPr>
            </w:pPr>
            <w:r>
              <w:rPr>
                <w:rFonts w:ascii="Arial Narrow" w:hAnsi="Arial Narrow" w:cs="Arial"/>
                <w:bCs/>
                <w:sz w:val="16"/>
                <w:szCs w:val="20"/>
              </w:rPr>
              <w:t>% Fem</w:t>
            </w:r>
          </w:p>
        </w:tc>
        <w:tc>
          <w:tcPr>
            <w:tcW w:w="1080" w:type="dxa"/>
            <w:gridSpan w:val="2"/>
            <w:tcBorders>
              <w:top w:val="single" w:sz="4" w:space="0" w:color="auto"/>
              <w:left w:val="nil"/>
              <w:bottom w:val="single" w:sz="4" w:space="0" w:color="auto"/>
              <w:right w:val="single" w:sz="4" w:space="0" w:color="000000"/>
            </w:tcBorders>
            <w:shd w:val="clear" w:color="auto" w:fill="CCFFFF"/>
            <w:vAlign w:val="bottom"/>
          </w:tcPr>
          <w:p w:rsidR="003D65A2" w:rsidRDefault="003D65A2" w:rsidP="00BD486C">
            <w:pPr>
              <w:jc w:val="center"/>
              <w:rPr>
                <w:rFonts w:ascii="Arial Narrow" w:hAnsi="Arial Narrow" w:cs="Arial"/>
                <w:b/>
                <w:bCs/>
                <w:sz w:val="18"/>
                <w:szCs w:val="20"/>
              </w:rPr>
            </w:pPr>
            <w:r>
              <w:rPr>
                <w:rFonts w:ascii="Arial Narrow" w:hAnsi="Arial Narrow" w:cs="Arial"/>
                <w:b/>
                <w:bCs/>
                <w:sz w:val="18"/>
                <w:szCs w:val="20"/>
              </w:rPr>
              <w:t>HQ</w:t>
            </w:r>
          </w:p>
        </w:tc>
        <w:tc>
          <w:tcPr>
            <w:tcW w:w="1080" w:type="dxa"/>
            <w:gridSpan w:val="2"/>
            <w:tcBorders>
              <w:top w:val="single" w:sz="4" w:space="0" w:color="auto"/>
              <w:left w:val="nil"/>
              <w:bottom w:val="single" w:sz="4" w:space="0" w:color="auto"/>
              <w:right w:val="single" w:sz="4" w:space="0" w:color="000000"/>
            </w:tcBorders>
            <w:shd w:val="clear" w:color="auto" w:fill="CCFFFF"/>
            <w:vAlign w:val="bottom"/>
          </w:tcPr>
          <w:p w:rsidR="003D65A2" w:rsidRDefault="003D65A2" w:rsidP="00BD486C">
            <w:pPr>
              <w:jc w:val="center"/>
              <w:rPr>
                <w:rFonts w:ascii="Arial Narrow" w:hAnsi="Arial Narrow" w:cs="Arial"/>
                <w:b/>
                <w:bCs/>
                <w:sz w:val="18"/>
                <w:szCs w:val="20"/>
              </w:rPr>
            </w:pPr>
            <w:r>
              <w:rPr>
                <w:rFonts w:ascii="Arial Narrow" w:hAnsi="Arial Narrow" w:cs="Arial"/>
                <w:b/>
                <w:bCs/>
                <w:sz w:val="18"/>
                <w:szCs w:val="20"/>
              </w:rPr>
              <w:t>CO</w:t>
            </w:r>
          </w:p>
        </w:tc>
        <w:tc>
          <w:tcPr>
            <w:tcW w:w="540" w:type="dxa"/>
            <w:vMerge w:val="restart"/>
            <w:tcBorders>
              <w:top w:val="nil"/>
              <w:left w:val="single" w:sz="4" w:space="0" w:color="auto"/>
              <w:bottom w:val="single" w:sz="4" w:space="0" w:color="000000"/>
              <w:right w:val="single" w:sz="4" w:space="0" w:color="auto"/>
            </w:tcBorders>
            <w:shd w:val="clear" w:color="auto" w:fill="FFFFCC"/>
            <w:vAlign w:val="center"/>
          </w:tcPr>
          <w:p w:rsidR="003D65A2" w:rsidRDefault="003D65A2" w:rsidP="00BD486C">
            <w:pPr>
              <w:jc w:val="center"/>
              <w:rPr>
                <w:rFonts w:ascii="Arial Narrow" w:hAnsi="Arial Narrow" w:cs="Arial"/>
                <w:b/>
                <w:bCs/>
                <w:sz w:val="16"/>
                <w:szCs w:val="20"/>
              </w:rPr>
            </w:pPr>
            <w:r>
              <w:rPr>
                <w:rFonts w:ascii="Arial Narrow" w:hAnsi="Arial Narrow" w:cs="Arial"/>
                <w:b/>
                <w:bCs/>
                <w:sz w:val="16"/>
                <w:szCs w:val="20"/>
              </w:rPr>
              <w:t>N</w:t>
            </w:r>
          </w:p>
        </w:tc>
        <w:tc>
          <w:tcPr>
            <w:tcW w:w="540" w:type="dxa"/>
            <w:vMerge w:val="restart"/>
            <w:tcBorders>
              <w:top w:val="nil"/>
              <w:left w:val="single" w:sz="4" w:space="0" w:color="auto"/>
              <w:bottom w:val="single" w:sz="4" w:space="0" w:color="000000"/>
              <w:right w:val="single" w:sz="4" w:space="0" w:color="auto"/>
            </w:tcBorders>
            <w:shd w:val="clear" w:color="auto" w:fill="FFFFCC"/>
            <w:vAlign w:val="center"/>
          </w:tcPr>
          <w:p w:rsidR="003D65A2" w:rsidRDefault="003D65A2" w:rsidP="00BD486C">
            <w:pPr>
              <w:jc w:val="center"/>
              <w:rPr>
                <w:rFonts w:ascii="Arial Narrow" w:hAnsi="Arial Narrow" w:cs="Arial"/>
                <w:b/>
                <w:bCs/>
                <w:sz w:val="16"/>
                <w:szCs w:val="20"/>
              </w:rPr>
            </w:pPr>
            <w:r>
              <w:rPr>
                <w:rFonts w:ascii="Arial Narrow" w:hAnsi="Arial Narrow" w:cs="Arial"/>
                <w:b/>
                <w:bCs/>
                <w:sz w:val="16"/>
                <w:szCs w:val="20"/>
              </w:rPr>
              <w:t>% Fem</w:t>
            </w:r>
          </w:p>
        </w:tc>
        <w:tc>
          <w:tcPr>
            <w:tcW w:w="630" w:type="dxa"/>
            <w:vMerge/>
            <w:tcBorders>
              <w:top w:val="single" w:sz="4" w:space="0" w:color="auto"/>
              <w:left w:val="single" w:sz="4" w:space="0" w:color="auto"/>
              <w:bottom w:val="single" w:sz="4" w:space="0" w:color="000000"/>
              <w:right w:val="single" w:sz="4" w:space="0" w:color="auto"/>
            </w:tcBorders>
            <w:vAlign w:val="center"/>
          </w:tcPr>
          <w:p w:rsidR="003D65A2" w:rsidRDefault="003D65A2" w:rsidP="00BD486C">
            <w:pPr>
              <w:rPr>
                <w:rFonts w:ascii="Arial Narrow" w:hAnsi="Arial Narrow" w:cs="Arial"/>
                <w:b/>
                <w:bCs/>
                <w:sz w:val="18"/>
                <w:szCs w:val="20"/>
              </w:rPr>
            </w:pPr>
          </w:p>
        </w:tc>
        <w:tc>
          <w:tcPr>
            <w:tcW w:w="540" w:type="dxa"/>
            <w:vMerge/>
            <w:tcBorders>
              <w:top w:val="single" w:sz="4" w:space="0" w:color="auto"/>
              <w:left w:val="single" w:sz="4" w:space="0" w:color="auto"/>
              <w:bottom w:val="single" w:sz="4" w:space="0" w:color="000000"/>
              <w:right w:val="single" w:sz="4" w:space="0" w:color="auto"/>
            </w:tcBorders>
            <w:vAlign w:val="center"/>
          </w:tcPr>
          <w:p w:rsidR="003D65A2" w:rsidRDefault="003D65A2" w:rsidP="00BD486C">
            <w:pPr>
              <w:rPr>
                <w:rFonts w:ascii="Arial Narrow" w:hAnsi="Arial Narrow" w:cs="Arial"/>
                <w:b/>
                <w:bCs/>
                <w:sz w:val="18"/>
                <w:szCs w:val="20"/>
              </w:rPr>
            </w:pPr>
          </w:p>
        </w:tc>
      </w:tr>
      <w:tr w:rsidR="003D65A2" w:rsidTr="00EB368C">
        <w:trPr>
          <w:trHeight w:val="270"/>
        </w:trPr>
        <w:tc>
          <w:tcPr>
            <w:tcW w:w="757" w:type="dxa"/>
            <w:vMerge/>
            <w:tcBorders>
              <w:top w:val="single" w:sz="4" w:space="0" w:color="auto"/>
              <w:left w:val="single" w:sz="4" w:space="0" w:color="auto"/>
              <w:bottom w:val="single" w:sz="4" w:space="0" w:color="auto"/>
              <w:right w:val="single" w:sz="4" w:space="0" w:color="auto"/>
            </w:tcBorders>
            <w:vAlign w:val="center"/>
          </w:tcPr>
          <w:p w:rsidR="003D65A2" w:rsidRDefault="003D65A2" w:rsidP="00BD486C">
            <w:pPr>
              <w:rPr>
                <w:rFonts w:cs="Arial"/>
                <w:b/>
                <w:bCs/>
                <w:color w:val="000000"/>
                <w:sz w:val="18"/>
                <w:szCs w:val="20"/>
              </w:rPr>
            </w:pPr>
          </w:p>
        </w:tc>
        <w:tc>
          <w:tcPr>
            <w:tcW w:w="617" w:type="dxa"/>
            <w:tcBorders>
              <w:top w:val="nil"/>
              <w:left w:val="nil"/>
              <w:bottom w:val="single" w:sz="4" w:space="0" w:color="000000"/>
              <w:right w:val="single" w:sz="4" w:space="0" w:color="auto"/>
            </w:tcBorders>
            <w:shd w:val="clear" w:color="auto" w:fill="CCFFFF"/>
            <w:vAlign w:val="bottom"/>
          </w:tcPr>
          <w:p w:rsidR="003D65A2" w:rsidRDefault="003D65A2" w:rsidP="00BD486C">
            <w:pPr>
              <w:jc w:val="center"/>
              <w:rPr>
                <w:rFonts w:ascii="Arial Narrow" w:hAnsi="Arial Narrow" w:cs="Arial"/>
                <w:bCs/>
                <w:sz w:val="16"/>
                <w:szCs w:val="20"/>
              </w:rPr>
            </w:pPr>
            <w:r>
              <w:rPr>
                <w:rFonts w:ascii="Arial Narrow" w:hAnsi="Arial Narrow" w:cs="Arial"/>
                <w:bCs/>
                <w:sz w:val="16"/>
                <w:szCs w:val="20"/>
              </w:rPr>
              <w:t>Male</w:t>
            </w:r>
          </w:p>
        </w:tc>
        <w:tc>
          <w:tcPr>
            <w:tcW w:w="587" w:type="dxa"/>
            <w:tcBorders>
              <w:top w:val="nil"/>
              <w:left w:val="nil"/>
              <w:bottom w:val="single" w:sz="4" w:space="0" w:color="000000"/>
              <w:right w:val="single" w:sz="4" w:space="0" w:color="auto"/>
            </w:tcBorders>
            <w:shd w:val="clear" w:color="auto" w:fill="CCFFFF"/>
            <w:vAlign w:val="bottom"/>
          </w:tcPr>
          <w:p w:rsidR="003D65A2" w:rsidRDefault="003D65A2" w:rsidP="00BD486C">
            <w:pPr>
              <w:jc w:val="center"/>
              <w:rPr>
                <w:rFonts w:ascii="Arial Narrow" w:hAnsi="Arial Narrow" w:cs="Arial"/>
                <w:bCs/>
                <w:sz w:val="16"/>
                <w:szCs w:val="20"/>
              </w:rPr>
            </w:pPr>
            <w:r>
              <w:rPr>
                <w:rFonts w:ascii="Arial Narrow" w:hAnsi="Arial Narrow" w:cs="Arial"/>
                <w:bCs/>
                <w:sz w:val="16"/>
                <w:szCs w:val="20"/>
              </w:rPr>
              <w:t>Fem</w:t>
            </w:r>
          </w:p>
        </w:tc>
        <w:tc>
          <w:tcPr>
            <w:tcW w:w="617" w:type="dxa"/>
            <w:tcBorders>
              <w:top w:val="nil"/>
              <w:left w:val="nil"/>
              <w:bottom w:val="single" w:sz="4" w:space="0" w:color="000000"/>
              <w:right w:val="single" w:sz="4" w:space="0" w:color="auto"/>
            </w:tcBorders>
            <w:shd w:val="clear" w:color="auto" w:fill="CCFFFF"/>
            <w:vAlign w:val="bottom"/>
          </w:tcPr>
          <w:p w:rsidR="003D65A2" w:rsidRDefault="003D65A2" w:rsidP="00BD486C">
            <w:pPr>
              <w:jc w:val="center"/>
              <w:rPr>
                <w:rFonts w:ascii="Arial Narrow" w:hAnsi="Arial Narrow" w:cs="Arial"/>
                <w:bCs/>
                <w:sz w:val="16"/>
                <w:szCs w:val="20"/>
              </w:rPr>
            </w:pPr>
            <w:r>
              <w:rPr>
                <w:rFonts w:ascii="Arial Narrow" w:hAnsi="Arial Narrow" w:cs="Arial"/>
                <w:bCs/>
                <w:sz w:val="16"/>
                <w:szCs w:val="20"/>
              </w:rPr>
              <w:t>Male</w:t>
            </w:r>
          </w:p>
        </w:tc>
        <w:tc>
          <w:tcPr>
            <w:tcW w:w="680" w:type="dxa"/>
            <w:tcBorders>
              <w:top w:val="nil"/>
              <w:left w:val="nil"/>
              <w:bottom w:val="single" w:sz="4" w:space="0" w:color="000000"/>
              <w:right w:val="single" w:sz="4" w:space="0" w:color="auto"/>
            </w:tcBorders>
            <w:shd w:val="clear" w:color="auto" w:fill="CCFFFF"/>
            <w:vAlign w:val="bottom"/>
          </w:tcPr>
          <w:p w:rsidR="003D65A2" w:rsidRDefault="003D65A2" w:rsidP="00BD486C">
            <w:pPr>
              <w:jc w:val="center"/>
              <w:rPr>
                <w:rFonts w:ascii="Arial Narrow" w:hAnsi="Arial Narrow" w:cs="Arial"/>
                <w:bCs/>
                <w:sz w:val="16"/>
                <w:szCs w:val="20"/>
              </w:rPr>
            </w:pPr>
            <w:r>
              <w:rPr>
                <w:rFonts w:ascii="Arial Narrow" w:hAnsi="Arial Narrow" w:cs="Arial"/>
                <w:bCs/>
                <w:sz w:val="16"/>
                <w:szCs w:val="20"/>
              </w:rPr>
              <w:t>Fem</w:t>
            </w:r>
          </w:p>
        </w:tc>
        <w:tc>
          <w:tcPr>
            <w:tcW w:w="540" w:type="dxa"/>
            <w:vMerge/>
            <w:tcBorders>
              <w:top w:val="nil"/>
              <w:left w:val="single" w:sz="4" w:space="0" w:color="auto"/>
              <w:bottom w:val="single" w:sz="4" w:space="0" w:color="000000"/>
              <w:right w:val="single" w:sz="4" w:space="0" w:color="auto"/>
            </w:tcBorders>
            <w:vAlign w:val="center"/>
          </w:tcPr>
          <w:p w:rsidR="003D65A2" w:rsidRDefault="003D65A2" w:rsidP="00BD486C">
            <w:pPr>
              <w:rPr>
                <w:rFonts w:ascii="Arial Narrow" w:hAnsi="Arial Narrow" w:cs="Arial"/>
                <w:bCs/>
                <w:sz w:val="16"/>
                <w:szCs w:val="20"/>
              </w:rPr>
            </w:pPr>
          </w:p>
        </w:tc>
        <w:tc>
          <w:tcPr>
            <w:tcW w:w="630" w:type="dxa"/>
            <w:vMerge/>
            <w:tcBorders>
              <w:top w:val="nil"/>
              <w:left w:val="single" w:sz="4" w:space="0" w:color="auto"/>
              <w:bottom w:val="single" w:sz="4" w:space="0" w:color="000000"/>
              <w:right w:val="single" w:sz="4" w:space="0" w:color="auto"/>
            </w:tcBorders>
            <w:vAlign w:val="center"/>
          </w:tcPr>
          <w:p w:rsidR="003D65A2" w:rsidRDefault="003D65A2" w:rsidP="00BD486C">
            <w:pPr>
              <w:rPr>
                <w:rFonts w:ascii="Arial Narrow" w:hAnsi="Arial Narrow" w:cs="Arial"/>
                <w:bCs/>
                <w:sz w:val="16"/>
                <w:szCs w:val="20"/>
              </w:rPr>
            </w:pPr>
          </w:p>
        </w:tc>
        <w:tc>
          <w:tcPr>
            <w:tcW w:w="540" w:type="dxa"/>
            <w:tcBorders>
              <w:top w:val="nil"/>
              <w:left w:val="nil"/>
              <w:bottom w:val="single" w:sz="4" w:space="0" w:color="000000"/>
              <w:right w:val="single" w:sz="4" w:space="0" w:color="auto"/>
            </w:tcBorders>
            <w:shd w:val="clear" w:color="auto" w:fill="CCFFFF"/>
            <w:vAlign w:val="bottom"/>
          </w:tcPr>
          <w:p w:rsidR="003D65A2" w:rsidRDefault="003D65A2" w:rsidP="00BD486C">
            <w:pPr>
              <w:jc w:val="center"/>
              <w:rPr>
                <w:rFonts w:ascii="Arial Narrow" w:hAnsi="Arial Narrow" w:cs="Arial"/>
                <w:bCs/>
                <w:sz w:val="16"/>
                <w:szCs w:val="20"/>
              </w:rPr>
            </w:pPr>
            <w:r>
              <w:rPr>
                <w:rFonts w:ascii="Arial Narrow" w:hAnsi="Arial Narrow" w:cs="Arial"/>
                <w:bCs/>
                <w:sz w:val="16"/>
                <w:szCs w:val="20"/>
              </w:rPr>
              <w:t>Male</w:t>
            </w:r>
          </w:p>
        </w:tc>
        <w:tc>
          <w:tcPr>
            <w:tcW w:w="540" w:type="dxa"/>
            <w:tcBorders>
              <w:top w:val="nil"/>
              <w:left w:val="nil"/>
              <w:bottom w:val="single" w:sz="4" w:space="0" w:color="000000"/>
              <w:right w:val="single" w:sz="4" w:space="0" w:color="auto"/>
            </w:tcBorders>
            <w:shd w:val="clear" w:color="auto" w:fill="CCFFFF"/>
            <w:vAlign w:val="bottom"/>
          </w:tcPr>
          <w:p w:rsidR="003D65A2" w:rsidRDefault="003D65A2" w:rsidP="00BD486C">
            <w:pPr>
              <w:jc w:val="center"/>
              <w:rPr>
                <w:rFonts w:ascii="Arial Narrow" w:hAnsi="Arial Narrow" w:cs="Arial"/>
                <w:bCs/>
                <w:sz w:val="16"/>
                <w:szCs w:val="20"/>
              </w:rPr>
            </w:pPr>
            <w:r>
              <w:rPr>
                <w:rFonts w:ascii="Arial Narrow" w:hAnsi="Arial Narrow" w:cs="Arial"/>
                <w:bCs/>
                <w:sz w:val="16"/>
                <w:szCs w:val="20"/>
              </w:rPr>
              <w:t>Fem</w:t>
            </w:r>
          </w:p>
        </w:tc>
        <w:tc>
          <w:tcPr>
            <w:tcW w:w="540" w:type="dxa"/>
            <w:tcBorders>
              <w:top w:val="nil"/>
              <w:left w:val="nil"/>
              <w:bottom w:val="single" w:sz="4" w:space="0" w:color="000000"/>
              <w:right w:val="single" w:sz="4" w:space="0" w:color="auto"/>
            </w:tcBorders>
            <w:shd w:val="clear" w:color="auto" w:fill="CCFFFF"/>
            <w:vAlign w:val="bottom"/>
          </w:tcPr>
          <w:p w:rsidR="003D65A2" w:rsidRDefault="003D65A2" w:rsidP="00BD486C">
            <w:pPr>
              <w:jc w:val="center"/>
              <w:rPr>
                <w:rFonts w:ascii="Arial Narrow" w:hAnsi="Arial Narrow" w:cs="Arial"/>
                <w:bCs/>
                <w:sz w:val="16"/>
                <w:szCs w:val="20"/>
              </w:rPr>
            </w:pPr>
            <w:r>
              <w:rPr>
                <w:rFonts w:ascii="Arial Narrow" w:hAnsi="Arial Narrow" w:cs="Arial"/>
                <w:bCs/>
                <w:sz w:val="16"/>
                <w:szCs w:val="20"/>
              </w:rPr>
              <w:t>Male</w:t>
            </w:r>
          </w:p>
        </w:tc>
        <w:tc>
          <w:tcPr>
            <w:tcW w:w="540" w:type="dxa"/>
            <w:tcBorders>
              <w:top w:val="nil"/>
              <w:left w:val="nil"/>
              <w:bottom w:val="single" w:sz="4" w:space="0" w:color="000000"/>
              <w:right w:val="single" w:sz="4" w:space="0" w:color="auto"/>
            </w:tcBorders>
            <w:shd w:val="clear" w:color="auto" w:fill="CCFFFF"/>
            <w:vAlign w:val="bottom"/>
          </w:tcPr>
          <w:p w:rsidR="003D65A2" w:rsidRDefault="003D65A2" w:rsidP="00BD486C">
            <w:pPr>
              <w:jc w:val="center"/>
              <w:rPr>
                <w:rFonts w:ascii="Arial Narrow" w:hAnsi="Arial Narrow" w:cs="Arial"/>
                <w:bCs/>
                <w:sz w:val="16"/>
                <w:szCs w:val="20"/>
              </w:rPr>
            </w:pPr>
            <w:r>
              <w:rPr>
                <w:rFonts w:ascii="Arial Narrow" w:hAnsi="Arial Narrow" w:cs="Arial"/>
                <w:bCs/>
                <w:sz w:val="16"/>
                <w:szCs w:val="20"/>
              </w:rPr>
              <w:t>Fem</w:t>
            </w:r>
          </w:p>
        </w:tc>
        <w:tc>
          <w:tcPr>
            <w:tcW w:w="540" w:type="dxa"/>
            <w:vMerge/>
            <w:tcBorders>
              <w:top w:val="nil"/>
              <w:left w:val="single" w:sz="4" w:space="0" w:color="auto"/>
              <w:bottom w:val="single" w:sz="4" w:space="0" w:color="000000"/>
              <w:right w:val="single" w:sz="4" w:space="0" w:color="auto"/>
            </w:tcBorders>
            <w:vAlign w:val="center"/>
          </w:tcPr>
          <w:p w:rsidR="003D65A2" w:rsidRDefault="003D65A2" w:rsidP="00BD486C">
            <w:pPr>
              <w:rPr>
                <w:rFonts w:ascii="Arial Narrow" w:hAnsi="Arial Narrow" w:cs="Arial"/>
                <w:b/>
                <w:bCs/>
                <w:sz w:val="16"/>
                <w:szCs w:val="20"/>
              </w:rPr>
            </w:pPr>
          </w:p>
        </w:tc>
        <w:tc>
          <w:tcPr>
            <w:tcW w:w="540" w:type="dxa"/>
            <w:vMerge/>
            <w:tcBorders>
              <w:top w:val="nil"/>
              <w:left w:val="single" w:sz="4" w:space="0" w:color="auto"/>
              <w:bottom w:val="single" w:sz="4" w:space="0" w:color="000000"/>
              <w:right w:val="single" w:sz="4" w:space="0" w:color="auto"/>
            </w:tcBorders>
            <w:vAlign w:val="center"/>
          </w:tcPr>
          <w:p w:rsidR="003D65A2" w:rsidRDefault="003D65A2" w:rsidP="00BD486C">
            <w:pPr>
              <w:rPr>
                <w:rFonts w:ascii="Arial Narrow" w:hAnsi="Arial Narrow" w:cs="Arial"/>
                <w:b/>
                <w:bCs/>
                <w:sz w:val="16"/>
                <w:szCs w:val="20"/>
              </w:rPr>
            </w:pPr>
          </w:p>
        </w:tc>
        <w:tc>
          <w:tcPr>
            <w:tcW w:w="630" w:type="dxa"/>
            <w:vMerge/>
            <w:tcBorders>
              <w:top w:val="single" w:sz="4" w:space="0" w:color="auto"/>
              <w:left w:val="single" w:sz="4" w:space="0" w:color="auto"/>
              <w:bottom w:val="single" w:sz="4" w:space="0" w:color="000000"/>
              <w:right w:val="single" w:sz="4" w:space="0" w:color="auto"/>
            </w:tcBorders>
            <w:vAlign w:val="center"/>
          </w:tcPr>
          <w:p w:rsidR="003D65A2" w:rsidRDefault="003D65A2" w:rsidP="00BD486C">
            <w:pPr>
              <w:rPr>
                <w:rFonts w:ascii="Arial Narrow" w:hAnsi="Arial Narrow" w:cs="Arial"/>
                <w:b/>
                <w:bCs/>
                <w:sz w:val="18"/>
                <w:szCs w:val="20"/>
              </w:rPr>
            </w:pPr>
          </w:p>
        </w:tc>
        <w:tc>
          <w:tcPr>
            <w:tcW w:w="540" w:type="dxa"/>
            <w:vMerge/>
            <w:tcBorders>
              <w:top w:val="single" w:sz="4" w:space="0" w:color="auto"/>
              <w:left w:val="single" w:sz="4" w:space="0" w:color="auto"/>
              <w:bottom w:val="single" w:sz="4" w:space="0" w:color="000000"/>
              <w:right w:val="single" w:sz="4" w:space="0" w:color="auto"/>
            </w:tcBorders>
            <w:vAlign w:val="center"/>
          </w:tcPr>
          <w:p w:rsidR="003D65A2" w:rsidRDefault="003D65A2" w:rsidP="00BD486C">
            <w:pPr>
              <w:rPr>
                <w:rFonts w:ascii="Arial Narrow" w:hAnsi="Arial Narrow" w:cs="Arial"/>
                <w:b/>
                <w:bCs/>
                <w:sz w:val="18"/>
                <w:szCs w:val="20"/>
              </w:rPr>
            </w:pPr>
          </w:p>
        </w:tc>
      </w:tr>
      <w:tr w:rsidR="003D65A2" w:rsidTr="00EB368C">
        <w:trPr>
          <w:trHeight w:val="255"/>
        </w:trPr>
        <w:tc>
          <w:tcPr>
            <w:tcW w:w="757" w:type="dxa"/>
            <w:tcBorders>
              <w:top w:val="nil"/>
              <w:left w:val="single" w:sz="4" w:space="0" w:color="auto"/>
              <w:bottom w:val="single" w:sz="4" w:space="0" w:color="auto"/>
              <w:right w:val="nil"/>
            </w:tcBorders>
            <w:shd w:val="clear" w:color="auto" w:fill="FFCC99"/>
          </w:tcPr>
          <w:p w:rsidR="003D65A2" w:rsidRDefault="003D65A2" w:rsidP="003D65A2">
            <w:pPr>
              <w:rPr>
                <w:rFonts w:cs="Arial"/>
                <w:color w:val="000000"/>
                <w:sz w:val="18"/>
                <w:szCs w:val="20"/>
              </w:rPr>
            </w:pPr>
            <w:r>
              <w:rPr>
                <w:rFonts w:cs="Arial"/>
                <w:color w:val="000000"/>
                <w:sz w:val="18"/>
                <w:szCs w:val="20"/>
              </w:rPr>
              <w:t>P+</w:t>
            </w:r>
          </w:p>
        </w:tc>
        <w:tc>
          <w:tcPr>
            <w:tcW w:w="617" w:type="dxa"/>
            <w:tcBorders>
              <w:top w:val="single" w:sz="4" w:space="0" w:color="000000"/>
              <w:left w:val="single" w:sz="4" w:space="0" w:color="auto"/>
              <w:bottom w:val="single" w:sz="4" w:space="0" w:color="auto"/>
              <w:right w:val="single" w:sz="4" w:space="0" w:color="auto"/>
            </w:tcBorders>
          </w:tcPr>
          <w:p w:rsidR="003D65A2" w:rsidRDefault="003D65A2" w:rsidP="00BD486C">
            <w:pPr>
              <w:jc w:val="center"/>
              <w:rPr>
                <w:rFonts w:ascii="Arial Narrow" w:hAnsi="Arial Narrow" w:cs="Arial"/>
                <w:color w:val="000000"/>
                <w:szCs w:val="20"/>
              </w:rPr>
            </w:pPr>
            <w:r>
              <w:rPr>
                <w:rFonts w:ascii="Arial Narrow" w:hAnsi="Arial Narrow" w:cs="Arial"/>
                <w:color w:val="000000"/>
                <w:szCs w:val="20"/>
              </w:rPr>
              <w:t>8</w:t>
            </w:r>
          </w:p>
        </w:tc>
        <w:tc>
          <w:tcPr>
            <w:tcW w:w="587" w:type="dxa"/>
            <w:tcBorders>
              <w:top w:val="single" w:sz="4" w:space="0" w:color="000000"/>
              <w:left w:val="nil"/>
              <w:bottom w:val="single" w:sz="4" w:space="0" w:color="auto"/>
              <w:right w:val="single" w:sz="4" w:space="0" w:color="auto"/>
            </w:tcBorders>
          </w:tcPr>
          <w:p w:rsidR="003D65A2" w:rsidRDefault="003D65A2" w:rsidP="00BD486C">
            <w:pPr>
              <w:jc w:val="center"/>
              <w:rPr>
                <w:rFonts w:ascii="Arial Narrow" w:hAnsi="Arial Narrow" w:cs="Arial"/>
                <w:color w:val="000000"/>
                <w:szCs w:val="20"/>
              </w:rPr>
            </w:pPr>
            <w:r>
              <w:rPr>
                <w:rFonts w:ascii="Arial Narrow" w:hAnsi="Arial Narrow" w:cs="Arial"/>
                <w:color w:val="000000"/>
                <w:szCs w:val="20"/>
              </w:rPr>
              <w:t>4</w:t>
            </w:r>
          </w:p>
        </w:tc>
        <w:tc>
          <w:tcPr>
            <w:tcW w:w="617" w:type="dxa"/>
            <w:tcBorders>
              <w:top w:val="single" w:sz="4" w:space="0" w:color="000000"/>
              <w:left w:val="nil"/>
              <w:bottom w:val="single" w:sz="4" w:space="0" w:color="auto"/>
              <w:right w:val="single" w:sz="4" w:space="0" w:color="auto"/>
            </w:tcBorders>
          </w:tcPr>
          <w:p w:rsidR="003D65A2" w:rsidRDefault="003D65A2" w:rsidP="00BD486C">
            <w:pPr>
              <w:jc w:val="center"/>
              <w:rPr>
                <w:rFonts w:ascii="Arial Narrow" w:hAnsi="Arial Narrow" w:cs="Arial"/>
                <w:color w:val="000000"/>
                <w:szCs w:val="20"/>
              </w:rPr>
            </w:pPr>
            <w:r>
              <w:rPr>
                <w:rFonts w:ascii="Arial Narrow" w:hAnsi="Arial Narrow" w:cs="Arial"/>
                <w:color w:val="000000"/>
                <w:szCs w:val="20"/>
              </w:rPr>
              <w:t>4</w:t>
            </w:r>
          </w:p>
        </w:tc>
        <w:tc>
          <w:tcPr>
            <w:tcW w:w="680" w:type="dxa"/>
            <w:tcBorders>
              <w:top w:val="single" w:sz="4" w:space="0" w:color="000000"/>
              <w:left w:val="nil"/>
              <w:bottom w:val="single" w:sz="4" w:space="0" w:color="auto"/>
              <w:right w:val="single" w:sz="4" w:space="0" w:color="auto"/>
            </w:tcBorders>
          </w:tcPr>
          <w:p w:rsidR="003D65A2" w:rsidRDefault="003D65A2" w:rsidP="00BD486C">
            <w:pPr>
              <w:jc w:val="center"/>
              <w:rPr>
                <w:rFonts w:ascii="Arial Narrow" w:hAnsi="Arial Narrow" w:cs="Arial"/>
                <w:color w:val="000000"/>
                <w:szCs w:val="20"/>
              </w:rPr>
            </w:pPr>
            <w:r>
              <w:rPr>
                <w:rFonts w:ascii="Arial Narrow" w:hAnsi="Arial Narrow" w:cs="Arial"/>
                <w:color w:val="000000"/>
                <w:szCs w:val="20"/>
              </w:rPr>
              <w:t>3</w:t>
            </w:r>
          </w:p>
        </w:tc>
        <w:tc>
          <w:tcPr>
            <w:tcW w:w="540" w:type="dxa"/>
            <w:tcBorders>
              <w:top w:val="nil"/>
              <w:left w:val="nil"/>
              <w:bottom w:val="single" w:sz="4" w:space="0" w:color="auto"/>
              <w:right w:val="single" w:sz="4" w:space="0" w:color="auto"/>
            </w:tcBorders>
            <w:shd w:val="clear" w:color="auto" w:fill="FFFFCC"/>
            <w:vAlign w:val="bottom"/>
          </w:tcPr>
          <w:p w:rsidR="003D65A2" w:rsidRDefault="003D65A2" w:rsidP="00BD486C">
            <w:pPr>
              <w:jc w:val="center"/>
              <w:rPr>
                <w:rFonts w:ascii="Arial Narrow" w:hAnsi="Arial Narrow" w:cs="Arial"/>
                <w:szCs w:val="20"/>
              </w:rPr>
            </w:pPr>
            <w:r>
              <w:rPr>
                <w:rFonts w:ascii="Arial Narrow" w:hAnsi="Arial Narrow" w:cs="Arial"/>
                <w:szCs w:val="20"/>
              </w:rPr>
              <w:t>19</w:t>
            </w:r>
          </w:p>
        </w:tc>
        <w:tc>
          <w:tcPr>
            <w:tcW w:w="630" w:type="dxa"/>
            <w:tcBorders>
              <w:top w:val="nil"/>
              <w:left w:val="nil"/>
              <w:bottom w:val="single" w:sz="4" w:space="0" w:color="auto"/>
              <w:right w:val="single" w:sz="4" w:space="0" w:color="auto"/>
            </w:tcBorders>
            <w:shd w:val="clear" w:color="auto" w:fill="FFFFCC"/>
            <w:vAlign w:val="bottom"/>
          </w:tcPr>
          <w:p w:rsidR="003D65A2" w:rsidRDefault="003D65A2" w:rsidP="00BD486C">
            <w:pPr>
              <w:jc w:val="center"/>
              <w:rPr>
                <w:rFonts w:ascii="Arial Narrow" w:hAnsi="Arial Narrow" w:cs="Arial"/>
                <w:szCs w:val="20"/>
              </w:rPr>
            </w:pPr>
            <w:r>
              <w:rPr>
                <w:rFonts w:ascii="Arial Narrow" w:hAnsi="Arial Narrow" w:cs="Arial"/>
                <w:szCs w:val="20"/>
              </w:rPr>
              <w:t>37</w:t>
            </w:r>
          </w:p>
        </w:tc>
        <w:tc>
          <w:tcPr>
            <w:tcW w:w="540" w:type="dxa"/>
            <w:tcBorders>
              <w:top w:val="single" w:sz="4" w:space="0" w:color="000000"/>
              <w:left w:val="nil"/>
              <w:bottom w:val="single" w:sz="4" w:space="0" w:color="auto"/>
              <w:right w:val="single" w:sz="4" w:space="0" w:color="auto"/>
            </w:tcBorders>
          </w:tcPr>
          <w:p w:rsidR="003D65A2" w:rsidRDefault="003D65A2" w:rsidP="00BD486C">
            <w:pPr>
              <w:jc w:val="center"/>
              <w:rPr>
                <w:rFonts w:ascii="Arial Narrow" w:hAnsi="Arial Narrow" w:cs="Arial"/>
                <w:color w:val="000000"/>
                <w:szCs w:val="20"/>
              </w:rPr>
            </w:pPr>
            <w:r>
              <w:rPr>
                <w:rFonts w:ascii="Arial Narrow" w:hAnsi="Arial Narrow" w:cs="Arial"/>
                <w:color w:val="000000"/>
                <w:szCs w:val="20"/>
              </w:rPr>
              <w:t>29</w:t>
            </w:r>
          </w:p>
        </w:tc>
        <w:tc>
          <w:tcPr>
            <w:tcW w:w="540" w:type="dxa"/>
            <w:tcBorders>
              <w:top w:val="single" w:sz="4" w:space="0" w:color="000000"/>
              <w:left w:val="nil"/>
              <w:bottom w:val="single" w:sz="4" w:space="0" w:color="auto"/>
              <w:right w:val="single" w:sz="4" w:space="0" w:color="auto"/>
            </w:tcBorders>
          </w:tcPr>
          <w:p w:rsidR="003D65A2" w:rsidRDefault="003D65A2" w:rsidP="00BD486C">
            <w:pPr>
              <w:jc w:val="center"/>
              <w:rPr>
                <w:rFonts w:ascii="Arial Narrow" w:hAnsi="Arial Narrow" w:cs="Arial"/>
                <w:color w:val="000000"/>
                <w:szCs w:val="20"/>
              </w:rPr>
            </w:pPr>
            <w:r>
              <w:rPr>
                <w:rFonts w:ascii="Arial Narrow" w:hAnsi="Arial Narrow" w:cs="Arial"/>
                <w:color w:val="000000"/>
                <w:szCs w:val="20"/>
              </w:rPr>
              <w:t>40</w:t>
            </w:r>
          </w:p>
        </w:tc>
        <w:tc>
          <w:tcPr>
            <w:tcW w:w="540" w:type="dxa"/>
            <w:tcBorders>
              <w:top w:val="single" w:sz="4" w:space="0" w:color="000000"/>
              <w:left w:val="nil"/>
              <w:bottom w:val="single" w:sz="4" w:space="0" w:color="auto"/>
              <w:right w:val="single" w:sz="4" w:space="0" w:color="auto"/>
            </w:tcBorders>
          </w:tcPr>
          <w:p w:rsidR="003D65A2" w:rsidRDefault="003D65A2" w:rsidP="00BD486C">
            <w:pPr>
              <w:jc w:val="center"/>
              <w:rPr>
                <w:rFonts w:ascii="Arial Narrow" w:hAnsi="Arial Narrow" w:cs="Arial"/>
                <w:color w:val="000000"/>
                <w:szCs w:val="20"/>
              </w:rPr>
            </w:pPr>
            <w:r>
              <w:rPr>
                <w:rFonts w:ascii="Arial Narrow" w:hAnsi="Arial Narrow" w:cs="Arial"/>
                <w:color w:val="000000"/>
                <w:szCs w:val="20"/>
              </w:rPr>
              <w:t>23</w:t>
            </w:r>
          </w:p>
        </w:tc>
        <w:tc>
          <w:tcPr>
            <w:tcW w:w="540" w:type="dxa"/>
            <w:tcBorders>
              <w:top w:val="single" w:sz="4" w:space="0" w:color="000000"/>
              <w:left w:val="nil"/>
              <w:bottom w:val="single" w:sz="4" w:space="0" w:color="auto"/>
              <w:right w:val="single" w:sz="4" w:space="0" w:color="auto"/>
            </w:tcBorders>
          </w:tcPr>
          <w:p w:rsidR="003D65A2" w:rsidRDefault="003D65A2" w:rsidP="00BD486C">
            <w:pPr>
              <w:jc w:val="center"/>
              <w:rPr>
                <w:rFonts w:ascii="Arial Narrow" w:hAnsi="Arial Narrow" w:cs="Arial"/>
                <w:color w:val="000000"/>
                <w:szCs w:val="20"/>
              </w:rPr>
            </w:pPr>
            <w:r>
              <w:rPr>
                <w:rFonts w:ascii="Arial Narrow" w:hAnsi="Arial Narrow" w:cs="Arial"/>
                <w:color w:val="000000"/>
                <w:szCs w:val="20"/>
              </w:rPr>
              <w:t>12</w:t>
            </w:r>
          </w:p>
        </w:tc>
        <w:tc>
          <w:tcPr>
            <w:tcW w:w="540" w:type="dxa"/>
            <w:tcBorders>
              <w:top w:val="nil"/>
              <w:left w:val="nil"/>
              <w:bottom w:val="single" w:sz="4" w:space="0" w:color="auto"/>
              <w:right w:val="single" w:sz="4" w:space="0" w:color="auto"/>
            </w:tcBorders>
            <w:shd w:val="clear" w:color="auto" w:fill="FFFFCC"/>
            <w:vAlign w:val="bottom"/>
          </w:tcPr>
          <w:p w:rsidR="003D65A2" w:rsidRDefault="003D65A2" w:rsidP="00BD486C">
            <w:pPr>
              <w:jc w:val="center"/>
              <w:rPr>
                <w:rFonts w:ascii="Arial Narrow" w:hAnsi="Arial Narrow" w:cs="Arial"/>
                <w:szCs w:val="20"/>
              </w:rPr>
            </w:pPr>
            <w:r>
              <w:rPr>
                <w:rFonts w:ascii="Arial Narrow" w:hAnsi="Arial Narrow" w:cs="Arial"/>
                <w:szCs w:val="20"/>
              </w:rPr>
              <w:t>104</w:t>
            </w:r>
          </w:p>
        </w:tc>
        <w:tc>
          <w:tcPr>
            <w:tcW w:w="540" w:type="dxa"/>
            <w:tcBorders>
              <w:top w:val="nil"/>
              <w:left w:val="nil"/>
              <w:bottom w:val="single" w:sz="4" w:space="0" w:color="auto"/>
              <w:right w:val="single" w:sz="4" w:space="0" w:color="auto"/>
            </w:tcBorders>
            <w:shd w:val="clear" w:color="auto" w:fill="FFFFCC"/>
            <w:vAlign w:val="bottom"/>
          </w:tcPr>
          <w:p w:rsidR="003D65A2" w:rsidRDefault="003D65A2" w:rsidP="00BD486C">
            <w:pPr>
              <w:jc w:val="center"/>
              <w:rPr>
                <w:rFonts w:ascii="Arial Narrow" w:hAnsi="Arial Narrow" w:cs="Arial"/>
                <w:szCs w:val="20"/>
              </w:rPr>
            </w:pPr>
            <w:r>
              <w:rPr>
                <w:rFonts w:ascii="Arial Narrow" w:hAnsi="Arial Narrow" w:cs="Arial"/>
                <w:szCs w:val="20"/>
              </w:rPr>
              <w:t>50</w:t>
            </w:r>
          </w:p>
        </w:tc>
        <w:tc>
          <w:tcPr>
            <w:tcW w:w="630" w:type="dxa"/>
            <w:tcBorders>
              <w:top w:val="nil"/>
              <w:left w:val="nil"/>
              <w:bottom w:val="single" w:sz="4" w:space="0" w:color="auto"/>
              <w:right w:val="single" w:sz="4" w:space="0" w:color="auto"/>
            </w:tcBorders>
            <w:shd w:val="clear" w:color="auto" w:fill="FFCC99"/>
            <w:vAlign w:val="bottom"/>
          </w:tcPr>
          <w:p w:rsidR="003D65A2" w:rsidRDefault="003D65A2" w:rsidP="00BD486C">
            <w:pPr>
              <w:jc w:val="center"/>
              <w:rPr>
                <w:rFonts w:ascii="Arial Narrow" w:hAnsi="Arial Narrow" w:cs="Arial"/>
                <w:szCs w:val="20"/>
              </w:rPr>
            </w:pPr>
            <w:r>
              <w:rPr>
                <w:rFonts w:ascii="Arial Narrow" w:hAnsi="Arial Narrow" w:cs="Arial"/>
                <w:szCs w:val="20"/>
              </w:rPr>
              <w:t>123</w:t>
            </w:r>
          </w:p>
        </w:tc>
        <w:tc>
          <w:tcPr>
            <w:tcW w:w="540" w:type="dxa"/>
            <w:tcBorders>
              <w:top w:val="nil"/>
              <w:left w:val="nil"/>
              <w:bottom w:val="single" w:sz="4" w:space="0" w:color="auto"/>
              <w:right w:val="single" w:sz="4" w:space="0" w:color="auto"/>
            </w:tcBorders>
            <w:shd w:val="clear" w:color="auto" w:fill="FFCC99"/>
            <w:vAlign w:val="bottom"/>
          </w:tcPr>
          <w:p w:rsidR="003D65A2" w:rsidRDefault="003D65A2" w:rsidP="00BD486C">
            <w:pPr>
              <w:jc w:val="center"/>
              <w:rPr>
                <w:rFonts w:ascii="Arial Narrow" w:hAnsi="Arial Narrow" w:cs="Arial"/>
                <w:szCs w:val="20"/>
              </w:rPr>
            </w:pPr>
            <w:r>
              <w:rPr>
                <w:rFonts w:ascii="Arial Narrow" w:hAnsi="Arial Narrow" w:cs="Arial"/>
                <w:szCs w:val="20"/>
              </w:rPr>
              <w:t>48</w:t>
            </w:r>
          </w:p>
        </w:tc>
      </w:tr>
      <w:tr w:rsidR="003D65A2" w:rsidTr="00EB368C">
        <w:trPr>
          <w:trHeight w:val="255"/>
        </w:trPr>
        <w:tc>
          <w:tcPr>
            <w:tcW w:w="757" w:type="dxa"/>
            <w:tcBorders>
              <w:top w:val="nil"/>
              <w:left w:val="single" w:sz="4" w:space="0" w:color="auto"/>
              <w:bottom w:val="single" w:sz="4" w:space="0" w:color="auto"/>
              <w:right w:val="nil"/>
            </w:tcBorders>
            <w:shd w:val="clear" w:color="auto" w:fill="FFCC99"/>
          </w:tcPr>
          <w:p w:rsidR="003D65A2" w:rsidRDefault="003D65A2" w:rsidP="003D65A2">
            <w:pPr>
              <w:rPr>
                <w:rFonts w:cs="Arial"/>
                <w:color w:val="000000"/>
                <w:sz w:val="18"/>
                <w:szCs w:val="20"/>
              </w:rPr>
            </w:pPr>
            <w:r>
              <w:rPr>
                <w:rFonts w:cs="Arial"/>
                <w:color w:val="000000"/>
                <w:sz w:val="18"/>
                <w:szCs w:val="20"/>
              </w:rPr>
              <w:t>GS</w:t>
            </w:r>
          </w:p>
        </w:tc>
        <w:tc>
          <w:tcPr>
            <w:tcW w:w="617" w:type="dxa"/>
            <w:tcBorders>
              <w:top w:val="nil"/>
              <w:left w:val="single" w:sz="4" w:space="0" w:color="auto"/>
              <w:bottom w:val="single" w:sz="4" w:space="0" w:color="auto"/>
              <w:right w:val="single" w:sz="4" w:space="0" w:color="auto"/>
            </w:tcBorders>
          </w:tcPr>
          <w:p w:rsidR="003D65A2" w:rsidRDefault="003D65A2" w:rsidP="003D65A2">
            <w:pPr>
              <w:jc w:val="center"/>
              <w:rPr>
                <w:rFonts w:ascii="Arial Narrow" w:hAnsi="Arial Narrow" w:cs="Arial"/>
                <w:color w:val="000000"/>
                <w:szCs w:val="20"/>
              </w:rPr>
            </w:pPr>
            <w:r>
              <w:rPr>
                <w:rFonts w:ascii="Arial Narrow" w:hAnsi="Arial Narrow" w:cs="Arial"/>
                <w:color w:val="000000"/>
                <w:szCs w:val="20"/>
              </w:rPr>
              <w:t>1</w:t>
            </w:r>
          </w:p>
        </w:tc>
        <w:tc>
          <w:tcPr>
            <w:tcW w:w="587" w:type="dxa"/>
            <w:tcBorders>
              <w:top w:val="nil"/>
              <w:left w:val="nil"/>
              <w:bottom w:val="single" w:sz="4" w:space="0" w:color="auto"/>
              <w:right w:val="single" w:sz="4" w:space="0" w:color="auto"/>
            </w:tcBorders>
          </w:tcPr>
          <w:p w:rsidR="003D65A2" w:rsidRDefault="003D65A2" w:rsidP="003D65A2">
            <w:pPr>
              <w:jc w:val="center"/>
              <w:rPr>
                <w:rFonts w:ascii="Arial Narrow" w:hAnsi="Arial Narrow" w:cs="Arial"/>
                <w:color w:val="000000"/>
                <w:szCs w:val="20"/>
              </w:rPr>
            </w:pPr>
            <w:r>
              <w:rPr>
                <w:rFonts w:ascii="Arial Narrow" w:hAnsi="Arial Narrow" w:cs="Arial"/>
                <w:color w:val="000000"/>
                <w:szCs w:val="20"/>
              </w:rPr>
              <w:t>2</w:t>
            </w:r>
          </w:p>
        </w:tc>
        <w:tc>
          <w:tcPr>
            <w:tcW w:w="617" w:type="dxa"/>
            <w:tcBorders>
              <w:top w:val="nil"/>
              <w:left w:val="nil"/>
              <w:bottom w:val="single" w:sz="4" w:space="0" w:color="auto"/>
              <w:right w:val="single" w:sz="4" w:space="0" w:color="auto"/>
            </w:tcBorders>
          </w:tcPr>
          <w:p w:rsidR="003D65A2" w:rsidRDefault="003D65A2" w:rsidP="003D65A2">
            <w:pPr>
              <w:jc w:val="center"/>
              <w:rPr>
                <w:rFonts w:ascii="Arial Narrow" w:hAnsi="Arial Narrow" w:cs="Arial"/>
                <w:color w:val="000000"/>
                <w:szCs w:val="20"/>
              </w:rPr>
            </w:pPr>
            <w:r>
              <w:rPr>
                <w:rFonts w:ascii="Arial Narrow" w:hAnsi="Arial Narrow" w:cs="Arial"/>
                <w:color w:val="000000"/>
                <w:szCs w:val="20"/>
              </w:rPr>
              <w:t>0</w:t>
            </w:r>
          </w:p>
        </w:tc>
        <w:tc>
          <w:tcPr>
            <w:tcW w:w="680" w:type="dxa"/>
            <w:tcBorders>
              <w:top w:val="nil"/>
              <w:left w:val="nil"/>
              <w:bottom w:val="single" w:sz="4" w:space="0" w:color="auto"/>
              <w:right w:val="single" w:sz="4" w:space="0" w:color="auto"/>
            </w:tcBorders>
          </w:tcPr>
          <w:p w:rsidR="003D65A2" w:rsidRDefault="003D65A2" w:rsidP="003D65A2">
            <w:pPr>
              <w:jc w:val="center"/>
              <w:rPr>
                <w:rFonts w:ascii="Arial Narrow" w:hAnsi="Arial Narrow" w:cs="Arial"/>
                <w:color w:val="000000"/>
                <w:szCs w:val="20"/>
              </w:rPr>
            </w:pPr>
            <w:r>
              <w:rPr>
                <w:rFonts w:ascii="Arial Narrow" w:hAnsi="Arial Narrow" w:cs="Arial"/>
                <w:color w:val="000000"/>
                <w:szCs w:val="20"/>
              </w:rPr>
              <w:t>2</w:t>
            </w:r>
          </w:p>
        </w:tc>
        <w:tc>
          <w:tcPr>
            <w:tcW w:w="540" w:type="dxa"/>
            <w:tcBorders>
              <w:top w:val="nil"/>
              <w:left w:val="nil"/>
              <w:bottom w:val="single" w:sz="4" w:space="0" w:color="auto"/>
              <w:right w:val="single" w:sz="4" w:space="0" w:color="auto"/>
            </w:tcBorders>
            <w:shd w:val="clear" w:color="auto" w:fill="FFFFCC"/>
            <w:vAlign w:val="bottom"/>
          </w:tcPr>
          <w:p w:rsidR="003D65A2" w:rsidRDefault="003D65A2" w:rsidP="003D65A2">
            <w:pPr>
              <w:jc w:val="center"/>
              <w:rPr>
                <w:rFonts w:ascii="Arial Narrow" w:hAnsi="Arial Narrow" w:cs="Arial"/>
                <w:szCs w:val="20"/>
              </w:rPr>
            </w:pPr>
            <w:r>
              <w:rPr>
                <w:rFonts w:ascii="Arial Narrow" w:hAnsi="Arial Narrow" w:cs="Arial"/>
                <w:szCs w:val="20"/>
              </w:rPr>
              <w:t>5</w:t>
            </w:r>
          </w:p>
        </w:tc>
        <w:tc>
          <w:tcPr>
            <w:tcW w:w="630" w:type="dxa"/>
            <w:tcBorders>
              <w:top w:val="nil"/>
              <w:left w:val="nil"/>
              <w:bottom w:val="single" w:sz="4" w:space="0" w:color="auto"/>
              <w:right w:val="single" w:sz="4" w:space="0" w:color="auto"/>
            </w:tcBorders>
            <w:shd w:val="clear" w:color="auto" w:fill="FFFFCC"/>
            <w:vAlign w:val="bottom"/>
          </w:tcPr>
          <w:p w:rsidR="003D65A2" w:rsidRDefault="003D65A2" w:rsidP="003D65A2">
            <w:pPr>
              <w:jc w:val="center"/>
              <w:rPr>
                <w:rFonts w:ascii="Arial Narrow" w:hAnsi="Arial Narrow" w:cs="Arial"/>
                <w:szCs w:val="20"/>
              </w:rPr>
            </w:pPr>
            <w:r>
              <w:rPr>
                <w:rFonts w:ascii="Arial Narrow" w:hAnsi="Arial Narrow" w:cs="Arial"/>
                <w:szCs w:val="20"/>
              </w:rPr>
              <w:t>80</w:t>
            </w:r>
          </w:p>
        </w:tc>
        <w:tc>
          <w:tcPr>
            <w:tcW w:w="540" w:type="dxa"/>
            <w:tcBorders>
              <w:top w:val="nil"/>
              <w:left w:val="nil"/>
              <w:bottom w:val="single" w:sz="4" w:space="0" w:color="auto"/>
              <w:right w:val="single" w:sz="4" w:space="0" w:color="auto"/>
            </w:tcBorders>
          </w:tcPr>
          <w:p w:rsidR="003D65A2" w:rsidRDefault="003D65A2" w:rsidP="003D65A2">
            <w:pPr>
              <w:jc w:val="center"/>
              <w:rPr>
                <w:rFonts w:ascii="Arial Narrow" w:hAnsi="Arial Narrow" w:cs="Arial"/>
                <w:color w:val="000000"/>
                <w:szCs w:val="20"/>
              </w:rPr>
            </w:pPr>
            <w:r>
              <w:rPr>
                <w:rFonts w:ascii="Arial Narrow" w:hAnsi="Arial Narrow" w:cs="Arial"/>
                <w:color w:val="000000"/>
                <w:szCs w:val="20"/>
              </w:rPr>
              <w:t>8</w:t>
            </w:r>
          </w:p>
        </w:tc>
        <w:tc>
          <w:tcPr>
            <w:tcW w:w="540" w:type="dxa"/>
            <w:tcBorders>
              <w:top w:val="nil"/>
              <w:left w:val="nil"/>
              <w:bottom w:val="single" w:sz="4" w:space="0" w:color="auto"/>
              <w:right w:val="single" w:sz="4" w:space="0" w:color="auto"/>
            </w:tcBorders>
          </w:tcPr>
          <w:p w:rsidR="003D65A2" w:rsidRDefault="003D65A2" w:rsidP="003D65A2">
            <w:pPr>
              <w:jc w:val="center"/>
              <w:rPr>
                <w:rFonts w:ascii="Arial Narrow" w:hAnsi="Arial Narrow" w:cs="Arial"/>
                <w:color w:val="000000"/>
                <w:szCs w:val="20"/>
              </w:rPr>
            </w:pPr>
            <w:r>
              <w:rPr>
                <w:rFonts w:ascii="Arial Narrow" w:hAnsi="Arial Narrow" w:cs="Arial"/>
                <w:color w:val="000000"/>
                <w:szCs w:val="20"/>
              </w:rPr>
              <w:t>24</w:t>
            </w:r>
          </w:p>
        </w:tc>
        <w:tc>
          <w:tcPr>
            <w:tcW w:w="540" w:type="dxa"/>
            <w:tcBorders>
              <w:top w:val="nil"/>
              <w:left w:val="nil"/>
              <w:bottom w:val="single" w:sz="4" w:space="0" w:color="auto"/>
              <w:right w:val="single" w:sz="4" w:space="0" w:color="auto"/>
            </w:tcBorders>
          </w:tcPr>
          <w:p w:rsidR="003D65A2" w:rsidRDefault="003D65A2" w:rsidP="003D65A2">
            <w:pPr>
              <w:jc w:val="center"/>
              <w:rPr>
                <w:rFonts w:ascii="Arial Narrow" w:hAnsi="Arial Narrow" w:cs="Arial"/>
                <w:color w:val="000000"/>
                <w:szCs w:val="20"/>
              </w:rPr>
            </w:pPr>
            <w:r>
              <w:rPr>
                <w:rFonts w:ascii="Arial Narrow" w:hAnsi="Arial Narrow" w:cs="Arial"/>
                <w:color w:val="000000"/>
                <w:szCs w:val="20"/>
              </w:rPr>
              <w:t>0</w:t>
            </w:r>
          </w:p>
        </w:tc>
        <w:tc>
          <w:tcPr>
            <w:tcW w:w="540" w:type="dxa"/>
            <w:tcBorders>
              <w:top w:val="nil"/>
              <w:left w:val="nil"/>
              <w:bottom w:val="single" w:sz="4" w:space="0" w:color="auto"/>
              <w:right w:val="single" w:sz="4" w:space="0" w:color="auto"/>
            </w:tcBorders>
          </w:tcPr>
          <w:p w:rsidR="003D65A2" w:rsidRDefault="003D65A2" w:rsidP="003D65A2">
            <w:pPr>
              <w:jc w:val="center"/>
              <w:rPr>
                <w:rFonts w:ascii="Arial Narrow" w:hAnsi="Arial Narrow" w:cs="Arial"/>
                <w:color w:val="000000"/>
                <w:szCs w:val="20"/>
              </w:rPr>
            </w:pPr>
            <w:r>
              <w:rPr>
                <w:rFonts w:ascii="Arial Narrow" w:hAnsi="Arial Narrow" w:cs="Arial"/>
                <w:color w:val="000000"/>
                <w:szCs w:val="20"/>
              </w:rPr>
              <w:t>0</w:t>
            </w:r>
          </w:p>
        </w:tc>
        <w:tc>
          <w:tcPr>
            <w:tcW w:w="540" w:type="dxa"/>
            <w:tcBorders>
              <w:top w:val="nil"/>
              <w:left w:val="nil"/>
              <w:bottom w:val="single" w:sz="4" w:space="0" w:color="auto"/>
              <w:right w:val="single" w:sz="4" w:space="0" w:color="auto"/>
            </w:tcBorders>
            <w:shd w:val="clear" w:color="auto" w:fill="FFFFCC"/>
            <w:vAlign w:val="bottom"/>
          </w:tcPr>
          <w:p w:rsidR="003D65A2" w:rsidRDefault="003D65A2" w:rsidP="003D65A2">
            <w:pPr>
              <w:jc w:val="center"/>
              <w:rPr>
                <w:rFonts w:ascii="Arial Narrow" w:hAnsi="Arial Narrow" w:cs="Arial"/>
                <w:szCs w:val="20"/>
              </w:rPr>
            </w:pPr>
            <w:r>
              <w:rPr>
                <w:rFonts w:ascii="Arial Narrow" w:hAnsi="Arial Narrow" w:cs="Arial"/>
                <w:szCs w:val="20"/>
              </w:rPr>
              <w:t>32</w:t>
            </w:r>
          </w:p>
        </w:tc>
        <w:tc>
          <w:tcPr>
            <w:tcW w:w="540" w:type="dxa"/>
            <w:tcBorders>
              <w:top w:val="nil"/>
              <w:left w:val="nil"/>
              <w:bottom w:val="single" w:sz="4" w:space="0" w:color="auto"/>
              <w:right w:val="single" w:sz="4" w:space="0" w:color="auto"/>
            </w:tcBorders>
            <w:shd w:val="clear" w:color="auto" w:fill="FFFFCC"/>
            <w:vAlign w:val="bottom"/>
          </w:tcPr>
          <w:p w:rsidR="003D65A2" w:rsidRDefault="003D65A2" w:rsidP="003D65A2">
            <w:pPr>
              <w:jc w:val="center"/>
              <w:rPr>
                <w:rFonts w:ascii="Arial Narrow" w:hAnsi="Arial Narrow" w:cs="Arial"/>
                <w:szCs w:val="20"/>
              </w:rPr>
            </w:pPr>
            <w:r>
              <w:rPr>
                <w:rFonts w:ascii="Arial Narrow" w:hAnsi="Arial Narrow" w:cs="Arial"/>
                <w:szCs w:val="20"/>
              </w:rPr>
              <w:t>75</w:t>
            </w:r>
          </w:p>
        </w:tc>
        <w:tc>
          <w:tcPr>
            <w:tcW w:w="630" w:type="dxa"/>
            <w:tcBorders>
              <w:top w:val="nil"/>
              <w:left w:val="nil"/>
              <w:bottom w:val="single" w:sz="4" w:space="0" w:color="auto"/>
              <w:right w:val="single" w:sz="4" w:space="0" w:color="auto"/>
            </w:tcBorders>
            <w:shd w:val="clear" w:color="auto" w:fill="FFCC99"/>
            <w:vAlign w:val="bottom"/>
          </w:tcPr>
          <w:p w:rsidR="003D65A2" w:rsidRDefault="003D65A2" w:rsidP="003D65A2">
            <w:pPr>
              <w:jc w:val="center"/>
              <w:rPr>
                <w:rFonts w:ascii="Arial Narrow" w:hAnsi="Arial Narrow" w:cs="Arial"/>
                <w:szCs w:val="20"/>
              </w:rPr>
            </w:pPr>
            <w:r>
              <w:rPr>
                <w:rFonts w:ascii="Arial Narrow" w:hAnsi="Arial Narrow" w:cs="Arial"/>
                <w:szCs w:val="20"/>
              </w:rPr>
              <w:t>37</w:t>
            </w:r>
          </w:p>
        </w:tc>
        <w:tc>
          <w:tcPr>
            <w:tcW w:w="540" w:type="dxa"/>
            <w:tcBorders>
              <w:top w:val="nil"/>
              <w:left w:val="nil"/>
              <w:bottom w:val="single" w:sz="4" w:space="0" w:color="auto"/>
              <w:right w:val="single" w:sz="4" w:space="0" w:color="auto"/>
            </w:tcBorders>
            <w:shd w:val="clear" w:color="auto" w:fill="FFCC99"/>
            <w:vAlign w:val="bottom"/>
          </w:tcPr>
          <w:p w:rsidR="003D65A2" w:rsidRDefault="003D65A2" w:rsidP="003D65A2">
            <w:pPr>
              <w:jc w:val="center"/>
              <w:rPr>
                <w:rFonts w:ascii="Arial Narrow" w:hAnsi="Arial Narrow" w:cs="Arial"/>
                <w:szCs w:val="20"/>
              </w:rPr>
            </w:pPr>
            <w:r>
              <w:rPr>
                <w:rFonts w:ascii="Arial Narrow" w:hAnsi="Arial Narrow" w:cs="Arial"/>
                <w:szCs w:val="20"/>
              </w:rPr>
              <w:t>76</w:t>
            </w:r>
          </w:p>
        </w:tc>
      </w:tr>
      <w:tr w:rsidR="003D65A2" w:rsidTr="00EB368C">
        <w:trPr>
          <w:trHeight w:val="255"/>
        </w:trPr>
        <w:tc>
          <w:tcPr>
            <w:tcW w:w="757" w:type="dxa"/>
            <w:tcBorders>
              <w:top w:val="nil"/>
              <w:left w:val="single" w:sz="4" w:space="0" w:color="auto"/>
              <w:bottom w:val="single" w:sz="4" w:space="0" w:color="auto"/>
              <w:right w:val="nil"/>
            </w:tcBorders>
            <w:shd w:val="clear" w:color="auto" w:fill="FFCC99"/>
          </w:tcPr>
          <w:p w:rsidR="003D65A2" w:rsidRDefault="003D65A2" w:rsidP="003D65A2">
            <w:pPr>
              <w:rPr>
                <w:rFonts w:cs="Arial"/>
                <w:color w:val="000000"/>
                <w:sz w:val="18"/>
                <w:szCs w:val="20"/>
              </w:rPr>
            </w:pPr>
            <w:r>
              <w:rPr>
                <w:rFonts w:cs="Arial"/>
                <w:color w:val="000000"/>
                <w:sz w:val="18"/>
                <w:szCs w:val="20"/>
              </w:rPr>
              <w:t>NPO</w:t>
            </w:r>
          </w:p>
        </w:tc>
        <w:tc>
          <w:tcPr>
            <w:tcW w:w="617" w:type="dxa"/>
            <w:tcBorders>
              <w:top w:val="nil"/>
              <w:left w:val="single" w:sz="4" w:space="0" w:color="auto"/>
              <w:bottom w:val="single" w:sz="4" w:space="0" w:color="auto"/>
              <w:right w:val="single" w:sz="4" w:space="0" w:color="auto"/>
            </w:tcBorders>
          </w:tcPr>
          <w:p w:rsidR="003D65A2" w:rsidRDefault="003D65A2" w:rsidP="003D65A2">
            <w:pPr>
              <w:jc w:val="center"/>
              <w:rPr>
                <w:rFonts w:ascii="Arial Narrow" w:hAnsi="Arial Narrow" w:cs="Arial"/>
                <w:color w:val="000000"/>
                <w:szCs w:val="20"/>
              </w:rPr>
            </w:pPr>
            <w:r>
              <w:rPr>
                <w:rFonts w:ascii="Arial Narrow" w:hAnsi="Arial Narrow" w:cs="Arial"/>
                <w:color w:val="000000"/>
                <w:szCs w:val="20"/>
              </w:rPr>
              <w:t>0</w:t>
            </w:r>
          </w:p>
        </w:tc>
        <w:tc>
          <w:tcPr>
            <w:tcW w:w="587" w:type="dxa"/>
            <w:tcBorders>
              <w:top w:val="nil"/>
              <w:left w:val="nil"/>
              <w:bottom w:val="single" w:sz="4" w:space="0" w:color="auto"/>
              <w:right w:val="single" w:sz="4" w:space="0" w:color="auto"/>
            </w:tcBorders>
          </w:tcPr>
          <w:p w:rsidR="003D65A2" w:rsidRDefault="003D65A2" w:rsidP="003D65A2">
            <w:pPr>
              <w:jc w:val="center"/>
              <w:rPr>
                <w:rFonts w:ascii="Arial Narrow" w:hAnsi="Arial Narrow" w:cs="Arial"/>
                <w:color w:val="000000"/>
                <w:szCs w:val="20"/>
              </w:rPr>
            </w:pPr>
            <w:r>
              <w:rPr>
                <w:rFonts w:ascii="Arial Narrow" w:hAnsi="Arial Narrow" w:cs="Arial"/>
                <w:color w:val="000000"/>
                <w:szCs w:val="20"/>
              </w:rPr>
              <w:t>0</w:t>
            </w:r>
          </w:p>
        </w:tc>
        <w:tc>
          <w:tcPr>
            <w:tcW w:w="617" w:type="dxa"/>
            <w:tcBorders>
              <w:top w:val="nil"/>
              <w:left w:val="nil"/>
              <w:bottom w:val="single" w:sz="4" w:space="0" w:color="auto"/>
              <w:right w:val="single" w:sz="4" w:space="0" w:color="auto"/>
            </w:tcBorders>
          </w:tcPr>
          <w:p w:rsidR="003D65A2" w:rsidRDefault="003D65A2" w:rsidP="003D65A2">
            <w:pPr>
              <w:jc w:val="center"/>
              <w:rPr>
                <w:rFonts w:ascii="Arial Narrow" w:hAnsi="Arial Narrow" w:cs="Arial"/>
                <w:color w:val="000000"/>
                <w:szCs w:val="20"/>
              </w:rPr>
            </w:pPr>
            <w:r>
              <w:rPr>
                <w:rFonts w:ascii="Arial Narrow" w:hAnsi="Arial Narrow" w:cs="Arial"/>
                <w:color w:val="000000"/>
                <w:szCs w:val="20"/>
              </w:rPr>
              <w:t>0</w:t>
            </w:r>
          </w:p>
        </w:tc>
        <w:tc>
          <w:tcPr>
            <w:tcW w:w="680" w:type="dxa"/>
            <w:tcBorders>
              <w:top w:val="nil"/>
              <w:left w:val="nil"/>
              <w:bottom w:val="single" w:sz="4" w:space="0" w:color="auto"/>
              <w:right w:val="single" w:sz="4" w:space="0" w:color="auto"/>
            </w:tcBorders>
          </w:tcPr>
          <w:p w:rsidR="003D65A2" w:rsidRDefault="003D65A2" w:rsidP="003D65A2">
            <w:pPr>
              <w:jc w:val="center"/>
              <w:rPr>
                <w:rFonts w:ascii="Arial Narrow" w:hAnsi="Arial Narrow" w:cs="Arial"/>
                <w:color w:val="000000"/>
                <w:szCs w:val="20"/>
              </w:rPr>
            </w:pPr>
            <w:r>
              <w:rPr>
                <w:rFonts w:ascii="Arial Narrow" w:hAnsi="Arial Narrow" w:cs="Arial"/>
                <w:color w:val="000000"/>
                <w:szCs w:val="20"/>
              </w:rPr>
              <w:t>2</w:t>
            </w:r>
          </w:p>
        </w:tc>
        <w:tc>
          <w:tcPr>
            <w:tcW w:w="540" w:type="dxa"/>
            <w:tcBorders>
              <w:top w:val="nil"/>
              <w:left w:val="nil"/>
              <w:bottom w:val="single" w:sz="4" w:space="0" w:color="auto"/>
              <w:right w:val="single" w:sz="4" w:space="0" w:color="auto"/>
            </w:tcBorders>
            <w:shd w:val="clear" w:color="auto" w:fill="FFFFCC"/>
            <w:vAlign w:val="bottom"/>
          </w:tcPr>
          <w:p w:rsidR="003D65A2" w:rsidRDefault="003D65A2" w:rsidP="003D65A2">
            <w:pPr>
              <w:jc w:val="center"/>
              <w:rPr>
                <w:rFonts w:ascii="Arial Narrow" w:hAnsi="Arial Narrow" w:cs="Arial"/>
                <w:szCs w:val="20"/>
              </w:rPr>
            </w:pPr>
            <w:r>
              <w:rPr>
                <w:rFonts w:ascii="Arial Narrow" w:hAnsi="Arial Narrow" w:cs="Arial"/>
                <w:szCs w:val="20"/>
              </w:rPr>
              <w:t>2</w:t>
            </w:r>
          </w:p>
        </w:tc>
        <w:tc>
          <w:tcPr>
            <w:tcW w:w="630" w:type="dxa"/>
            <w:tcBorders>
              <w:top w:val="nil"/>
              <w:left w:val="nil"/>
              <w:bottom w:val="single" w:sz="4" w:space="0" w:color="auto"/>
              <w:right w:val="single" w:sz="4" w:space="0" w:color="auto"/>
            </w:tcBorders>
            <w:shd w:val="clear" w:color="auto" w:fill="FFFFCC"/>
            <w:vAlign w:val="bottom"/>
          </w:tcPr>
          <w:p w:rsidR="003D65A2" w:rsidRDefault="003D65A2" w:rsidP="003D65A2">
            <w:pPr>
              <w:jc w:val="center"/>
              <w:rPr>
                <w:rFonts w:ascii="Arial Narrow" w:hAnsi="Arial Narrow" w:cs="Arial"/>
                <w:szCs w:val="20"/>
              </w:rPr>
            </w:pPr>
            <w:r>
              <w:rPr>
                <w:rFonts w:ascii="Arial Narrow" w:hAnsi="Arial Narrow" w:cs="Arial"/>
                <w:szCs w:val="20"/>
              </w:rPr>
              <w:t>100</w:t>
            </w:r>
          </w:p>
        </w:tc>
        <w:tc>
          <w:tcPr>
            <w:tcW w:w="540" w:type="dxa"/>
            <w:tcBorders>
              <w:top w:val="nil"/>
              <w:left w:val="nil"/>
              <w:bottom w:val="single" w:sz="4" w:space="0" w:color="auto"/>
              <w:right w:val="single" w:sz="4" w:space="0" w:color="auto"/>
            </w:tcBorders>
          </w:tcPr>
          <w:p w:rsidR="003D65A2" w:rsidRDefault="003D65A2" w:rsidP="003D65A2">
            <w:pPr>
              <w:jc w:val="center"/>
              <w:rPr>
                <w:rFonts w:ascii="Arial Narrow" w:hAnsi="Arial Narrow" w:cs="Arial"/>
                <w:color w:val="000000"/>
                <w:szCs w:val="20"/>
              </w:rPr>
            </w:pPr>
            <w:r>
              <w:rPr>
                <w:rFonts w:ascii="Arial Narrow" w:hAnsi="Arial Narrow" w:cs="Arial"/>
                <w:color w:val="000000"/>
                <w:szCs w:val="20"/>
              </w:rPr>
              <w:t>0</w:t>
            </w:r>
          </w:p>
        </w:tc>
        <w:tc>
          <w:tcPr>
            <w:tcW w:w="540" w:type="dxa"/>
            <w:tcBorders>
              <w:top w:val="nil"/>
              <w:left w:val="nil"/>
              <w:bottom w:val="single" w:sz="4" w:space="0" w:color="auto"/>
              <w:right w:val="single" w:sz="4" w:space="0" w:color="auto"/>
            </w:tcBorders>
          </w:tcPr>
          <w:p w:rsidR="003D65A2" w:rsidRDefault="003D65A2" w:rsidP="003D65A2">
            <w:pPr>
              <w:jc w:val="center"/>
              <w:rPr>
                <w:rFonts w:ascii="Arial Narrow" w:hAnsi="Arial Narrow" w:cs="Arial"/>
                <w:color w:val="000000"/>
                <w:szCs w:val="20"/>
              </w:rPr>
            </w:pPr>
            <w:r>
              <w:rPr>
                <w:rFonts w:ascii="Arial Narrow" w:hAnsi="Arial Narrow" w:cs="Arial"/>
                <w:color w:val="000000"/>
                <w:szCs w:val="20"/>
              </w:rPr>
              <w:t>0</w:t>
            </w:r>
          </w:p>
        </w:tc>
        <w:tc>
          <w:tcPr>
            <w:tcW w:w="540" w:type="dxa"/>
            <w:tcBorders>
              <w:top w:val="nil"/>
              <w:left w:val="nil"/>
              <w:bottom w:val="single" w:sz="4" w:space="0" w:color="auto"/>
              <w:right w:val="single" w:sz="4" w:space="0" w:color="auto"/>
            </w:tcBorders>
          </w:tcPr>
          <w:p w:rsidR="003D65A2" w:rsidRDefault="003D65A2" w:rsidP="003D65A2">
            <w:pPr>
              <w:jc w:val="center"/>
              <w:rPr>
                <w:rFonts w:ascii="Arial Narrow" w:hAnsi="Arial Narrow" w:cs="Arial"/>
                <w:color w:val="000000"/>
                <w:szCs w:val="20"/>
              </w:rPr>
            </w:pPr>
            <w:r>
              <w:rPr>
                <w:rFonts w:ascii="Arial Narrow" w:hAnsi="Arial Narrow" w:cs="Arial"/>
                <w:color w:val="000000"/>
                <w:szCs w:val="20"/>
              </w:rPr>
              <w:t>0</w:t>
            </w:r>
          </w:p>
        </w:tc>
        <w:tc>
          <w:tcPr>
            <w:tcW w:w="540" w:type="dxa"/>
            <w:tcBorders>
              <w:top w:val="nil"/>
              <w:left w:val="nil"/>
              <w:bottom w:val="single" w:sz="4" w:space="0" w:color="auto"/>
              <w:right w:val="single" w:sz="4" w:space="0" w:color="auto"/>
            </w:tcBorders>
          </w:tcPr>
          <w:p w:rsidR="003D65A2" w:rsidRDefault="003D65A2" w:rsidP="003D65A2">
            <w:pPr>
              <w:jc w:val="center"/>
              <w:rPr>
                <w:rFonts w:ascii="Arial Narrow" w:hAnsi="Arial Narrow" w:cs="Arial"/>
                <w:color w:val="000000"/>
                <w:szCs w:val="20"/>
              </w:rPr>
            </w:pPr>
            <w:r>
              <w:rPr>
                <w:rFonts w:ascii="Arial Narrow" w:hAnsi="Arial Narrow" w:cs="Arial"/>
                <w:color w:val="000000"/>
                <w:szCs w:val="20"/>
              </w:rPr>
              <w:t>0</w:t>
            </w:r>
          </w:p>
        </w:tc>
        <w:tc>
          <w:tcPr>
            <w:tcW w:w="540" w:type="dxa"/>
            <w:tcBorders>
              <w:top w:val="nil"/>
              <w:left w:val="nil"/>
              <w:bottom w:val="single" w:sz="4" w:space="0" w:color="auto"/>
              <w:right w:val="single" w:sz="4" w:space="0" w:color="auto"/>
            </w:tcBorders>
            <w:shd w:val="clear" w:color="auto" w:fill="FFFFCC"/>
            <w:vAlign w:val="bottom"/>
          </w:tcPr>
          <w:p w:rsidR="003D65A2" w:rsidRDefault="003D65A2" w:rsidP="003D65A2">
            <w:pPr>
              <w:jc w:val="center"/>
              <w:rPr>
                <w:rFonts w:ascii="Arial Narrow" w:hAnsi="Arial Narrow" w:cs="Arial"/>
                <w:szCs w:val="20"/>
              </w:rPr>
            </w:pPr>
            <w:r>
              <w:rPr>
                <w:rFonts w:ascii="Arial Narrow" w:hAnsi="Arial Narrow" w:cs="Arial"/>
                <w:szCs w:val="20"/>
              </w:rPr>
              <w:t>0</w:t>
            </w:r>
          </w:p>
        </w:tc>
        <w:tc>
          <w:tcPr>
            <w:tcW w:w="540" w:type="dxa"/>
            <w:tcBorders>
              <w:top w:val="nil"/>
              <w:left w:val="nil"/>
              <w:bottom w:val="single" w:sz="4" w:space="0" w:color="auto"/>
              <w:right w:val="single" w:sz="4" w:space="0" w:color="auto"/>
            </w:tcBorders>
            <w:shd w:val="clear" w:color="auto" w:fill="FFFFCC"/>
            <w:vAlign w:val="bottom"/>
          </w:tcPr>
          <w:p w:rsidR="003D65A2" w:rsidRDefault="003D65A2" w:rsidP="003D65A2">
            <w:pPr>
              <w:jc w:val="center"/>
              <w:rPr>
                <w:rFonts w:ascii="Arial Narrow" w:hAnsi="Arial Narrow" w:cs="Arial"/>
                <w:szCs w:val="20"/>
              </w:rPr>
            </w:pPr>
            <w:r>
              <w:rPr>
                <w:rFonts w:ascii="Arial Narrow" w:hAnsi="Arial Narrow" w:cs="Arial"/>
                <w:szCs w:val="20"/>
              </w:rPr>
              <w:t>0</w:t>
            </w:r>
          </w:p>
        </w:tc>
        <w:tc>
          <w:tcPr>
            <w:tcW w:w="630" w:type="dxa"/>
            <w:tcBorders>
              <w:top w:val="nil"/>
              <w:left w:val="nil"/>
              <w:bottom w:val="single" w:sz="4" w:space="0" w:color="auto"/>
              <w:right w:val="single" w:sz="4" w:space="0" w:color="auto"/>
            </w:tcBorders>
            <w:shd w:val="clear" w:color="auto" w:fill="FFCC99"/>
            <w:vAlign w:val="bottom"/>
          </w:tcPr>
          <w:p w:rsidR="003D65A2" w:rsidRDefault="003D65A2" w:rsidP="003D65A2">
            <w:pPr>
              <w:jc w:val="center"/>
              <w:rPr>
                <w:rFonts w:ascii="Arial Narrow" w:hAnsi="Arial Narrow" w:cs="Arial"/>
                <w:szCs w:val="20"/>
              </w:rPr>
            </w:pPr>
            <w:r>
              <w:rPr>
                <w:rFonts w:ascii="Arial Narrow" w:hAnsi="Arial Narrow" w:cs="Arial"/>
                <w:szCs w:val="20"/>
              </w:rPr>
              <w:t>2</w:t>
            </w:r>
          </w:p>
        </w:tc>
        <w:tc>
          <w:tcPr>
            <w:tcW w:w="540" w:type="dxa"/>
            <w:tcBorders>
              <w:top w:val="nil"/>
              <w:left w:val="nil"/>
              <w:bottom w:val="single" w:sz="4" w:space="0" w:color="auto"/>
              <w:right w:val="single" w:sz="4" w:space="0" w:color="auto"/>
            </w:tcBorders>
            <w:shd w:val="clear" w:color="auto" w:fill="FFCC99"/>
            <w:vAlign w:val="bottom"/>
          </w:tcPr>
          <w:p w:rsidR="003D65A2" w:rsidRDefault="003D65A2" w:rsidP="003D65A2">
            <w:pPr>
              <w:jc w:val="center"/>
              <w:rPr>
                <w:rFonts w:ascii="Arial Narrow" w:hAnsi="Arial Narrow" w:cs="Arial"/>
                <w:szCs w:val="20"/>
              </w:rPr>
            </w:pPr>
            <w:r>
              <w:rPr>
                <w:rFonts w:ascii="Arial Narrow" w:hAnsi="Arial Narrow" w:cs="Arial"/>
                <w:szCs w:val="20"/>
              </w:rPr>
              <w:t>100</w:t>
            </w:r>
          </w:p>
        </w:tc>
      </w:tr>
      <w:tr w:rsidR="003D65A2" w:rsidTr="00EB368C">
        <w:trPr>
          <w:trHeight w:val="255"/>
        </w:trPr>
        <w:tc>
          <w:tcPr>
            <w:tcW w:w="757" w:type="dxa"/>
            <w:tcBorders>
              <w:top w:val="nil"/>
              <w:left w:val="single" w:sz="4" w:space="0" w:color="auto"/>
              <w:bottom w:val="single" w:sz="4" w:space="0" w:color="auto"/>
              <w:right w:val="nil"/>
            </w:tcBorders>
            <w:shd w:val="clear" w:color="auto" w:fill="CCCCFF"/>
          </w:tcPr>
          <w:p w:rsidR="00EB368C" w:rsidRDefault="00EB368C" w:rsidP="003D65A2">
            <w:pPr>
              <w:rPr>
                <w:rFonts w:cs="Arial"/>
                <w:b/>
                <w:bCs/>
                <w:color w:val="000000"/>
                <w:sz w:val="18"/>
                <w:szCs w:val="20"/>
              </w:rPr>
            </w:pPr>
          </w:p>
          <w:p w:rsidR="003D65A2" w:rsidRDefault="003D65A2" w:rsidP="003D65A2">
            <w:pPr>
              <w:rPr>
                <w:rFonts w:cs="Arial"/>
                <w:b/>
                <w:bCs/>
                <w:color w:val="000000"/>
                <w:sz w:val="18"/>
                <w:szCs w:val="20"/>
              </w:rPr>
            </w:pPr>
            <w:r>
              <w:rPr>
                <w:rFonts w:cs="Arial"/>
                <w:b/>
                <w:bCs/>
                <w:color w:val="000000"/>
                <w:sz w:val="18"/>
                <w:szCs w:val="20"/>
              </w:rPr>
              <w:t>Total</w:t>
            </w:r>
          </w:p>
        </w:tc>
        <w:tc>
          <w:tcPr>
            <w:tcW w:w="617" w:type="dxa"/>
            <w:tcBorders>
              <w:top w:val="nil"/>
              <w:left w:val="single" w:sz="4" w:space="0" w:color="auto"/>
              <w:bottom w:val="single" w:sz="4" w:space="0" w:color="auto"/>
              <w:right w:val="single" w:sz="4" w:space="0" w:color="auto"/>
            </w:tcBorders>
            <w:shd w:val="clear" w:color="auto" w:fill="CCCCFF"/>
          </w:tcPr>
          <w:p w:rsidR="00EB368C" w:rsidRDefault="00EB368C" w:rsidP="003D65A2">
            <w:pPr>
              <w:jc w:val="center"/>
              <w:rPr>
                <w:rFonts w:ascii="Arial Narrow" w:hAnsi="Arial Narrow" w:cs="Arial"/>
                <w:b/>
                <w:bCs/>
                <w:color w:val="000000"/>
                <w:szCs w:val="20"/>
              </w:rPr>
            </w:pPr>
          </w:p>
          <w:p w:rsidR="003D65A2" w:rsidRDefault="003D65A2" w:rsidP="003D65A2">
            <w:pPr>
              <w:jc w:val="center"/>
              <w:rPr>
                <w:rFonts w:ascii="Arial Narrow" w:hAnsi="Arial Narrow" w:cs="Arial"/>
                <w:b/>
                <w:bCs/>
                <w:color w:val="000000"/>
                <w:szCs w:val="20"/>
              </w:rPr>
            </w:pPr>
            <w:r>
              <w:rPr>
                <w:rFonts w:ascii="Arial Narrow" w:hAnsi="Arial Narrow" w:cs="Arial"/>
                <w:b/>
                <w:bCs/>
                <w:color w:val="000000"/>
                <w:szCs w:val="20"/>
              </w:rPr>
              <w:t>9</w:t>
            </w:r>
          </w:p>
        </w:tc>
        <w:tc>
          <w:tcPr>
            <w:tcW w:w="587" w:type="dxa"/>
            <w:tcBorders>
              <w:top w:val="nil"/>
              <w:left w:val="nil"/>
              <w:bottom w:val="single" w:sz="4" w:space="0" w:color="auto"/>
              <w:right w:val="single" w:sz="4" w:space="0" w:color="auto"/>
            </w:tcBorders>
            <w:shd w:val="clear" w:color="auto" w:fill="CCCCFF"/>
          </w:tcPr>
          <w:p w:rsidR="00EB368C" w:rsidRDefault="00EB368C" w:rsidP="003D65A2">
            <w:pPr>
              <w:jc w:val="center"/>
              <w:rPr>
                <w:rFonts w:ascii="Arial Narrow" w:hAnsi="Arial Narrow" w:cs="Arial"/>
                <w:b/>
                <w:bCs/>
                <w:color w:val="000000"/>
                <w:szCs w:val="20"/>
              </w:rPr>
            </w:pPr>
          </w:p>
          <w:p w:rsidR="003D65A2" w:rsidRDefault="003D65A2" w:rsidP="003D65A2">
            <w:pPr>
              <w:jc w:val="center"/>
              <w:rPr>
                <w:rFonts w:ascii="Arial Narrow" w:hAnsi="Arial Narrow" w:cs="Arial"/>
                <w:b/>
                <w:bCs/>
                <w:color w:val="000000"/>
                <w:szCs w:val="20"/>
              </w:rPr>
            </w:pPr>
            <w:r>
              <w:rPr>
                <w:rFonts w:ascii="Arial Narrow" w:hAnsi="Arial Narrow" w:cs="Arial"/>
                <w:b/>
                <w:bCs/>
                <w:color w:val="000000"/>
                <w:szCs w:val="20"/>
              </w:rPr>
              <w:t>6</w:t>
            </w:r>
          </w:p>
        </w:tc>
        <w:tc>
          <w:tcPr>
            <w:tcW w:w="617" w:type="dxa"/>
            <w:tcBorders>
              <w:top w:val="nil"/>
              <w:left w:val="nil"/>
              <w:bottom w:val="single" w:sz="4" w:space="0" w:color="auto"/>
              <w:right w:val="single" w:sz="4" w:space="0" w:color="auto"/>
            </w:tcBorders>
            <w:shd w:val="clear" w:color="auto" w:fill="CCCCFF"/>
          </w:tcPr>
          <w:p w:rsidR="00EB368C" w:rsidRDefault="00EB368C" w:rsidP="003D65A2">
            <w:pPr>
              <w:jc w:val="center"/>
              <w:rPr>
                <w:rFonts w:ascii="Arial Narrow" w:hAnsi="Arial Narrow" w:cs="Arial"/>
                <w:b/>
                <w:bCs/>
                <w:color w:val="000000"/>
                <w:szCs w:val="20"/>
              </w:rPr>
            </w:pPr>
          </w:p>
          <w:p w:rsidR="003D65A2" w:rsidRDefault="003D65A2" w:rsidP="003D65A2">
            <w:pPr>
              <w:jc w:val="center"/>
              <w:rPr>
                <w:rFonts w:ascii="Arial Narrow" w:hAnsi="Arial Narrow" w:cs="Arial"/>
                <w:b/>
                <w:bCs/>
                <w:color w:val="000000"/>
                <w:szCs w:val="20"/>
              </w:rPr>
            </w:pPr>
            <w:r>
              <w:rPr>
                <w:rFonts w:ascii="Arial Narrow" w:hAnsi="Arial Narrow" w:cs="Arial"/>
                <w:b/>
                <w:bCs/>
                <w:color w:val="000000"/>
                <w:szCs w:val="20"/>
              </w:rPr>
              <w:t>4</w:t>
            </w:r>
          </w:p>
        </w:tc>
        <w:tc>
          <w:tcPr>
            <w:tcW w:w="680" w:type="dxa"/>
            <w:tcBorders>
              <w:top w:val="nil"/>
              <w:left w:val="nil"/>
              <w:bottom w:val="single" w:sz="4" w:space="0" w:color="auto"/>
              <w:right w:val="single" w:sz="4" w:space="0" w:color="auto"/>
            </w:tcBorders>
            <w:shd w:val="clear" w:color="auto" w:fill="CCCCFF"/>
          </w:tcPr>
          <w:p w:rsidR="00EB368C" w:rsidRDefault="00EB368C" w:rsidP="003D65A2">
            <w:pPr>
              <w:jc w:val="center"/>
              <w:rPr>
                <w:rFonts w:ascii="Arial Narrow" w:hAnsi="Arial Narrow" w:cs="Arial"/>
                <w:b/>
                <w:bCs/>
                <w:color w:val="000000"/>
                <w:szCs w:val="20"/>
              </w:rPr>
            </w:pPr>
          </w:p>
          <w:p w:rsidR="003D65A2" w:rsidRDefault="003D65A2" w:rsidP="003D65A2">
            <w:pPr>
              <w:jc w:val="center"/>
              <w:rPr>
                <w:rFonts w:ascii="Arial Narrow" w:hAnsi="Arial Narrow" w:cs="Arial"/>
                <w:b/>
                <w:bCs/>
                <w:color w:val="000000"/>
                <w:szCs w:val="20"/>
              </w:rPr>
            </w:pPr>
            <w:r>
              <w:rPr>
                <w:rFonts w:ascii="Arial Narrow" w:hAnsi="Arial Narrow" w:cs="Arial"/>
                <w:b/>
                <w:bCs/>
                <w:color w:val="000000"/>
                <w:szCs w:val="20"/>
              </w:rPr>
              <w:t>7</w:t>
            </w:r>
          </w:p>
        </w:tc>
        <w:tc>
          <w:tcPr>
            <w:tcW w:w="540" w:type="dxa"/>
            <w:tcBorders>
              <w:top w:val="nil"/>
              <w:left w:val="nil"/>
              <w:bottom w:val="single" w:sz="4" w:space="0" w:color="auto"/>
              <w:right w:val="single" w:sz="4" w:space="0" w:color="auto"/>
            </w:tcBorders>
            <w:shd w:val="clear" w:color="auto" w:fill="CCCCFF"/>
          </w:tcPr>
          <w:p w:rsidR="00EB368C" w:rsidRDefault="00EB368C" w:rsidP="003D65A2">
            <w:pPr>
              <w:jc w:val="center"/>
              <w:rPr>
                <w:rFonts w:ascii="Arial Narrow" w:hAnsi="Arial Narrow" w:cs="Arial"/>
                <w:b/>
                <w:bCs/>
                <w:color w:val="000000"/>
                <w:szCs w:val="20"/>
              </w:rPr>
            </w:pPr>
          </w:p>
          <w:p w:rsidR="003D65A2" w:rsidRDefault="003D65A2" w:rsidP="003D65A2">
            <w:pPr>
              <w:jc w:val="center"/>
              <w:rPr>
                <w:rFonts w:ascii="Arial Narrow" w:hAnsi="Arial Narrow" w:cs="Arial"/>
                <w:b/>
                <w:bCs/>
                <w:color w:val="000000"/>
                <w:szCs w:val="20"/>
              </w:rPr>
            </w:pPr>
            <w:r>
              <w:rPr>
                <w:rFonts w:ascii="Arial Narrow" w:hAnsi="Arial Narrow" w:cs="Arial"/>
                <w:b/>
                <w:bCs/>
                <w:color w:val="000000"/>
                <w:szCs w:val="20"/>
              </w:rPr>
              <w:t>26</w:t>
            </w:r>
          </w:p>
        </w:tc>
        <w:tc>
          <w:tcPr>
            <w:tcW w:w="630" w:type="dxa"/>
            <w:tcBorders>
              <w:top w:val="nil"/>
              <w:left w:val="nil"/>
              <w:bottom w:val="single" w:sz="4" w:space="0" w:color="auto"/>
              <w:right w:val="single" w:sz="4" w:space="0" w:color="auto"/>
            </w:tcBorders>
            <w:shd w:val="clear" w:color="auto" w:fill="CCCCFF"/>
          </w:tcPr>
          <w:p w:rsidR="00EB368C" w:rsidRDefault="00EB368C" w:rsidP="003D65A2">
            <w:pPr>
              <w:jc w:val="center"/>
              <w:rPr>
                <w:rFonts w:ascii="Arial Narrow" w:hAnsi="Arial Narrow" w:cs="Arial"/>
                <w:b/>
                <w:bCs/>
                <w:color w:val="000000"/>
                <w:szCs w:val="20"/>
              </w:rPr>
            </w:pPr>
          </w:p>
          <w:p w:rsidR="003D65A2" w:rsidRDefault="003D65A2" w:rsidP="003D65A2">
            <w:pPr>
              <w:jc w:val="center"/>
              <w:rPr>
                <w:rFonts w:ascii="Arial Narrow" w:hAnsi="Arial Narrow" w:cs="Arial"/>
                <w:b/>
                <w:bCs/>
                <w:color w:val="000000"/>
                <w:szCs w:val="20"/>
              </w:rPr>
            </w:pPr>
            <w:r>
              <w:rPr>
                <w:rFonts w:ascii="Arial Narrow" w:hAnsi="Arial Narrow" w:cs="Arial"/>
                <w:b/>
                <w:bCs/>
                <w:color w:val="000000"/>
                <w:szCs w:val="20"/>
              </w:rPr>
              <w:t>50</w:t>
            </w:r>
          </w:p>
        </w:tc>
        <w:tc>
          <w:tcPr>
            <w:tcW w:w="540" w:type="dxa"/>
            <w:tcBorders>
              <w:top w:val="nil"/>
              <w:left w:val="nil"/>
              <w:bottom w:val="single" w:sz="4" w:space="0" w:color="auto"/>
              <w:right w:val="single" w:sz="4" w:space="0" w:color="auto"/>
            </w:tcBorders>
            <w:shd w:val="clear" w:color="auto" w:fill="CCCCFF"/>
          </w:tcPr>
          <w:p w:rsidR="00EB368C" w:rsidRDefault="00EB368C" w:rsidP="003D65A2">
            <w:pPr>
              <w:jc w:val="center"/>
              <w:rPr>
                <w:rFonts w:ascii="Arial Narrow" w:hAnsi="Arial Narrow" w:cs="Arial"/>
                <w:b/>
                <w:bCs/>
                <w:color w:val="000000"/>
                <w:szCs w:val="20"/>
              </w:rPr>
            </w:pPr>
          </w:p>
          <w:p w:rsidR="003D65A2" w:rsidRDefault="003D65A2" w:rsidP="003D65A2">
            <w:pPr>
              <w:jc w:val="center"/>
              <w:rPr>
                <w:rFonts w:ascii="Arial Narrow" w:hAnsi="Arial Narrow" w:cs="Arial"/>
                <w:b/>
                <w:bCs/>
                <w:color w:val="000000"/>
                <w:szCs w:val="20"/>
              </w:rPr>
            </w:pPr>
            <w:r>
              <w:rPr>
                <w:rFonts w:ascii="Arial Narrow" w:hAnsi="Arial Narrow" w:cs="Arial"/>
                <w:b/>
                <w:bCs/>
                <w:color w:val="000000"/>
                <w:szCs w:val="20"/>
              </w:rPr>
              <w:t>37</w:t>
            </w:r>
          </w:p>
        </w:tc>
        <w:tc>
          <w:tcPr>
            <w:tcW w:w="540" w:type="dxa"/>
            <w:tcBorders>
              <w:top w:val="nil"/>
              <w:left w:val="nil"/>
              <w:bottom w:val="single" w:sz="4" w:space="0" w:color="auto"/>
              <w:right w:val="single" w:sz="4" w:space="0" w:color="auto"/>
            </w:tcBorders>
            <w:shd w:val="clear" w:color="auto" w:fill="CCCCFF"/>
          </w:tcPr>
          <w:p w:rsidR="00EB368C" w:rsidRDefault="00EB368C" w:rsidP="003D65A2">
            <w:pPr>
              <w:jc w:val="center"/>
              <w:rPr>
                <w:rFonts w:ascii="Arial Narrow" w:hAnsi="Arial Narrow" w:cs="Arial"/>
                <w:b/>
                <w:bCs/>
                <w:color w:val="000000"/>
                <w:szCs w:val="20"/>
              </w:rPr>
            </w:pPr>
          </w:p>
          <w:p w:rsidR="003D65A2" w:rsidRDefault="003D65A2" w:rsidP="003D65A2">
            <w:pPr>
              <w:jc w:val="center"/>
              <w:rPr>
                <w:rFonts w:ascii="Arial Narrow" w:hAnsi="Arial Narrow" w:cs="Arial"/>
                <w:b/>
                <w:bCs/>
                <w:color w:val="000000"/>
                <w:szCs w:val="20"/>
              </w:rPr>
            </w:pPr>
            <w:r>
              <w:rPr>
                <w:rFonts w:ascii="Arial Narrow" w:hAnsi="Arial Narrow" w:cs="Arial"/>
                <w:b/>
                <w:bCs/>
                <w:color w:val="000000"/>
                <w:szCs w:val="20"/>
              </w:rPr>
              <w:t>64</w:t>
            </w:r>
          </w:p>
        </w:tc>
        <w:tc>
          <w:tcPr>
            <w:tcW w:w="540" w:type="dxa"/>
            <w:tcBorders>
              <w:top w:val="nil"/>
              <w:left w:val="nil"/>
              <w:bottom w:val="single" w:sz="4" w:space="0" w:color="auto"/>
              <w:right w:val="single" w:sz="4" w:space="0" w:color="auto"/>
            </w:tcBorders>
            <w:shd w:val="clear" w:color="auto" w:fill="CCCCFF"/>
          </w:tcPr>
          <w:p w:rsidR="00EB368C" w:rsidRDefault="00EB368C" w:rsidP="003D65A2">
            <w:pPr>
              <w:jc w:val="center"/>
              <w:rPr>
                <w:rFonts w:ascii="Arial Narrow" w:hAnsi="Arial Narrow" w:cs="Arial"/>
                <w:b/>
                <w:bCs/>
                <w:color w:val="000000"/>
                <w:szCs w:val="20"/>
              </w:rPr>
            </w:pPr>
          </w:p>
          <w:p w:rsidR="003D65A2" w:rsidRDefault="003D65A2" w:rsidP="003D65A2">
            <w:pPr>
              <w:jc w:val="center"/>
              <w:rPr>
                <w:rFonts w:ascii="Arial Narrow" w:hAnsi="Arial Narrow" w:cs="Arial"/>
                <w:b/>
                <w:bCs/>
                <w:color w:val="000000"/>
                <w:szCs w:val="20"/>
              </w:rPr>
            </w:pPr>
            <w:r>
              <w:rPr>
                <w:rFonts w:ascii="Arial Narrow" w:hAnsi="Arial Narrow" w:cs="Arial"/>
                <w:b/>
                <w:bCs/>
                <w:color w:val="000000"/>
                <w:szCs w:val="20"/>
              </w:rPr>
              <w:t>23</w:t>
            </w:r>
          </w:p>
        </w:tc>
        <w:tc>
          <w:tcPr>
            <w:tcW w:w="540" w:type="dxa"/>
            <w:tcBorders>
              <w:top w:val="nil"/>
              <w:left w:val="nil"/>
              <w:bottom w:val="single" w:sz="4" w:space="0" w:color="auto"/>
              <w:right w:val="single" w:sz="4" w:space="0" w:color="auto"/>
            </w:tcBorders>
            <w:shd w:val="clear" w:color="auto" w:fill="CCCCFF"/>
          </w:tcPr>
          <w:p w:rsidR="00EB368C" w:rsidRDefault="00EB368C" w:rsidP="003D65A2">
            <w:pPr>
              <w:jc w:val="center"/>
              <w:rPr>
                <w:rFonts w:ascii="Arial Narrow" w:hAnsi="Arial Narrow" w:cs="Arial"/>
                <w:b/>
                <w:bCs/>
                <w:color w:val="000000"/>
                <w:szCs w:val="20"/>
              </w:rPr>
            </w:pPr>
          </w:p>
          <w:p w:rsidR="003D65A2" w:rsidRDefault="003D65A2" w:rsidP="003D65A2">
            <w:pPr>
              <w:jc w:val="center"/>
              <w:rPr>
                <w:rFonts w:ascii="Arial Narrow" w:hAnsi="Arial Narrow" w:cs="Arial"/>
                <w:b/>
                <w:bCs/>
                <w:color w:val="000000"/>
                <w:szCs w:val="20"/>
              </w:rPr>
            </w:pPr>
            <w:r>
              <w:rPr>
                <w:rFonts w:ascii="Arial Narrow" w:hAnsi="Arial Narrow" w:cs="Arial"/>
                <w:b/>
                <w:bCs/>
                <w:color w:val="000000"/>
                <w:szCs w:val="20"/>
              </w:rPr>
              <w:t>12</w:t>
            </w:r>
          </w:p>
        </w:tc>
        <w:tc>
          <w:tcPr>
            <w:tcW w:w="540" w:type="dxa"/>
            <w:tcBorders>
              <w:top w:val="nil"/>
              <w:left w:val="nil"/>
              <w:bottom w:val="single" w:sz="4" w:space="0" w:color="auto"/>
              <w:right w:val="single" w:sz="4" w:space="0" w:color="auto"/>
            </w:tcBorders>
            <w:shd w:val="clear" w:color="auto" w:fill="CCCCFF"/>
          </w:tcPr>
          <w:p w:rsidR="005E1BEC" w:rsidRDefault="005E1BEC" w:rsidP="003D65A2">
            <w:pPr>
              <w:jc w:val="center"/>
              <w:rPr>
                <w:rFonts w:ascii="Arial Narrow" w:hAnsi="Arial Narrow" w:cs="Arial"/>
                <w:b/>
                <w:bCs/>
                <w:color w:val="000000"/>
                <w:szCs w:val="20"/>
              </w:rPr>
            </w:pPr>
          </w:p>
          <w:p w:rsidR="003D65A2" w:rsidRDefault="003D65A2" w:rsidP="003D65A2">
            <w:pPr>
              <w:jc w:val="center"/>
              <w:rPr>
                <w:rFonts w:ascii="Arial Narrow" w:hAnsi="Arial Narrow" w:cs="Arial"/>
                <w:b/>
                <w:bCs/>
                <w:color w:val="000000"/>
                <w:szCs w:val="20"/>
              </w:rPr>
            </w:pPr>
            <w:r>
              <w:rPr>
                <w:rFonts w:ascii="Arial Narrow" w:hAnsi="Arial Narrow" w:cs="Arial"/>
                <w:b/>
                <w:bCs/>
                <w:color w:val="000000"/>
                <w:szCs w:val="20"/>
              </w:rPr>
              <w:t>136</w:t>
            </w:r>
          </w:p>
        </w:tc>
        <w:tc>
          <w:tcPr>
            <w:tcW w:w="540" w:type="dxa"/>
            <w:tcBorders>
              <w:top w:val="nil"/>
              <w:left w:val="nil"/>
              <w:bottom w:val="single" w:sz="4" w:space="0" w:color="auto"/>
              <w:right w:val="single" w:sz="4" w:space="0" w:color="auto"/>
            </w:tcBorders>
            <w:shd w:val="clear" w:color="auto" w:fill="CCCCFF"/>
          </w:tcPr>
          <w:p w:rsidR="005E1BEC" w:rsidRDefault="005E1BEC" w:rsidP="003D65A2">
            <w:pPr>
              <w:jc w:val="center"/>
              <w:rPr>
                <w:rFonts w:ascii="Arial Narrow" w:hAnsi="Arial Narrow" w:cs="Arial"/>
                <w:b/>
                <w:bCs/>
                <w:color w:val="000000"/>
                <w:szCs w:val="20"/>
              </w:rPr>
            </w:pPr>
          </w:p>
          <w:p w:rsidR="003D65A2" w:rsidRDefault="003D65A2" w:rsidP="003D65A2">
            <w:pPr>
              <w:jc w:val="center"/>
              <w:rPr>
                <w:rFonts w:ascii="Arial Narrow" w:hAnsi="Arial Narrow" w:cs="Arial"/>
                <w:b/>
                <w:bCs/>
                <w:color w:val="000000"/>
                <w:szCs w:val="20"/>
              </w:rPr>
            </w:pPr>
            <w:r>
              <w:rPr>
                <w:rFonts w:ascii="Arial Narrow" w:hAnsi="Arial Narrow" w:cs="Arial"/>
                <w:b/>
                <w:bCs/>
                <w:color w:val="000000"/>
                <w:szCs w:val="20"/>
              </w:rPr>
              <w:t>56</w:t>
            </w:r>
          </w:p>
        </w:tc>
        <w:tc>
          <w:tcPr>
            <w:tcW w:w="630" w:type="dxa"/>
            <w:tcBorders>
              <w:top w:val="nil"/>
              <w:left w:val="nil"/>
              <w:bottom w:val="single" w:sz="4" w:space="0" w:color="auto"/>
              <w:right w:val="single" w:sz="4" w:space="0" w:color="auto"/>
            </w:tcBorders>
            <w:shd w:val="clear" w:color="auto" w:fill="CCCCFF"/>
          </w:tcPr>
          <w:p w:rsidR="005E1BEC" w:rsidRDefault="005E1BEC" w:rsidP="003D65A2">
            <w:pPr>
              <w:jc w:val="center"/>
              <w:rPr>
                <w:rFonts w:ascii="Arial Narrow" w:hAnsi="Arial Narrow" w:cs="Arial"/>
                <w:b/>
                <w:bCs/>
                <w:color w:val="000000"/>
                <w:szCs w:val="20"/>
              </w:rPr>
            </w:pPr>
          </w:p>
          <w:p w:rsidR="003D65A2" w:rsidRDefault="003D65A2" w:rsidP="003D65A2">
            <w:pPr>
              <w:jc w:val="center"/>
              <w:rPr>
                <w:rFonts w:ascii="Arial Narrow" w:hAnsi="Arial Narrow" w:cs="Arial"/>
                <w:b/>
                <w:bCs/>
                <w:color w:val="000000"/>
                <w:szCs w:val="20"/>
              </w:rPr>
            </w:pPr>
            <w:r>
              <w:rPr>
                <w:rFonts w:ascii="Arial Narrow" w:hAnsi="Arial Narrow" w:cs="Arial"/>
                <w:b/>
                <w:bCs/>
                <w:color w:val="000000"/>
                <w:szCs w:val="20"/>
              </w:rPr>
              <w:t>162</w:t>
            </w:r>
          </w:p>
        </w:tc>
        <w:tc>
          <w:tcPr>
            <w:tcW w:w="540" w:type="dxa"/>
            <w:tcBorders>
              <w:top w:val="nil"/>
              <w:left w:val="nil"/>
              <w:bottom w:val="single" w:sz="4" w:space="0" w:color="auto"/>
              <w:right w:val="single" w:sz="4" w:space="0" w:color="auto"/>
            </w:tcBorders>
            <w:shd w:val="clear" w:color="auto" w:fill="CCCCFF"/>
          </w:tcPr>
          <w:p w:rsidR="005E1BEC" w:rsidRDefault="005E1BEC" w:rsidP="003D65A2">
            <w:pPr>
              <w:jc w:val="center"/>
              <w:rPr>
                <w:rFonts w:ascii="Arial Narrow" w:hAnsi="Arial Narrow" w:cs="Arial"/>
                <w:b/>
                <w:bCs/>
                <w:color w:val="000000"/>
                <w:szCs w:val="20"/>
              </w:rPr>
            </w:pPr>
          </w:p>
          <w:p w:rsidR="003D65A2" w:rsidRDefault="005E1BEC" w:rsidP="003D65A2">
            <w:pPr>
              <w:jc w:val="center"/>
              <w:rPr>
                <w:rFonts w:ascii="Arial Narrow" w:hAnsi="Arial Narrow" w:cs="Arial"/>
                <w:b/>
                <w:bCs/>
                <w:color w:val="000000"/>
                <w:szCs w:val="20"/>
              </w:rPr>
            </w:pPr>
            <w:r>
              <w:rPr>
                <w:rFonts w:ascii="Arial Narrow" w:hAnsi="Arial Narrow" w:cs="Arial"/>
                <w:b/>
                <w:bCs/>
                <w:color w:val="000000"/>
                <w:szCs w:val="20"/>
              </w:rPr>
              <w:t>5</w:t>
            </w:r>
            <w:r w:rsidR="003D65A2">
              <w:rPr>
                <w:rFonts w:ascii="Arial Narrow" w:hAnsi="Arial Narrow" w:cs="Arial"/>
                <w:b/>
                <w:bCs/>
                <w:color w:val="000000"/>
                <w:szCs w:val="20"/>
              </w:rPr>
              <w:t>5</w:t>
            </w:r>
          </w:p>
        </w:tc>
      </w:tr>
    </w:tbl>
    <w:p w:rsidR="003D65A2" w:rsidRDefault="003D65A2" w:rsidP="00573033">
      <w:pPr>
        <w:pStyle w:val="ListParagraph"/>
        <w:ind w:left="810"/>
      </w:pPr>
    </w:p>
    <w:p w:rsidR="003D65A2" w:rsidRPr="00C760C9" w:rsidRDefault="003D65A2" w:rsidP="00573033">
      <w:pPr>
        <w:pStyle w:val="ListParagraph"/>
        <w:ind w:left="810"/>
        <w:rPr>
          <w:sz w:val="10"/>
        </w:rPr>
      </w:pPr>
    </w:p>
    <w:p w:rsidR="009571FA" w:rsidRDefault="00EB368C" w:rsidP="00573033">
      <w:pPr>
        <w:ind w:left="450"/>
        <w:rPr>
          <w:sz w:val="18"/>
        </w:rPr>
      </w:pPr>
      <w:r>
        <w:rPr>
          <w:sz w:val="18"/>
        </w:rPr>
        <w:t xml:space="preserve">    P+</w:t>
      </w:r>
      <w:r w:rsidR="009571FA">
        <w:rPr>
          <w:sz w:val="18"/>
        </w:rPr>
        <w:t xml:space="preserve"> includes P, D, and UG; N</w:t>
      </w:r>
      <w:r>
        <w:rPr>
          <w:sz w:val="18"/>
        </w:rPr>
        <w:t>P</w:t>
      </w:r>
      <w:r w:rsidR="009571FA">
        <w:rPr>
          <w:sz w:val="18"/>
        </w:rPr>
        <w:t xml:space="preserve">O are l National </w:t>
      </w:r>
      <w:r>
        <w:rPr>
          <w:sz w:val="18"/>
        </w:rPr>
        <w:t xml:space="preserve">Professional </w:t>
      </w:r>
      <w:r w:rsidR="009571FA">
        <w:rPr>
          <w:sz w:val="18"/>
        </w:rPr>
        <w:t>Officers</w:t>
      </w:r>
    </w:p>
    <w:p w:rsidR="003129FD" w:rsidRDefault="003129FD" w:rsidP="00573033">
      <w:pPr>
        <w:ind w:left="450"/>
        <w:rPr>
          <w:sz w:val="18"/>
        </w:rPr>
      </w:pPr>
    </w:p>
    <w:p w:rsidR="00A56682" w:rsidRPr="004F0B40" w:rsidRDefault="00A56682" w:rsidP="00581596">
      <w:pPr>
        <w:pStyle w:val="ListParagraph"/>
        <w:numPr>
          <w:ilvl w:val="0"/>
          <w:numId w:val="17"/>
        </w:numPr>
        <w:rPr>
          <w:i/>
          <w:sz w:val="14"/>
          <w:szCs w:val="22"/>
        </w:rPr>
      </w:pPr>
      <w:r w:rsidRPr="00220780">
        <w:rPr>
          <w:b/>
          <w:i/>
          <w:sz w:val="22"/>
          <w:szCs w:val="22"/>
        </w:rPr>
        <w:t>By contract type</w:t>
      </w:r>
    </w:p>
    <w:p w:rsidR="004F0B40" w:rsidRPr="004F0B40" w:rsidRDefault="004F0B40" w:rsidP="004F0B40">
      <w:pPr>
        <w:pStyle w:val="ListParagraph"/>
        <w:ind w:left="360"/>
        <w:rPr>
          <w:i/>
          <w:sz w:val="8"/>
          <w:szCs w:val="22"/>
        </w:rPr>
      </w:pPr>
    </w:p>
    <w:p w:rsidR="00A56682" w:rsidRDefault="00A56682" w:rsidP="00A56682">
      <w:pPr>
        <w:rPr>
          <w:sz w:val="22"/>
          <w:szCs w:val="22"/>
        </w:rPr>
      </w:pPr>
      <w:r w:rsidRPr="006A07B7">
        <w:rPr>
          <w:sz w:val="22"/>
          <w:szCs w:val="22"/>
        </w:rPr>
        <w:t xml:space="preserve">Women predominated among both long-term and temporary contract categories, but their share </w:t>
      </w:r>
      <w:r w:rsidR="00F71D06">
        <w:rPr>
          <w:sz w:val="22"/>
          <w:szCs w:val="22"/>
        </w:rPr>
        <w:t>remained</w:t>
      </w:r>
      <w:r w:rsidRPr="006A07B7">
        <w:rPr>
          <w:sz w:val="22"/>
          <w:szCs w:val="22"/>
        </w:rPr>
        <w:t xml:space="preserve"> higher among the temporary (61% vs. 54%). Despite their overall majority, women were under-represented</w:t>
      </w:r>
      <w:r w:rsidR="00F71D06">
        <w:rPr>
          <w:sz w:val="22"/>
          <w:szCs w:val="22"/>
        </w:rPr>
        <w:t xml:space="preserve"> </w:t>
      </w:r>
      <w:r w:rsidR="00F71D06" w:rsidRPr="006A07B7">
        <w:rPr>
          <w:sz w:val="22"/>
          <w:szCs w:val="22"/>
        </w:rPr>
        <w:t>(41%)</w:t>
      </w:r>
      <w:r w:rsidRPr="006A07B7">
        <w:rPr>
          <w:sz w:val="22"/>
          <w:szCs w:val="22"/>
        </w:rPr>
        <w:t xml:space="preserve"> in relation to men among the </w:t>
      </w:r>
      <w:r w:rsidRPr="006A07B7">
        <w:rPr>
          <w:b/>
          <w:sz w:val="22"/>
          <w:szCs w:val="22"/>
        </w:rPr>
        <w:t>long-term P grade</w:t>
      </w:r>
      <w:r w:rsidRPr="006A07B7">
        <w:rPr>
          <w:sz w:val="22"/>
          <w:szCs w:val="22"/>
        </w:rPr>
        <w:t xml:space="preserve"> (and higher) appointments (Table </w:t>
      </w:r>
      <w:r>
        <w:rPr>
          <w:sz w:val="22"/>
          <w:szCs w:val="22"/>
        </w:rPr>
        <w:t>16</w:t>
      </w:r>
      <w:r w:rsidR="00653800">
        <w:rPr>
          <w:sz w:val="22"/>
          <w:szCs w:val="22"/>
        </w:rPr>
        <w:t>a</w:t>
      </w:r>
      <w:r w:rsidRPr="006A07B7">
        <w:rPr>
          <w:sz w:val="22"/>
          <w:szCs w:val="22"/>
        </w:rPr>
        <w:t>).</w:t>
      </w:r>
    </w:p>
    <w:p w:rsidR="00A56682" w:rsidRPr="00A56682" w:rsidRDefault="00A56682" w:rsidP="00A56682">
      <w:pPr>
        <w:rPr>
          <w:sz w:val="14"/>
          <w:szCs w:val="22"/>
        </w:rPr>
      </w:pPr>
    </w:p>
    <w:p w:rsidR="009571FA" w:rsidRPr="004F0B40" w:rsidRDefault="009571FA" w:rsidP="00581596">
      <w:pPr>
        <w:pStyle w:val="ListParagraph"/>
        <w:numPr>
          <w:ilvl w:val="0"/>
          <w:numId w:val="21"/>
        </w:numPr>
        <w:rPr>
          <w:i/>
          <w:sz w:val="24"/>
          <w:szCs w:val="22"/>
        </w:rPr>
      </w:pPr>
      <w:r w:rsidRPr="00265478">
        <w:rPr>
          <w:b/>
          <w:i/>
          <w:sz w:val="22"/>
          <w:szCs w:val="22"/>
        </w:rPr>
        <w:t>By location</w:t>
      </w:r>
      <w:r w:rsidRPr="00265478">
        <w:rPr>
          <w:i/>
          <w:sz w:val="22"/>
          <w:szCs w:val="22"/>
        </w:rPr>
        <w:t xml:space="preserve"> </w:t>
      </w:r>
    </w:p>
    <w:p w:rsidR="004F0B40" w:rsidRPr="004F0B40" w:rsidRDefault="004F0B40" w:rsidP="004F0B40">
      <w:pPr>
        <w:pStyle w:val="ListParagraph"/>
        <w:ind w:left="360"/>
        <w:rPr>
          <w:i/>
          <w:sz w:val="8"/>
          <w:szCs w:val="22"/>
        </w:rPr>
      </w:pPr>
    </w:p>
    <w:p w:rsidR="009571FA" w:rsidRPr="006A07B7" w:rsidRDefault="009571FA" w:rsidP="00573033">
      <w:pPr>
        <w:rPr>
          <w:sz w:val="24"/>
          <w:szCs w:val="22"/>
        </w:rPr>
      </w:pPr>
      <w:r w:rsidRPr="006A07B7">
        <w:rPr>
          <w:sz w:val="22"/>
          <w:szCs w:val="22"/>
        </w:rPr>
        <w:t xml:space="preserve">74% of all new recruitments were made for HQ. Women’s share of the new hires relative to men was </w:t>
      </w:r>
      <w:r w:rsidRPr="006A07B7">
        <w:rPr>
          <w:b/>
          <w:sz w:val="22"/>
          <w:szCs w:val="22"/>
        </w:rPr>
        <w:t>65%</w:t>
      </w:r>
      <w:r w:rsidRPr="006A07B7">
        <w:rPr>
          <w:sz w:val="22"/>
          <w:szCs w:val="22"/>
        </w:rPr>
        <w:t xml:space="preserve"> in HQ and </w:t>
      </w:r>
      <w:r w:rsidRPr="006A07B7">
        <w:rPr>
          <w:b/>
          <w:sz w:val="22"/>
          <w:szCs w:val="22"/>
        </w:rPr>
        <w:t xml:space="preserve">47% </w:t>
      </w:r>
      <w:r w:rsidRPr="006A07B7">
        <w:rPr>
          <w:sz w:val="22"/>
          <w:szCs w:val="22"/>
        </w:rPr>
        <w:t>in CO. At</w:t>
      </w:r>
      <w:r w:rsidRPr="006A07B7">
        <w:rPr>
          <w:b/>
          <w:sz w:val="22"/>
          <w:szCs w:val="22"/>
        </w:rPr>
        <w:t xml:space="preserve"> P</w:t>
      </w:r>
      <w:r w:rsidRPr="006A07B7">
        <w:rPr>
          <w:sz w:val="22"/>
          <w:szCs w:val="22"/>
        </w:rPr>
        <w:t xml:space="preserve"> and higher grades, women’s share constituted </w:t>
      </w:r>
      <w:r w:rsidRPr="006A07B7">
        <w:rPr>
          <w:b/>
          <w:sz w:val="22"/>
          <w:szCs w:val="22"/>
        </w:rPr>
        <w:t>55%</w:t>
      </w:r>
      <w:r w:rsidRPr="006A07B7">
        <w:rPr>
          <w:sz w:val="22"/>
          <w:szCs w:val="22"/>
        </w:rPr>
        <w:t xml:space="preserve"> in HQ and </w:t>
      </w:r>
      <w:r w:rsidRPr="006A07B7">
        <w:rPr>
          <w:b/>
          <w:sz w:val="22"/>
          <w:szCs w:val="22"/>
        </w:rPr>
        <w:t>41%</w:t>
      </w:r>
      <w:r w:rsidR="00653800">
        <w:rPr>
          <w:sz w:val="22"/>
          <w:szCs w:val="22"/>
        </w:rPr>
        <w:t xml:space="preserve"> in CO. I</w:t>
      </w:r>
      <w:r w:rsidRPr="006A07B7">
        <w:rPr>
          <w:sz w:val="22"/>
          <w:szCs w:val="22"/>
        </w:rPr>
        <w:t>n the category of national professional officers (N</w:t>
      </w:r>
      <w:r w:rsidR="00653800">
        <w:rPr>
          <w:sz w:val="22"/>
          <w:szCs w:val="22"/>
        </w:rPr>
        <w:t>P</w:t>
      </w:r>
      <w:r w:rsidRPr="006A07B7">
        <w:rPr>
          <w:sz w:val="22"/>
          <w:szCs w:val="22"/>
        </w:rPr>
        <w:t xml:space="preserve">O), 7 out of 8 new hires were women. (Table </w:t>
      </w:r>
      <w:r w:rsidR="005E1BEC">
        <w:rPr>
          <w:sz w:val="22"/>
          <w:szCs w:val="22"/>
        </w:rPr>
        <w:t>16</w:t>
      </w:r>
      <w:r w:rsidRPr="006A07B7">
        <w:rPr>
          <w:sz w:val="22"/>
          <w:szCs w:val="22"/>
        </w:rPr>
        <w:t xml:space="preserve">a) </w:t>
      </w:r>
    </w:p>
    <w:p w:rsidR="009571FA" w:rsidRPr="00E53968" w:rsidRDefault="009571FA" w:rsidP="00573033">
      <w:pPr>
        <w:pStyle w:val="ListParagraph"/>
        <w:rPr>
          <w:b/>
          <w:i/>
          <w:sz w:val="16"/>
          <w:szCs w:val="22"/>
        </w:rPr>
      </w:pPr>
    </w:p>
    <w:p w:rsidR="009571FA" w:rsidRDefault="009571FA" w:rsidP="00581596">
      <w:pPr>
        <w:pStyle w:val="ListParagraph"/>
        <w:numPr>
          <w:ilvl w:val="0"/>
          <w:numId w:val="21"/>
        </w:numPr>
        <w:rPr>
          <w:b/>
          <w:i/>
          <w:sz w:val="22"/>
          <w:szCs w:val="22"/>
        </w:rPr>
      </w:pPr>
      <w:r w:rsidRPr="00220780">
        <w:rPr>
          <w:b/>
          <w:i/>
          <w:sz w:val="22"/>
          <w:szCs w:val="22"/>
        </w:rPr>
        <w:t>Among new professionals, by grade</w:t>
      </w:r>
    </w:p>
    <w:p w:rsidR="004F0B40" w:rsidRPr="004F0B40" w:rsidRDefault="004F0B40" w:rsidP="004F0B40">
      <w:pPr>
        <w:pStyle w:val="ListParagraph"/>
        <w:ind w:left="360"/>
        <w:rPr>
          <w:b/>
          <w:i/>
          <w:sz w:val="10"/>
          <w:szCs w:val="22"/>
        </w:rPr>
      </w:pPr>
    </w:p>
    <w:p w:rsidR="009571FA" w:rsidRPr="006A07B7" w:rsidRDefault="009571FA" w:rsidP="00573033">
      <w:pPr>
        <w:rPr>
          <w:sz w:val="22"/>
          <w:szCs w:val="22"/>
        </w:rPr>
      </w:pPr>
      <w:r w:rsidRPr="006A07B7">
        <w:rPr>
          <w:sz w:val="22"/>
          <w:szCs w:val="22"/>
        </w:rPr>
        <w:t>Figure 10a presents the sex distribution of all new long-term professional appointments (P, D, UG, NO) active at the end of 2007.</w:t>
      </w:r>
      <w:r w:rsidRPr="006A07B7">
        <w:rPr>
          <w:b/>
          <w:i/>
          <w:sz w:val="22"/>
          <w:szCs w:val="22"/>
        </w:rPr>
        <w:t xml:space="preserve">  </w:t>
      </w:r>
      <w:r w:rsidRPr="006A07B7">
        <w:rPr>
          <w:sz w:val="22"/>
          <w:szCs w:val="22"/>
        </w:rPr>
        <w:t xml:space="preserve">Although the numbers are too small to warrant definite conclusions by grade level, they, </w:t>
      </w:r>
      <w:r w:rsidRPr="006A07B7">
        <w:rPr>
          <w:b/>
          <w:sz w:val="22"/>
          <w:szCs w:val="22"/>
        </w:rPr>
        <w:t>first,</w:t>
      </w:r>
      <w:r w:rsidRPr="006A07B7">
        <w:rPr>
          <w:sz w:val="22"/>
          <w:szCs w:val="22"/>
        </w:rPr>
        <w:t xml:space="preserve"> highlight the hiring of two women at a UG (Deputy Director) and P6 positions. </w:t>
      </w:r>
      <w:r w:rsidRPr="006A07B7">
        <w:rPr>
          <w:b/>
          <w:sz w:val="22"/>
          <w:szCs w:val="22"/>
        </w:rPr>
        <w:t>Secondly</w:t>
      </w:r>
      <w:r w:rsidRPr="006A07B7">
        <w:rPr>
          <w:sz w:val="22"/>
          <w:szCs w:val="22"/>
        </w:rPr>
        <w:t>, they corroborate that the P4 category stand</w:t>
      </w:r>
      <w:r w:rsidR="00653800">
        <w:rPr>
          <w:sz w:val="22"/>
          <w:szCs w:val="22"/>
        </w:rPr>
        <w:t>s</w:t>
      </w:r>
      <w:r w:rsidRPr="006A07B7">
        <w:rPr>
          <w:sz w:val="22"/>
          <w:szCs w:val="22"/>
        </w:rPr>
        <w:t xml:space="preserve"> out as critical sex parity concern as it did for all staff (see section 1.1). Despite the fact </w:t>
      </w:r>
      <w:r w:rsidR="00653800">
        <w:rPr>
          <w:sz w:val="22"/>
          <w:szCs w:val="22"/>
        </w:rPr>
        <w:t xml:space="preserve">that, in absolute numbers, </w:t>
      </w:r>
      <w:r w:rsidR="00F71EE7">
        <w:rPr>
          <w:sz w:val="22"/>
          <w:szCs w:val="22"/>
        </w:rPr>
        <w:t xml:space="preserve">more </w:t>
      </w:r>
      <w:r w:rsidRPr="006A07B7">
        <w:rPr>
          <w:sz w:val="22"/>
          <w:szCs w:val="22"/>
        </w:rPr>
        <w:t xml:space="preserve">women were hired </w:t>
      </w:r>
      <w:r w:rsidR="00F71EE7">
        <w:rPr>
          <w:sz w:val="22"/>
          <w:szCs w:val="22"/>
        </w:rPr>
        <w:t xml:space="preserve">as </w:t>
      </w:r>
      <w:r w:rsidR="00653800">
        <w:rPr>
          <w:sz w:val="22"/>
          <w:szCs w:val="22"/>
        </w:rPr>
        <w:t xml:space="preserve">P4 than in any other </w:t>
      </w:r>
      <w:r w:rsidR="00F71EE7">
        <w:rPr>
          <w:sz w:val="22"/>
          <w:szCs w:val="22"/>
        </w:rPr>
        <w:t xml:space="preserve">grade, </w:t>
      </w:r>
      <w:r w:rsidRPr="006A07B7">
        <w:rPr>
          <w:sz w:val="22"/>
          <w:szCs w:val="22"/>
        </w:rPr>
        <w:t xml:space="preserve">in proportional terms this </w:t>
      </w:r>
      <w:r w:rsidR="00F71EE7">
        <w:rPr>
          <w:sz w:val="22"/>
          <w:szCs w:val="22"/>
        </w:rPr>
        <w:t xml:space="preserve">P4 </w:t>
      </w:r>
      <w:r w:rsidRPr="006A07B7">
        <w:rPr>
          <w:sz w:val="22"/>
          <w:szCs w:val="22"/>
        </w:rPr>
        <w:t>category re</w:t>
      </w:r>
      <w:r w:rsidR="00F71EE7">
        <w:rPr>
          <w:sz w:val="22"/>
          <w:szCs w:val="22"/>
        </w:rPr>
        <w:t xml:space="preserve">mained eschewed towards men, </w:t>
      </w:r>
      <w:r w:rsidRPr="006A07B7">
        <w:rPr>
          <w:sz w:val="22"/>
          <w:szCs w:val="22"/>
        </w:rPr>
        <w:t>contrast</w:t>
      </w:r>
      <w:r w:rsidR="00F71EE7">
        <w:rPr>
          <w:sz w:val="22"/>
          <w:szCs w:val="22"/>
        </w:rPr>
        <w:t>ing</w:t>
      </w:r>
      <w:r w:rsidRPr="006A07B7">
        <w:rPr>
          <w:sz w:val="22"/>
          <w:szCs w:val="22"/>
        </w:rPr>
        <w:t xml:space="preserve"> </w:t>
      </w:r>
      <w:r w:rsidRPr="00F71EE7">
        <w:rPr>
          <w:sz w:val="22"/>
          <w:szCs w:val="22"/>
        </w:rPr>
        <w:t xml:space="preserve">with all lower and </w:t>
      </w:r>
      <w:r w:rsidR="00F71EE7" w:rsidRPr="00F71EE7">
        <w:rPr>
          <w:sz w:val="22"/>
          <w:szCs w:val="22"/>
        </w:rPr>
        <w:t xml:space="preserve">even </w:t>
      </w:r>
      <w:r w:rsidR="00F71EE7">
        <w:rPr>
          <w:sz w:val="22"/>
          <w:szCs w:val="22"/>
        </w:rPr>
        <w:t xml:space="preserve">some higher Ps.  This sex disparity </w:t>
      </w:r>
      <w:r w:rsidR="00C760C9">
        <w:rPr>
          <w:sz w:val="22"/>
          <w:szCs w:val="22"/>
        </w:rPr>
        <w:t>among</w:t>
      </w:r>
      <w:r w:rsidR="00F71EE7">
        <w:rPr>
          <w:sz w:val="22"/>
          <w:szCs w:val="22"/>
        </w:rPr>
        <w:t xml:space="preserve"> </w:t>
      </w:r>
      <w:r w:rsidRPr="006A07B7">
        <w:rPr>
          <w:sz w:val="22"/>
          <w:szCs w:val="22"/>
        </w:rPr>
        <w:t xml:space="preserve">new P4 appointments was larger in the countries than in HQ.  </w:t>
      </w:r>
    </w:p>
    <w:p w:rsidR="009571FA" w:rsidRPr="00E53968" w:rsidRDefault="009571FA" w:rsidP="00573033">
      <w:pPr>
        <w:rPr>
          <w:b/>
          <w:sz w:val="18"/>
          <w:szCs w:val="22"/>
        </w:rPr>
      </w:pPr>
    </w:p>
    <w:p w:rsidR="009571FA" w:rsidRDefault="009571FA" w:rsidP="00581596">
      <w:pPr>
        <w:pStyle w:val="ListParagraph"/>
        <w:numPr>
          <w:ilvl w:val="0"/>
          <w:numId w:val="21"/>
        </w:numPr>
        <w:rPr>
          <w:b/>
          <w:i/>
          <w:sz w:val="22"/>
          <w:szCs w:val="22"/>
        </w:rPr>
      </w:pPr>
      <w:r w:rsidRPr="00220780">
        <w:rPr>
          <w:b/>
          <w:i/>
          <w:sz w:val="22"/>
          <w:szCs w:val="22"/>
        </w:rPr>
        <w:t>Changes in sex distribution between 2006 and 2007</w:t>
      </w:r>
    </w:p>
    <w:p w:rsidR="004F0B40" w:rsidRPr="004F0B40" w:rsidRDefault="004F0B40" w:rsidP="004F0B40">
      <w:pPr>
        <w:pStyle w:val="ListParagraph"/>
        <w:ind w:left="360"/>
        <w:rPr>
          <w:b/>
          <w:i/>
          <w:sz w:val="8"/>
          <w:szCs w:val="22"/>
        </w:rPr>
      </w:pPr>
    </w:p>
    <w:p w:rsidR="009571FA" w:rsidRDefault="009571FA" w:rsidP="00220780">
      <w:pPr>
        <w:rPr>
          <w:sz w:val="22"/>
          <w:szCs w:val="22"/>
        </w:rPr>
      </w:pPr>
      <w:r w:rsidRPr="006A07B7">
        <w:rPr>
          <w:sz w:val="22"/>
          <w:szCs w:val="22"/>
        </w:rPr>
        <w:t xml:space="preserve">The comparison of the 2007 data (Table </w:t>
      </w:r>
      <w:r w:rsidR="005E1BEC">
        <w:rPr>
          <w:sz w:val="22"/>
          <w:szCs w:val="22"/>
        </w:rPr>
        <w:t>16a</w:t>
      </w:r>
      <w:r w:rsidRPr="006A07B7">
        <w:rPr>
          <w:sz w:val="22"/>
          <w:szCs w:val="22"/>
        </w:rPr>
        <w:t xml:space="preserve">) on </w:t>
      </w:r>
      <w:r w:rsidRPr="006A07B7">
        <w:rPr>
          <w:b/>
          <w:sz w:val="22"/>
          <w:szCs w:val="22"/>
        </w:rPr>
        <w:t>all</w:t>
      </w:r>
      <w:r w:rsidRPr="006A07B7">
        <w:rPr>
          <w:sz w:val="22"/>
          <w:szCs w:val="22"/>
        </w:rPr>
        <w:t xml:space="preserve"> new hires by grade and type of contract, with the corresponding information for 2006 (Table </w:t>
      </w:r>
      <w:r w:rsidR="005E1BEC">
        <w:rPr>
          <w:sz w:val="22"/>
          <w:szCs w:val="22"/>
        </w:rPr>
        <w:t>1</w:t>
      </w:r>
      <w:r w:rsidRPr="006A07B7">
        <w:rPr>
          <w:sz w:val="22"/>
          <w:szCs w:val="22"/>
        </w:rPr>
        <w:t>6</w:t>
      </w:r>
      <w:r w:rsidR="005E1BEC">
        <w:rPr>
          <w:sz w:val="22"/>
          <w:szCs w:val="22"/>
        </w:rPr>
        <w:t>b</w:t>
      </w:r>
      <w:r w:rsidRPr="006A07B7">
        <w:rPr>
          <w:sz w:val="22"/>
          <w:szCs w:val="22"/>
        </w:rPr>
        <w:t>) indicate</w:t>
      </w:r>
      <w:r w:rsidR="00C760C9">
        <w:rPr>
          <w:sz w:val="22"/>
          <w:szCs w:val="22"/>
        </w:rPr>
        <w:t>d</w:t>
      </w:r>
      <w:r w:rsidRPr="006A07B7">
        <w:rPr>
          <w:sz w:val="22"/>
          <w:szCs w:val="22"/>
        </w:rPr>
        <w:t xml:space="preserve"> a number of changes in the sex composition of the staff categories under analysis. </w:t>
      </w:r>
      <w:r w:rsidR="00C760C9">
        <w:rPr>
          <w:sz w:val="22"/>
          <w:szCs w:val="22"/>
        </w:rPr>
        <w:t>In fact, d</w:t>
      </w:r>
      <w:r w:rsidRPr="006A07B7">
        <w:rPr>
          <w:sz w:val="22"/>
          <w:szCs w:val="22"/>
        </w:rPr>
        <w:t xml:space="preserve">uring the </w:t>
      </w:r>
      <w:r w:rsidR="00C760C9">
        <w:rPr>
          <w:sz w:val="22"/>
          <w:szCs w:val="22"/>
        </w:rPr>
        <w:t xml:space="preserve">period of </w:t>
      </w:r>
      <w:r>
        <w:rPr>
          <w:sz w:val="22"/>
          <w:szCs w:val="22"/>
        </w:rPr>
        <w:t>Dec</w:t>
      </w:r>
      <w:r w:rsidRPr="006A07B7">
        <w:rPr>
          <w:sz w:val="22"/>
          <w:szCs w:val="22"/>
        </w:rPr>
        <w:t xml:space="preserve">.31, 2006 </w:t>
      </w:r>
      <w:r>
        <w:rPr>
          <w:sz w:val="22"/>
          <w:szCs w:val="22"/>
        </w:rPr>
        <w:t>to</w:t>
      </w:r>
      <w:r w:rsidR="00C760C9">
        <w:rPr>
          <w:sz w:val="22"/>
          <w:szCs w:val="22"/>
        </w:rPr>
        <w:t xml:space="preserve"> Dec. 31, 2007</w:t>
      </w:r>
      <w:r>
        <w:rPr>
          <w:sz w:val="22"/>
          <w:szCs w:val="22"/>
        </w:rPr>
        <w:t xml:space="preserve">, </w:t>
      </w:r>
      <w:r w:rsidRPr="006A07B7">
        <w:rPr>
          <w:sz w:val="22"/>
          <w:szCs w:val="22"/>
        </w:rPr>
        <w:t>the percentage of women,</w:t>
      </w:r>
    </w:p>
    <w:p w:rsidR="00185762" w:rsidRPr="0035526F" w:rsidRDefault="00185762" w:rsidP="00220780">
      <w:pPr>
        <w:rPr>
          <w:sz w:val="8"/>
          <w:szCs w:val="22"/>
        </w:rPr>
      </w:pPr>
    </w:p>
    <w:p w:rsidR="009571FA" w:rsidRPr="006A07B7" w:rsidRDefault="009571FA" w:rsidP="00581596">
      <w:pPr>
        <w:pStyle w:val="ListParagraph"/>
        <w:numPr>
          <w:ilvl w:val="0"/>
          <w:numId w:val="20"/>
        </w:numPr>
        <w:rPr>
          <w:sz w:val="22"/>
          <w:szCs w:val="22"/>
        </w:rPr>
      </w:pPr>
      <w:r w:rsidRPr="006A07B7">
        <w:rPr>
          <w:sz w:val="22"/>
          <w:szCs w:val="22"/>
        </w:rPr>
        <w:t xml:space="preserve">increased for </w:t>
      </w:r>
      <w:r w:rsidRPr="006A07B7">
        <w:rPr>
          <w:b/>
          <w:sz w:val="22"/>
          <w:szCs w:val="22"/>
        </w:rPr>
        <w:t>all</w:t>
      </w:r>
      <w:r w:rsidRPr="006A07B7">
        <w:rPr>
          <w:sz w:val="22"/>
          <w:szCs w:val="22"/>
        </w:rPr>
        <w:t xml:space="preserve"> new hires, from 55 to 60;</w:t>
      </w:r>
    </w:p>
    <w:p w:rsidR="009571FA" w:rsidRPr="006A07B7" w:rsidRDefault="009571FA" w:rsidP="00581596">
      <w:pPr>
        <w:pStyle w:val="ListParagraph"/>
        <w:numPr>
          <w:ilvl w:val="0"/>
          <w:numId w:val="20"/>
        </w:numPr>
        <w:rPr>
          <w:sz w:val="22"/>
          <w:szCs w:val="22"/>
        </w:rPr>
      </w:pPr>
      <w:r w:rsidRPr="006A07B7">
        <w:rPr>
          <w:sz w:val="22"/>
          <w:szCs w:val="22"/>
        </w:rPr>
        <w:t>increased for new</w:t>
      </w:r>
      <w:r w:rsidRPr="006A07B7">
        <w:rPr>
          <w:b/>
          <w:sz w:val="22"/>
          <w:szCs w:val="22"/>
        </w:rPr>
        <w:t xml:space="preserve"> P</w:t>
      </w:r>
      <w:r w:rsidRPr="006A07B7">
        <w:rPr>
          <w:sz w:val="22"/>
          <w:szCs w:val="22"/>
        </w:rPr>
        <w:t xml:space="preserve"> appointments, from 48 to 52; </w:t>
      </w:r>
    </w:p>
    <w:p w:rsidR="009571FA" w:rsidRPr="006A07B7" w:rsidRDefault="009571FA" w:rsidP="00581596">
      <w:pPr>
        <w:pStyle w:val="ListParagraph"/>
        <w:numPr>
          <w:ilvl w:val="0"/>
          <w:numId w:val="20"/>
        </w:numPr>
        <w:rPr>
          <w:sz w:val="22"/>
          <w:szCs w:val="22"/>
        </w:rPr>
      </w:pPr>
      <w:r w:rsidRPr="006A07B7">
        <w:rPr>
          <w:sz w:val="22"/>
          <w:szCs w:val="22"/>
        </w:rPr>
        <w:t xml:space="preserve">increased for new </w:t>
      </w:r>
      <w:r w:rsidRPr="006A07B7">
        <w:rPr>
          <w:b/>
          <w:sz w:val="22"/>
          <w:szCs w:val="22"/>
        </w:rPr>
        <w:t xml:space="preserve">GS </w:t>
      </w:r>
      <w:r w:rsidRPr="006A07B7">
        <w:rPr>
          <w:sz w:val="22"/>
          <w:szCs w:val="22"/>
        </w:rPr>
        <w:t>recruitments, from 76 to 78;</w:t>
      </w:r>
    </w:p>
    <w:p w:rsidR="009571FA" w:rsidRPr="006A07B7" w:rsidRDefault="009571FA" w:rsidP="00581596">
      <w:pPr>
        <w:pStyle w:val="ListParagraph"/>
        <w:numPr>
          <w:ilvl w:val="0"/>
          <w:numId w:val="20"/>
        </w:numPr>
        <w:ind w:right="-360"/>
        <w:rPr>
          <w:sz w:val="22"/>
          <w:szCs w:val="22"/>
        </w:rPr>
      </w:pPr>
      <w:r w:rsidRPr="006A07B7">
        <w:rPr>
          <w:sz w:val="22"/>
          <w:szCs w:val="22"/>
        </w:rPr>
        <w:t xml:space="preserve">declined for </w:t>
      </w:r>
      <w:r w:rsidRPr="006A07B7">
        <w:rPr>
          <w:b/>
          <w:sz w:val="22"/>
          <w:szCs w:val="22"/>
        </w:rPr>
        <w:t>NPO,</w:t>
      </w:r>
      <w:r w:rsidRPr="006A07B7">
        <w:rPr>
          <w:sz w:val="22"/>
          <w:szCs w:val="22"/>
        </w:rPr>
        <w:t xml:space="preserve"> from 100 to 88</w:t>
      </w:r>
      <w:r>
        <w:rPr>
          <w:sz w:val="22"/>
          <w:szCs w:val="22"/>
        </w:rPr>
        <w:t xml:space="preserve">, but </w:t>
      </w:r>
      <w:r w:rsidRPr="006A07B7">
        <w:rPr>
          <w:sz w:val="22"/>
          <w:szCs w:val="22"/>
        </w:rPr>
        <w:t>t</w:t>
      </w:r>
      <w:r w:rsidR="00C760C9">
        <w:rPr>
          <w:sz w:val="22"/>
          <w:szCs w:val="22"/>
        </w:rPr>
        <w:t>he absolute number of women increased</w:t>
      </w:r>
      <w:r w:rsidRPr="006A07B7">
        <w:rPr>
          <w:sz w:val="22"/>
          <w:szCs w:val="22"/>
        </w:rPr>
        <w:t xml:space="preserve"> from 2 to 7</w:t>
      </w:r>
      <w:r w:rsidR="003129FD">
        <w:rPr>
          <w:sz w:val="22"/>
          <w:szCs w:val="22"/>
        </w:rPr>
        <w:t>;</w:t>
      </w:r>
    </w:p>
    <w:p w:rsidR="009571FA" w:rsidRPr="00E53968" w:rsidRDefault="009571FA" w:rsidP="00581596">
      <w:pPr>
        <w:pStyle w:val="ListParagraph"/>
        <w:numPr>
          <w:ilvl w:val="0"/>
          <w:numId w:val="20"/>
        </w:numPr>
        <w:rPr>
          <w:b/>
          <w:sz w:val="22"/>
          <w:szCs w:val="22"/>
        </w:rPr>
      </w:pPr>
      <w:r w:rsidRPr="00E53968">
        <w:rPr>
          <w:sz w:val="22"/>
          <w:szCs w:val="22"/>
        </w:rPr>
        <w:t xml:space="preserve">remained virtually unchanged in terms of its temporary/long-term ratio: 1.12 in 2006 and 1.13 in 2007.   </w:t>
      </w:r>
    </w:p>
    <w:p w:rsidR="00E53968" w:rsidRPr="00252C2F" w:rsidRDefault="00E53968" w:rsidP="00E53968">
      <w:pPr>
        <w:pStyle w:val="ListParagraph"/>
        <w:ind w:left="450"/>
        <w:rPr>
          <w:b/>
          <w:sz w:val="14"/>
          <w:szCs w:val="22"/>
        </w:rPr>
      </w:pPr>
    </w:p>
    <w:p w:rsidR="009571FA" w:rsidRDefault="009571FA" w:rsidP="00573033">
      <w:pPr>
        <w:rPr>
          <w:sz w:val="22"/>
          <w:szCs w:val="22"/>
        </w:rPr>
      </w:pPr>
      <w:r w:rsidRPr="006A07B7">
        <w:rPr>
          <w:sz w:val="22"/>
          <w:szCs w:val="22"/>
        </w:rPr>
        <w:t>The available grade-level disaggregation of the professional long-term appointments indicated the following changes (see Figure 10):</w:t>
      </w:r>
    </w:p>
    <w:p w:rsidR="00A56682" w:rsidRPr="00252C2F" w:rsidRDefault="00A56682" w:rsidP="00573033">
      <w:pPr>
        <w:rPr>
          <w:sz w:val="14"/>
          <w:szCs w:val="22"/>
        </w:rPr>
      </w:pPr>
    </w:p>
    <w:p w:rsidR="00185762" w:rsidRDefault="00185762" w:rsidP="000943E9">
      <w:pPr>
        <w:ind w:left="990"/>
        <w:rPr>
          <w:b/>
          <w:szCs w:val="22"/>
        </w:rPr>
      </w:pPr>
    </w:p>
    <w:p w:rsidR="000943E9" w:rsidRPr="0017293E" w:rsidRDefault="000943E9" w:rsidP="000943E9">
      <w:pPr>
        <w:ind w:left="990"/>
        <w:rPr>
          <w:sz w:val="22"/>
          <w:szCs w:val="22"/>
        </w:rPr>
      </w:pPr>
      <w:r>
        <w:rPr>
          <w:b/>
          <w:szCs w:val="22"/>
        </w:rPr>
        <w:t xml:space="preserve">   </w:t>
      </w:r>
      <w:r w:rsidRPr="0017293E">
        <w:rPr>
          <w:b/>
          <w:sz w:val="22"/>
          <w:szCs w:val="22"/>
        </w:rPr>
        <w:t>Figure 10.</w:t>
      </w:r>
      <w:r w:rsidRPr="0017293E">
        <w:rPr>
          <w:sz w:val="22"/>
          <w:szCs w:val="22"/>
        </w:rPr>
        <w:t xml:space="preserve">  Sex distribution of all (HQ+CO) new professional long-term                            </w:t>
      </w:r>
    </w:p>
    <w:p w:rsidR="000943E9" w:rsidRPr="0017293E" w:rsidRDefault="000943E9" w:rsidP="000943E9">
      <w:pPr>
        <w:ind w:left="990"/>
        <w:rPr>
          <w:sz w:val="22"/>
          <w:szCs w:val="22"/>
        </w:rPr>
      </w:pPr>
      <w:r w:rsidRPr="0017293E">
        <w:rPr>
          <w:b/>
          <w:sz w:val="22"/>
          <w:szCs w:val="22"/>
        </w:rPr>
        <w:t xml:space="preserve">   </w:t>
      </w:r>
      <w:r w:rsidRPr="0017293E">
        <w:rPr>
          <w:sz w:val="22"/>
          <w:szCs w:val="22"/>
        </w:rPr>
        <w:t xml:space="preserve">appointments active at Dec. 31 of each year: 2007 and 2006.  </w:t>
      </w:r>
    </w:p>
    <w:p w:rsidR="000943E9" w:rsidRDefault="000943E9" w:rsidP="000943E9">
      <w:pPr>
        <w:ind w:left="990"/>
        <w:rPr>
          <w:szCs w:val="22"/>
        </w:rPr>
      </w:pPr>
    </w:p>
    <w:p w:rsidR="000943E9" w:rsidRDefault="000943E9" w:rsidP="00581596">
      <w:pPr>
        <w:pStyle w:val="ListParagraph"/>
        <w:numPr>
          <w:ilvl w:val="0"/>
          <w:numId w:val="9"/>
        </w:numPr>
        <w:rPr>
          <w:szCs w:val="22"/>
        </w:rPr>
      </w:pPr>
      <w:r>
        <w:rPr>
          <w:szCs w:val="22"/>
        </w:rPr>
        <w:t xml:space="preserve">New 2007 appointments by grade-level, active at 12/31/067                  </w:t>
      </w:r>
    </w:p>
    <w:p w:rsidR="000943E9" w:rsidRPr="00263F6C" w:rsidRDefault="000943E9" w:rsidP="000943E9">
      <w:pPr>
        <w:rPr>
          <w:sz w:val="2"/>
          <w:szCs w:val="22"/>
        </w:rPr>
      </w:pPr>
      <w:r>
        <w:rPr>
          <w:szCs w:val="22"/>
        </w:rPr>
        <w:t xml:space="preserve">                        </w:t>
      </w:r>
    </w:p>
    <w:p w:rsidR="000943E9" w:rsidRDefault="00BD4C31" w:rsidP="000943E9">
      <w:pPr>
        <w:pStyle w:val="ListParagraph"/>
        <w:ind w:left="1170"/>
        <w:rPr>
          <w:szCs w:val="22"/>
        </w:rPr>
      </w:pPr>
      <w:r w:rsidRPr="00BD4C31">
        <w:rPr>
          <w:sz w:val="22"/>
        </w:rPr>
      </w:r>
      <w:r w:rsidRPr="00BD4C31">
        <w:rPr>
          <w:sz w:val="22"/>
        </w:rPr>
        <w:pict>
          <v:group id="_x0000_s3250" editas="canvas" style="width:324pt;height:179.25pt;mso-position-horizontal-relative:char;mso-position-vertical-relative:line" coordsize="6480,3585">
            <o:lock v:ext="edit" aspectratio="t"/>
            <v:shape id="_x0000_s3251" type="#_x0000_t75" style="position:absolute;width:6480;height:3585" o:preferrelative="f">
              <v:fill o:detectmouseclick="t"/>
              <v:path o:extrusionok="t" o:connecttype="none"/>
            </v:shape>
            <v:rect id="_x0000_s3252" style="position:absolute;width:46;height:230;mso-wrap-style:none" filled="f" stroked="f">
              <v:textbox style="mso-next-textbox:#_x0000_s3252;mso-fit-shape-to-text:t" inset="0,0,0,0">
                <w:txbxContent>
                  <w:p w:rsidR="00D345DF" w:rsidRDefault="00D345DF" w:rsidP="000943E9">
                    <w:r>
                      <w:rPr>
                        <w:rFonts w:ascii="Calibri" w:hAnsi="Calibri" w:cs="Calibri"/>
                        <w:color w:val="000000"/>
                      </w:rPr>
                      <w:t xml:space="preserve"> </w:t>
                    </w:r>
                  </w:p>
                </w:txbxContent>
              </v:textbox>
            </v:rect>
            <v:group id="_x0000_s3253" style="position:absolute;top:160;width:6480;height:3311" coordorigin="62,65" coordsize="6347,3472">
              <v:rect id="_x0000_s3254" style="position:absolute;left:62;top:65;width:6347;height:3472" stroked="f"/>
              <v:rect id="_x0000_s3255" style="position:absolute;left:1180;top:313;width:5105;height:2128" stroked="f"/>
              <v:line id="_x0000_s3256" style="position:absolute" from="1180,2018" to="6285,2019" strokeweight="0">
                <v:stroke dashstyle="1 1"/>
              </v:line>
              <v:line id="_x0000_s3257" style="position:absolute" from="1180,1595" to="6285,1596" strokeweight="0">
                <v:stroke dashstyle="1 1"/>
              </v:line>
              <v:line id="_x0000_s3258" style="position:absolute" from="1180,1160" to="6285,1161" strokeweight="0">
                <v:stroke dashstyle="1 1"/>
              </v:line>
              <v:line id="_x0000_s3259" style="position:absolute" from="1180,737" to="6285,738" strokeweight="0">
                <v:stroke dashstyle="1 1"/>
              </v:line>
              <v:line id="_x0000_s3260" style="position:absolute" from="1180,313" to="6285,314" strokeweight="0">
                <v:stroke dashstyle="1 1"/>
              </v:line>
              <v:rect id="_x0000_s3261" style="position:absolute;left:1180;top:313;width:5105;height:2128" filled="f" strokecolor="gray" strokeweight="33e-5mm"/>
              <v:rect id="_x0000_s3262" style="position:absolute;left:1640;top:1732;width:260;height:709" fillcolor="#fc9" strokeweight="33e-5mm"/>
              <v:rect id="_x0000_s3263" style="position:absolute;left:2025;top:1073;width:273;height:1368" fillcolor="#fc9" strokeweight="33e-5mm"/>
              <v:rect id="_x0000_s3264" style="position:absolute;left:2422;top:313;width:261;height:2128" fillcolor="#fc9" strokeweight="33e-5mm"/>
              <v:rect id="_x0000_s3265" style="position:absolute;left:3205;top:313;width:273;height:2128" fillcolor="#fc9" strokeweight="33e-5mm"/>
              <v:rect id="_x0000_s3266" style="position:absolute;left:4385;top:313;width:273;height:2128" fillcolor="#fc9" strokeweight="33e-5mm"/>
              <v:rect id="_x0000_s3267" style="position:absolute;left:5950;top:1446;width:273;height:995" fillcolor="#fc9" strokeweight="33e-5mm"/>
              <v:rect id="_x0000_s3268" style="position:absolute;left:1640;top:313;width:260;height:1419" fillcolor="#936" strokeweight="33e-5mm"/>
              <v:rect id="_x0000_s3269" style="position:absolute;left:2025;top:313;width:273;height:760" fillcolor="#936" strokeweight="33e-5mm"/>
              <v:rect id="_x0000_s3270" style="position:absolute;left:2807;top:313;width:273;height:2128" fillcolor="#936" strokeweight="33e-5mm"/>
              <v:rect id="_x0000_s3271" style="position:absolute;left:3987;top:313;width:273;height:2128" fillcolor="#936" strokeweight="33e-5mm"/>
              <v:rect id="_x0000_s3272" style="position:absolute;left:4782;top:313;width:261;height:2128" fillcolor="#936" strokeweight="33e-5mm"/>
              <v:rect id="_x0000_s3273" style="position:absolute;left:5167;top:313;width:273;height:2128" fillcolor="#936" strokeweight="33e-5mm"/>
              <v:rect id="_x0000_s3274" style="position:absolute;left:5565;top:313;width:260;height:2128" fillcolor="#936" strokeweight="33e-5mm"/>
              <v:rect id="_x0000_s3275" style="position:absolute;left:5950;top:313;width:273;height:1133" fillcolor="#936" strokeweight="33e-5mm"/>
              <v:line id="_x0000_s3276" style="position:absolute" from="1180,313" to="1181,2441" strokeweight="0"/>
              <v:line id="_x0000_s3277" style="position:absolute" from="1143,2441" to="1180,2442" strokeweight="0"/>
              <v:line id="_x0000_s3278" style="position:absolute" from="1143,2018" to="1180,2019" strokeweight="0"/>
              <v:line id="_x0000_s3279" style="position:absolute" from="1143,1595" to="1180,1596" strokeweight="0"/>
              <v:line id="_x0000_s3280" style="position:absolute" from="1143,1160" to="1180,1161" strokeweight="0"/>
              <v:line id="_x0000_s3281" style="position:absolute" from="1143,737" to="1180,738" strokeweight="0"/>
              <v:line id="_x0000_s3282" style="position:absolute" from="1143,313" to="1180,314" strokeweight="0"/>
              <v:line id="_x0000_s3283" style="position:absolute" from="1180,2441" to="6285,2442" strokeweight="0"/>
              <v:rect id="_x0000_s3284" style="position:absolute;left:5962;top:1857;width:273;height:322" filled="f" stroked="f">
                <v:textbox style="mso-next-textbox:#_x0000_s3284" inset="0,0,0,0">
                  <w:txbxContent>
                    <w:p w:rsidR="00D345DF" w:rsidRDefault="00D345DF" w:rsidP="000943E9">
                      <w:r>
                        <w:rPr>
                          <w:rFonts w:cs="Arial"/>
                          <w:color w:val="000000"/>
                          <w:sz w:val="14"/>
                          <w:szCs w:val="14"/>
                        </w:rPr>
                        <w:t>46.7</w:t>
                      </w:r>
                    </w:p>
                  </w:txbxContent>
                </v:textbox>
              </v:rect>
              <v:rect id="_x0000_s3285" style="position:absolute;left:4409;top:1284;width:234;height:322" filled="f" stroked="f">
                <v:textbox style="mso-next-textbox:#_x0000_s3285" inset="0,0,0,0">
                  <w:txbxContent>
                    <w:p w:rsidR="00D345DF" w:rsidRDefault="00D345DF" w:rsidP="000943E9">
                      <w:r>
                        <w:rPr>
                          <w:rFonts w:cs="Arial"/>
                          <w:color w:val="000000"/>
                          <w:sz w:val="14"/>
                          <w:szCs w:val="14"/>
                        </w:rPr>
                        <w:t>100</w:t>
                      </w:r>
                    </w:p>
                  </w:txbxContent>
                </v:textbox>
              </v:rect>
              <v:rect id="_x0000_s3286" style="position:absolute;left:3229;top:1284;width:234;height:322" filled="f" stroked="f">
                <v:textbox style="mso-next-textbox:#_x0000_s3286" inset="0,0,0,0">
                  <w:txbxContent>
                    <w:p w:rsidR="00D345DF" w:rsidRDefault="00D345DF" w:rsidP="000943E9">
                      <w:r>
                        <w:rPr>
                          <w:rFonts w:cs="Arial"/>
                          <w:color w:val="000000"/>
                          <w:sz w:val="14"/>
                          <w:szCs w:val="14"/>
                        </w:rPr>
                        <w:t>100</w:t>
                      </w:r>
                    </w:p>
                  </w:txbxContent>
                </v:textbox>
              </v:rect>
              <v:rect id="_x0000_s3287" style="position:absolute;left:2435;top:1284;width:234;height:322" filled="f" stroked="f">
                <v:textbox style="mso-next-textbox:#_x0000_s3287" inset="0,0,0,0">
                  <w:txbxContent>
                    <w:p w:rsidR="00D345DF" w:rsidRDefault="00D345DF" w:rsidP="000943E9">
                      <w:r>
                        <w:rPr>
                          <w:rFonts w:cs="Arial"/>
                          <w:color w:val="000000"/>
                          <w:sz w:val="14"/>
                          <w:szCs w:val="14"/>
                        </w:rPr>
                        <w:t>100</w:t>
                      </w:r>
                    </w:p>
                  </w:txbxContent>
                </v:textbox>
              </v:rect>
              <v:rect id="_x0000_s3288" style="position:absolute;left:2025;top:1707;width:273;height:322" filled="f" stroked="f">
                <v:textbox style="mso-next-textbox:#_x0000_s3288" inset="0,0,0,0">
                  <w:txbxContent>
                    <w:p w:rsidR="00D345DF" w:rsidRDefault="00D345DF" w:rsidP="000943E9">
                      <w:r>
                        <w:rPr>
                          <w:rFonts w:cs="Arial"/>
                          <w:color w:val="000000"/>
                          <w:sz w:val="14"/>
                          <w:szCs w:val="14"/>
                        </w:rPr>
                        <w:t>64.3</w:t>
                      </w:r>
                    </w:p>
                  </w:txbxContent>
                </v:textbox>
              </v:rect>
              <v:rect id="_x0000_s3289" style="position:absolute;left:1640;top:1993;width:273;height:322" filled="f" stroked="f">
                <v:textbox style="mso-next-textbox:#_x0000_s3289" inset="0,0,0,0">
                  <w:txbxContent>
                    <w:p w:rsidR="00D345DF" w:rsidRDefault="00D345DF" w:rsidP="000943E9">
                      <w:r>
                        <w:rPr>
                          <w:rFonts w:cs="Arial"/>
                          <w:color w:val="000000"/>
                          <w:sz w:val="14"/>
                          <w:szCs w:val="14"/>
                        </w:rPr>
                        <w:t>33.3</w:t>
                      </w:r>
                    </w:p>
                  </w:txbxContent>
                </v:textbox>
              </v:rect>
              <v:rect id="_x0000_s3290" style="position:absolute;left:5962;top:786;width:273;height:322" filled="f" stroked="f">
                <v:textbox style="mso-next-textbox:#_x0000_s3290" inset="0,0,0,0">
                  <w:txbxContent>
                    <w:p w:rsidR="00D345DF" w:rsidRDefault="00D345DF" w:rsidP="000943E9">
                      <w:r>
                        <w:rPr>
                          <w:rFonts w:cs="Arial"/>
                          <w:color w:val="FFFFFF"/>
                          <w:sz w:val="14"/>
                          <w:szCs w:val="14"/>
                        </w:rPr>
                        <w:t>53.3</w:t>
                      </w:r>
                    </w:p>
                  </w:txbxContent>
                </v:textbox>
              </v:rect>
              <v:rect id="_x0000_s3291" style="position:absolute;left:5577;top:1284;width:234;height:322" filled="f" stroked="f">
                <v:textbox style="mso-next-textbox:#_x0000_s3291" inset="0,0,0,0">
                  <w:txbxContent>
                    <w:p w:rsidR="00D345DF" w:rsidRDefault="00D345DF" w:rsidP="000943E9">
                      <w:r>
                        <w:rPr>
                          <w:rFonts w:cs="Arial"/>
                          <w:color w:val="FFFFFF"/>
                          <w:sz w:val="14"/>
                          <w:szCs w:val="14"/>
                        </w:rPr>
                        <w:t>100</w:t>
                      </w:r>
                    </w:p>
                  </w:txbxContent>
                </v:textbox>
              </v:rect>
              <v:rect id="_x0000_s3292" style="position:absolute;left:5192;top:1284;width:234;height:322" filled="f" stroked="f">
                <v:textbox style="mso-next-textbox:#_x0000_s3292" inset="0,0,0,0">
                  <w:txbxContent>
                    <w:p w:rsidR="00D345DF" w:rsidRDefault="00D345DF" w:rsidP="000943E9">
                      <w:r>
                        <w:rPr>
                          <w:rFonts w:cs="Arial"/>
                          <w:color w:val="FFFFFF"/>
                          <w:sz w:val="14"/>
                          <w:szCs w:val="14"/>
                        </w:rPr>
                        <w:t>100</w:t>
                      </w:r>
                    </w:p>
                  </w:txbxContent>
                </v:textbox>
              </v:rect>
              <v:rect id="_x0000_s3293" style="position:absolute;left:4794;top:1284;width:234;height:322" filled="f" stroked="f">
                <v:textbox style="mso-next-textbox:#_x0000_s3293" inset="0,0,0,0">
                  <w:txbxContent>
                    <w:p w:rsidR="00D345DF" w:rsidRDefault="00D345DF" w:rsidP="000943E9">
                      <w:r>
                        <w:rPr>
                          <w:rFonts w:cs="Arial"/>
                          <w:color w:val="FFFFFF"/>
                          <w:sz w:val="14"/>
                          <w:szCs w:val="14"/>
                        </w:rPr>
                        <w:t>100</w:t>
                      </w:r>
                    </w:p>
                  </w:txbxContent>
                </v:textbox>
              </v:rect>
              <v:rect id="_x0000_s3294" style="position:absolute;left:4012;top:1284;width:234;height:322" filled="f" stroked="f">
                <v:textbox style="mso-next-textbox:#_x0000_s3294" inset="0,0,0,0">
                  <w:txbxContent>
                    <w:p w:rsidR="00D345DF" w:rsidRDefault="00D345DF" w:rsidP="000943E9">
                      <w:r>
                        <w:rPr>
                          <w:rFonts w:cs="Arial"/>
                          <w:color w:val="FFFFFF"/>
                          <w:sz w:val="14"/>
                          <w:szCs w:val="14"/>
                        </w:rPr>
                        <w:t>100</w:t>
                      </w:r>
                    </w:p>
                  </w:txbxContent>
                </v:textbox>
              </v:rect>
              <v:rect id="_x0000_s3295" style="position:absolute;left:2832;top:1284;width:234;height:322" filled="f" stroked="f">
                <v:textbox style="mso-next-textbox:#_x0000_s3295" inset="0,0,0,0">
                  <w:txbxContent>
                    <w:p w:rsidR="00D345DF" w:rsidRDefault="00D345DF" w:rsidP="000943E9">
                      <w:r>
                        <w:rPr>
                          <w:rFonts w:cs="Arial"/>
                          <w:color w:val="FFFFFF"/>
                          <w:sz w:val="14"/>
                          <w:szCs w:val="14"/>
                        </w:rPr>
                        <w:t>100</w:t>
                      </w:r>
                    </w:p>
                  </w:txbxContent>
                </v:textbox>
              </v:rect>
              <v:rect id="_x0000_s3296" style="position:absolute;left:2037;top:600;width:312;height:368" filled="f" stroked="f">
                <v:textbox style="mso-next-textbox:#_x0000_s3296" inset="0,0,0,0">
                  <w:txbxContent>
                    <w:p w:rsidR="00D345DF" w:rsidRDefault="00D345DF" w:rsidP="000943E9">
                      <w:pPr>
                        <w:rPr>
                          <w:sz w:val="16"/>
                          <w:szCs w:val="16"/>
                        </w:rPr>
                      </w:pPr>
                      <w:r>
                        <w:rPr>
                          <w:rFonts w:cs="Arial"/>
                          <w:b/>
                          <w:color w:val="FFFFFF"/>
                          <w:sz w:val="16"/>
                          <w:szCs w:val="16"/>
                        </w:rPr>
                        <w:t>35.</w:t>
                      </w:r>
                      <w:r>
                        <w:rPr>
                          <w:rFonts w:cs="Arial"/>
                          <w:color w:val="FFFFFF"/>
                          <w:sz w:val="16"/>
                          <w:szCs w:val="16"/>
                        </w:rPr>
                        <w:t>7</w:t>
                      </w:r>
                    </w:p>
                  </w:txbxContent>
                </v:textbox>
              </v:rect>
              <v:rect id="_x0000_s3297" style="position:absolute;left:1640;top:936;width:273;height:322" filled="f" stroked="f">
                <v:textbox style="mso-next-textbox:#_x0000_s3297" inset="0,0,0,0">
                  <w:txbxContent>
                    <w:p w:rsidR="00D345DF" w:rsidRDefault="00D345DF" w:rsidP="000943E9">
                      <w:r>
                        <w:rPr>
                          <w:rFonts w:cs="Arial"/>
                          <w:color w:val="FFFFFF"/>
                          <w:sz w:val="14"/>
                          <w:szCs w:val="14"/>
                        </w:rPr>
                        <w:t>66.7</w:t>
                      </w:r>
                    </w:p>
                  </w:txbxContent>
                </v:textbox>
              </v:rect>
              <v:rect id="_x0000_s3298" style="position:absolute;left:882;top:2354;width:203;height:322" filled="f" stroked="f">
                <v:textbox style="mso-next-textbox:#_x0000_s3298" inset="0,0,0,0">
                  <w:txbxContent>
                    <w:p w:rsidR="00D345DF" w:rsidRDefault="00D345DF" w:rsidP="000943E9">
                      <w:r>
                        <w:rPr>
                          <w:rFonts w:cs="Arial"/>
                          <w:color w:val="000000"/>
                          <w:sz w:val="14"/>
                          <w:szCs w:val="14"/>
                        </w:rPr>
                        <w:t>0%</w:t>
                      </w:r>
                    </w:p>
                  </w:txbxContent>
                </v:textbox>
              </v:rect>
              <v:rect id="_x0000_s3299" style="position:absolute;left:807;top:1931;width:281;height:322" filled="f" stroked="f">
                <v:textbox style="mso-next-textbox:#_x0000_s3299" inset="0,0,0,0">
                  <w:txbxContent>
                    <w:p w:rsidR="00D345DF" w:rsidRDefault="00D345DF" w:rsidP="000943E9">
                      <w:r>
                        <w:rPr>
                          <w:rFonts w:cs="Arial"/>
                          <w:color w:val="000000"/>
                          <w:sz w:val="14"/>
                          <w:szCs w:val="14"/>
                        </w:rPr>
                        <w:t>20%</w:t>
                      </w:r>
                    </w:p>
                  </w:txbxContent>
                </v:textbox>
              </v:rect>
              <v:rect id="_x0000_s3300" style="position:absolute;left:807;top:1508;width:281;height:322" filled="f" stroked="f">
                <v:textbox style="mso-next-textbox:#_x0000_s3300" inset="0,0,0,0">
                  <w:txbxContent>
                    <w:p w:rsidR="00D345DF" w:rsidRDefault="00D345DF" w:rsidP="000943E9">
                      <w:r>
                        <w:rPr>
                          <w:rFonts w:cs="Arial"/>
                          <w:color w:val="000000"/>
                          <w:sz w:val="14"/>
                          <w:szCs w:val="14"/>
                        </w:rPr>
                        <w:t>40%</w:t>
                      </w:r>
                    </w:p>
                  </w:txbxContent>
                </v:textbox>
              </v:rect>
              <v:rect id="_x0000_s3301" style="position:absolute;left:807;top:1073;width:281;height:322" filled="f" stroked="f">
                <v:textbox style="mso-next-textbox:#_x0000_s3301" inset="0,0,0,0">
                  <w:txbxContent>
                    <w:p w:rsidR="00D345DF" w:rsidRDefault="00D345DF" w:rsidP="000943E9">
                      <w:r>
                        <w:rPr>
                          <w:rFonts w:cs="Arial"/>
                          <w:color w:val="000000"/>
                          <w:sz w:val="14"/>
                          <w:szCs w:val="14"/>
                        </w:rPr>
                        <w:t>60%</w:t>
                      </w:r>
                    </w:p>
                  </w:txbxContent>
                </v:textbox>
              </v:rect>
              <v:rect id="_x0000_s3302" style="position:absolute;left:807;top:649;width:281;height:322" filled="f" stroked="f">
                <v:textbox style="mso-next-textbox:#_x0000_s3302" inset="0,0,0,0">
                  <w:txbxContent>
                    <w:p w:rsidR="00D345DF" w:rsidRDefault="00D345DF" w:rsidP="000943E9">
                      <w:r>
                        <w:rPr>
                          <w:rFonts w:cs="Arial"/>
                          <w:color w:val="000000"/>
                          <w:sz w:val="14"/>
                          <w:szCs w:val="14"/>
                        </w:rPr>
                        <w:t>80%</w:t>
                      </w:r>
                    </w:p>
                  </w:txbxContent>
                </v:textbox>
              </v:rect>
              <v:rect id="_x0000_s3303" style="position:absolute;left:733;top:226;width:359;height:161" filled="f" stroked="f">
                <v:textbox style="mso-next-textbox:#_x0000_s3303" inset="0,0,0,0">
                  <w:txbxContent>
                    <w:p w:rsidR="00D345DF" w:rsidRDefault="00D345DF" w:rsidP="000943E9">
                      <w:pPr>
                        <w:ind w:left="-810"/>
                      </w:pPr>
                      <w:r>
                        <w:rPr>
                          <w:rFonts w:cs="Arial"/>
                          <w:color w:val="000000"/>
                          <w:sz w:val="14"/>
                          <w:szCs w:val="14"/>
                        </w:rPr>
                        <w:t>100%</w:t>
                      </w:r>
                    </w:p>
                  </w:txbxContent>
                </v:textbox>
              </v:rect>
              <v:line id="_x0000_s3304" style="position:absolute" from="199,2889" to="6285,2890" strokeweight="0"/>
              <v:line id="_x0000_s3305" style="position:absolute" from="199,3387" to="6285,3388" strokeweight="0"/>
              <v:line id="_x0000_s3306" style="position:absolute" from="1180,2441" to="6285,2442" strokeweight="0"/>
              <v:line id="_x0000_s3307" style="position:absolute" from="199,2889" to="200,3387" strokeweight="0"/>
              <v:line id="_x0000_s3308" style="position:absolute" from="1180,2441" to="1181,3387" strokeweight="0"/>
              <v:line id="_x0000_s3309" style="position:absolute" from="1577,2441" to="1578,3387" strokeweight="0"/>
              <v:line id="_x0000_s3310" style="position:absolute" from="1963,2441" to="1964,3387" strokeweight="0"/>
              <v:line id="_x0000_s3311" style="position:absolute" from="2360,2441" to="2361,3387" strokeweight="0"/>
              <v:line id="_x0000_s3312" style="position:absolute" from="2745,2441" to="2746,3387" strokeweight="0"/>
              <v:line id="_x0000_s3313" style="position:absolute" from="3143,2441" to="3144,3387" strokeweight="0"/>
              <v:line id="_x0000_s3314" style="position:absolute" from="3540,2441" to="3541,3387" strokeweight="0"/>
              <v:line id="_x0000_s3315" style="position:absolute" from="3925,2441" to="3926,3387" strokeweight="0"/>
              <v:line id="_x0000_s3316" style="position:absolute" from="4322,2441" to="4323,3387" strokeweight="0"/>
              <v:line id="_x0000_s3317" style="position:absolute" from="4720,2441" to="4721,3387" strokeweight="0"/>
              <v:line id="_x0000_s3318" style="position:absolute" from="5105,2441" to="5106,3387" strokeweight="0"/>
              <v:line id="_x0000_s3319" style="position:absolute" from="5502,2441" to="5503,3387" strokeweight="0"/>
              <v:line id="_x0000_s3320" style="position:absolute" from="5888,2441" to="5889,3387" strokeweight="0"/>
              <v:line id="_x0000_s3321" style="position:absolute" from="6285,2441" to="6286,3387" strokeweight="0"/>
              <v:rect id="_x0000_s3322" style="position:absolute;left:236;top:3001;width:75;height:75" fillcolor="#936" strokeweight="33e-5mm"/>
              <v:rect id="_x0000_s3323" style="position:absolute;left:360;top:2952;width:818;height:322" filled="f" stroked="f">
                <v:textbox style="mso-next-textbox:#_x0000_s3323" inset="0,0,0,0">
                  <w:txbxContent>
                    <w:p w:rsidR="00D345DF" w:rsidRDefault="00D345DF" w:rsidP="000943E9">
                      <w:r>
                        <w:rPr>
                          <w:rFonts w:cs="Arial"/>
                          <w:color w:val="000000"/>
                          <w:sz w:val="14"/>
                          <w:szCs w:val="14"/>
                        </w:rPr>
                        <w:t>2007 Female</w:t>
                      </w:r>
                    </w:p>
                  </w:txbxContent>
                </v:textbox>
              </v:rect>
              <v:rect id="_x0000_s3324" style="position:absolute;left:1341;top:2939;width:78;height:161" filled="f" stroked="f">
                <v:textbox style="mso-next-textbox:#_x0000_s3324" inset="0,0,0,0">
                  <w:txbxContent>
                    <w:p w:rsidR="00D345DF" w:rsidRDefault="00D345DF" w:rsidP="000943E9">
                      <w:r>
                        <w:rPr>
                          <w:rFonts w:cs="Arial"/>
                          <w:color w:val="000000"/>
                          <w:sz w:val="14"/>
                          <w:szCs w:val="14"/>
                        </w:rPr>
                        <w:t>0</w:t>
                      </w:r>
                    </w:p>
                  </w:txbxContent>
                </v:textbox>
              </v:rect>
              <v:rect id="_x0000_s3325" style="position:absolute;left:1739;top:2939;width:78;height:161" filled="f" stroked="f">
                <v:textbox style="mso-next-textbox:#_x0000_s3325" inset="0,0,0,0">
                  <w:txbxContent>
                    <w:p w:rsidR="00D345DF" w:rsidRDefault="00D345DF" w:rsidP="000943E9">
                      <w:r>
                        <w:rPr>
                          <w:rFonts w:cs="Arial"/>
                          <w:color w:val="000000"/>
                          <w:sz w:val="14"/>
                          <w:szCs w:val="14"/>
                        </w:rPr>
                        <w:t>2</w:t>
                      </w:r>
                    </w:p>
                  </w:txbxContent>
                </v:textbox>
              </v:rect>
              <v:rect id="_x0000_s3326" style="position:absolute;left:2124;top:2939;width:78;height:161" filled="f" stroked="f">
                <v:textbox style="mso-next-textbox:#_x0000_s3326" inset="0,0,0,0">
                  <w:txbxContent>
                    <w:p w:rsidR="00D345DF" w:rsidRDefault="00D345DF" w:rsidP="000943E9">
                      <w:r>
                        <w:rPr>
                          <w:rFonts w:cs="Arial"/>
                          <w:color w:val="000000"/>
                          <w:sz w:val="14"/>
                          <w:szCs w:val="14"/>
                        </w:rPr>
                        <w:t>5</w:t>
                      </w:r>
                    </w:p>
                  </w:txbxContent>
                </v:textbox>
              </v:rect>
              <v:rect id="_x0000_s3327" style="position:absolute;left:2521;top:2939;width:78;height:161" filled="f" stroked="f">
                <v:textbox style="mso-next-textbox:#_x0000_s3327" inset="0,0,0,0">
                  <w:txbxContent>
                    <w:p w:rsidR="00D345DF" w:rsidRDefault="00D345DF" w:rsidP="000943E9">
                      <w:r>
                        <w:rPr>
                          <w:rFonts w:cs="Arial"/>
                          <w:color w:val="000000"/>
                          <w:sz w:val="14"/>
                          <w:szCs w:val="14"/>
                        </w:rPr>
                        <w:t>0</w:t>
                      </w:r>
                    </w:p>
                  </w:txbxContent>
                </v:textbox>
              </v:rect>
              <v:rect id="_x0000_s3328" style="position:absolute;left:2907;top:2939;width:78;height:161" filled="f" stroked="f">
                <v:textbox style="mso-next-textbox:#_x0000_s3328" inset="0,0,0,0">
                  <w:txbxContent>
                    <w:p w:rsidR="00D345DF" w:rsidRDefault="00D345DF" w:rsidP="000943E9">
                      <w:r>
                        <w:rPr>
                          <w:rFonts w:cs="Arial"/>
                          <w:color w:val="000000"/>
                          <w:sz w:val="14"/>
                          <w:szCs w:val="14"/>
                        </w:rPr>
                        <w:t>1</w:t>
                      </w:r>
                    </w:p>
                  </w:txbxContent>
                </v:textbox>
              </v:rect>
              <v:rect id="_x0000_s3329" style="position:absolute;left:3304;top:2939;width:78;height:161" filled="f" stroked="f">
                <v:textbox style="mso-next-textbox:#_x0000_s3329" inset="0,0,0,0">
                  <w:txbxContent>
                    <w:p w:rsidR="00D345DF" w:rsidRDefault="00D345DF" w:rsidP="000943E9">
                      <w:r>
                        <w:rPr>
                          <w:rFonts w:cs="Arial"/>
                          <w:color w:val="000000"/>
                          <w:sz w:val="14"/>
                          <w:szCs w:val="14"/>
                        </w:rPr>
                        <w:t>0</w:t>
                      </w:r>
                    </w:p>
                  </w:txbxContent>
                </v:textbox>
              </v:rect>
              <v:rect id="_x0000_s3330" style="position:absolute;left:3701;top:2939;width:78;height:161" filled="f" stroked="f">
                <v:textbox style="mso-next-textbox:#_x0000_s3330" inset="0,0,0,0">
                  <w:txbxContent>
                    <w:p w:rsidR="00D345DF" w:rsidRDefault="00D345DF" w:rsidP="000943E9">
                      <w:r>
                        <w:rPr>
                          <w:rFonts w:cs="Arial"/>
                          <w:color w:val="000000"/>
                          <w:sz w:val="14"/>
                          <w:szCs w:val="14"/>
                        </w:rPr>
                        <w:t>0</w:t>
                      </w:r>
                    </w:p>
                  </w:txbxContent>
                </v:textbox>
              </v:rect>
              <v:rect id="_x0000_s3331" style="position:absolute;left:4086;top:2939;width:78;height:161" filled="f" stroked="f">
                <v:textbox style="mso-next-textbox:#_x0000_s3331" inset="0,0,0,0">
                  <w:txbxContent>
                    <w:p w:rsidR="00D345DF" w:rsidRDefault="00D345DF" w:rsidP="000943E9">
                      <w:r>
                        <w:rPr>
                          <w:rFonts w:cs="Arial"/>
                          <w:color w:val="000000"/>
                          <w:sz w:val="14"/>
                          <w:szCs w:val="14"/>
                        </w:rPr>
                        <w:t>1</w:t>
                      </w:r>
                    </w:p>
                  </w:txbxContent>
                </v:textbox>
              </v:rect>
              <v:rect id="_x0000_s3332" style="position:absolute;left:4484;top:2939;width:78;height:161" filled="f" stroked="f">
                <v:textbox style="mso-next-textbox:#_x0000_s3332" inset="0,0,0,0">
                  <w:txbxContent>
                    <w:p w:rsidR="00D345DF" w:rsidRDefault="00D345DF" w:rsidP="000943E9">
                      <w:r>
                        <w:rPr>
                          <w:rFonts w:cs="Arial"/>
                          <w:color w:val="000000"/>
                          <w:sz w:val="14"/>
                          <w:szCs w:val="14"/>
                        </w:rPr>
                        <w:t>0</w:t>
                      </w:r>
                    </w:p>
                  </w:txbxContent>
                </v:textbox>
              </v:rect>
              <v:rect id="_x0000_s3333" style="position:absolute;left:4881;top:2939;width:78;height:161" filled="f" stroked="f">
                <v:textbox style="mso-next-textbox:#_x0000_s3333" inset="0,0,0,0">
                  <w:txbxContent>
                    <w:p w:rsidR="00D345DF" w:rsidRDefault="00D345DF" w:rsidP="000943E9">
                      <w:r>
                        <w:rPr>
                          <w:rFonts w:cs="Arial"/>
                          <w:color w:val="000000"/>
                          <w:sz w:val="14"/>
                          <w:szCs w:val="14"/>
                        </w:rPr>
                        <w:t>1</w:t>
                      </w:r>
                    </w:p>
                  </w:txbxContent>
                </v:textbox>
              </v:rect>
              <v:rect id="_x0000_s3334" style="position:absolute;left:5266;top:2939;width:78;height:161" filled="f" stroked="f">
                <v:textbox style="mso-next-textbox:#_x0000_s3334" inset="0,0,0,0">
                  <w:txbxContent>
                    <w:p w:rsidR="00D345DF" w:rsidRDefault="00D345DF" w:rsidP="000943E9">
                      <w:r>
                        <w:rPr>
                          <w:rFonts w:cs="Arial"/>
                          <w:color w:val="000000"/>
                          <w:sz w:val="14"/>
                          <w:szCs w:val="14"/>
                        </w:rPr>
                        <w:t>4</w:t>
                      </w:r>
                    </w:p>
                  </w:txbxContent>
                </v:textbox>
              </v:rect>
              <v:rect id="_x0000_s3335" style="position:absolute;left:5664;top:2939;width:78;height:161" filled="f" stroked="f">
                <v:textbox style="mso-next-textbox:#_x0000_s3335" inset="0,0,0,0">
                  <w:txbxContent>
                    <w:p w:rsidR="00D345DF" w:rsidRDefault="00D345DF" w:rsidP="000943E9">
                      <w:r>
                        <w:rPr>
                          <w:rFonts w:cs="Arial"/>
                          <w:color w:val="000000"/>
                          <w:sz w:val="14"/>
                          <w:szCs w:val="14"/>
                        </w:rPr>
                        <w:t>2</w:t>
                      </w:r>
                    </w:p>
                  </w:txbxContent>
                </v:textbox>
              </v:rect>
              <v:rect id="_x0000_s3336" style="position:absolute;left:6012;top:2939;width:156;height:322" filled="f" stroked="f">
                <v:textbox style="mso-next-textbox:#_x0000_s3336" inset="0,0,0,0">
                  <w:txbxContent>
                    <w:p w:rsidR="00D345DF" w:rsidRDefault="00D345DF" w:rsidP="000943E9">
                      <w:r>
                        <w:rPr>
                          <w:rFonts w:cs="Arial"/>
                          <w:color w:val="000000"/>
                          <w:sz w:val="14"/>
                          <w:szCs w:val="14"/>
                        </w:rPr>
                        <w:t>16</w:t>
                      </w:r>
                    </w:p>
                  </w:txbxContent>
                </v:textbox>
              </v:rect>
              <v:line id="_x0000_s3337" style="position:absolute" from="211,3151" to="6273,3152" strokeweight="0"/>
              <v:rect id="_x0000_s3338" style="position:absolute;left:236;top:3250;width:75;height:75" fillcolor="#fc9" strokeweight="33e-5mm"/>
              <v:rect id="_x0000_s3339" style="position:absolute;left:360;top:3201;width:654;height:322" filled="f" stroked="f">
                <v:textbox style="mso-next-textbox:#_x0000_s3339" inset="0,0,0,0">
                  <w:txbxContent>
                    <w:p w:rsidR="00D345DF" w:rsidRDefault="00D345DF" w:rsidP="000943E9">
                      <w:r>
                        <w:rPr>
                          <w:rFonts w:cs="Arial"/>
                          <w:color w:val="000000"/>
                          <w:sz w:val="14"/>
                          <w:szCs w:val="14"/>
                        </w:rPr>
                        <w:t>2007 Male</w:t>
                      </w:r>
                    </w:p>
                  </w:txbxContent>
                </v:textbox>
              </v:rect>
              <v:rect id="_x0000_s3340" style="position:absolute;left:1341;top:3188;width:78;height:161" filled="f" stroked="f">
                <v:textbox style="mso-next-textbox:#_x0000_s3340" inset="0,0,0,0">
                  <w:txbxContent>
                    <w:p w:rsidR="00D345DF" w:rsidRDefault="00D345DF" w:rsidP="000943E9">
                      <w:r>
                        <w:rPr>
                          <w:rFonts w:cs="Arial"/>
                          <w:color w:val="000000"/>
                          <w:sz w:val="14"/>
                          <w:szCs w:val="14"/>
                        </w:rPr>
                        <w:t>0</w:t>
                      </w:r>
                    </w:p>
                  </w:txbxContent>
                </v:textbox>
              </v:rect>
              <v:rect id="_x0000_s3341" style="position:absolute;left:1739;top:3188;width:78;height:161" filled="f" stroked="f">
                <v:textbox style="mso-next-textbox:#_x0000_s3341" inset="0,0,0,0">
                  <w:txbxContent>
                    <w:p w:rsidR="00D345DF" w:rsidRDefault="00D345DF" w:rsidP="000943E9">
                      <w:r>
                        <w:rPr>
                          <w:rFonts w:cs="Arial"/>
                          <w:color w:val="000000"/>
                          <w:sz w:val="14"/>
                          <w:szCs w:val="14"/>
                        </w:rPr>
                        <w:t>1</w:t>
                      </w:r>
                    </w:p>
                  </w:txbxContent>
                </v:textbox>
              </v:rect>
              <v:rect id="_x0000_s3342" style="position:absolute;left:2124;top:3188;width:78;height:161" filled="f" stroked="f">
                <v:textbox style="mso-next-textbox:#_x0000_s3342" inset="0,0,0,0">
                  <w:txbxContent>
                    <w:p w:rsidR="00D345DF" w:rsidRDefault="00D345DF" w:rsidP="000943E9">
                      <w:r>
                        <w:rPr>
                          <w:rFonts w:cs="Arial"/>
                          <w:color w:val="000000"/>
                          <w:sz w:val="14"/>
                          <w:szCs w:val="14"/>
                        </w:rPr>
                        <w:t>9</w:t>
                      </w:r>
                    </w:p>
                  </w:txbxContent>
                </v:textbox>
              </v:rect>
              <v:rect id="_x0000_s3343" style="position:absolute;left:2521;top:3188;width:78;height:161" filled="f" stroked="f">
                <v:textbox style="mso-next-textbox:#_x0000_s3343" inset="0,0,0,0">
                  <w:txbxContent>
                    <w:p w:rsidR="00D345DF" w:rsidRDefault="00D345DF" w:rsidP="000943E9">
                      <w:r>
                        <w:rPr>
                          <w:rFonts w:cs="Arial"/>
                          <w:color w:val="000000"/>
                          <w:sz w:val="14"/>
                          <w:szCs w:val="14"/>
                        </w:rPr>
                        <w:t>2</w:t>
                      </w:r>
                    </w:p>
                  </w:txbxContent>
                </v:textbox>
              </v:rect>
              <v:rect id="_x0000_s3344" style="position:absolute;left:2907;top:3188;width:78;height:161" filled="f" stroked="f">
                <v:textbox style="mso-next-textbox:#_x0000_s3344" inset="0,0,0,0">
                  <w:txbxContent>
                    <w:p w:rsidR="00D345DF" w:rsidRDefault="00D345DF" w:rsidP="000943E9">
                      <w:r>
                        <w:rPr>
                          <w:rFonts w:cs="Arial"/>
                          <w:color w:val="000000"/>
                          <w:sz w:val="14"/>
                          <w:szCs w:val="14"/>
                        </w:rPr>
                        <w:t>0</w:t>
                      </w:r>
                    </w:p>
                  </w:txbxContent>
                </v:textbox>
              </v:rect>
              <v:rect id="_x0000_s3345" style="position:absolute;left:3304;top:3188;width:78;height:161" filled="f" stroked="f">
                <v:textbox style="mso-next-textbox:#_x0000_s3345" inset="0,0,0,0">
                  <w:txbxContent>
                    <w:p w:rsidR="00D345DF" w:rsidRDefault="00D345DF" w:rsidP="000943E9">
                      <w:r>
                        <w:rPr>
                          <w:rFonts w:cs="Arial"/>
                          <w:color w:val="000000"/>
                          <w:sz w:val="14"/>
                          <w:szCs w:val="14"/>
                        </w:rPr>
                        <w:t>1</w:t>
                      </w:r>
                    </w:p>
                  </w:txbxContent>
                </v:textbox>
              </v:rect>
              <v:rect id="_x0000_s3346" style="position:absolute;left:3701;top:3188;width:78;height:161" filled="f" stroked="f">
                <v:textbox style="mso-next-textbox:#_x0000_s3346" inset="0,0,0,0">
                  <w:txbxContent>
                    <w:p w:rsidR="00D345DF" w:rsidRDefault="00D345DF" w:rsidP="000943E9">
                      <w:r>
                        <w:rPr>
                          <w:rFonts w:cs="Arial"/>
                          <w:color w:val="000000"/>
                          <w:sz w:val="14"/>
                          <w:szCs w:val="14"/>
                        </w:rPr>
                        <w:t>0</w:t>
                      </w:r>
                    </w:p>
                  </w:txbxContent>
                </v:textbox>
              </v:rect>
              <v:rect id="_x0000_s3347" style="position:absolute;left:4086;top:3188;width:78;height:161" filled="f" stroked="f">
                <v:textbox style="mso-next-textbox:#_x0000_s3347" inset="0,0,0,0">
                  <w:txbxContent>
                    <w:p w:rsidR="00D345DF" w:rsidRDefault="00D345DF" w:rsidP="000943E9">
                      <w:r>
                        <w:rPr>
                          <w:rFonts w:cs="Arial"/>
                          <w:color w:val="000000"/>
                          <w:sz w:val="14"/>
                          <w:szCs w:val="14"/>
                        </w:rPr>
                        <w:t>0</w:t>
                      </w:r>
                    </w:p>
                  </w:txbxContent>
                </v:textbox>
              </v:rect>
              <v:rect id="_x0000_s3348" style="position:absolute;left:4484;top:3188;width:78;height:161" filled="f" stroked="f">
                <v:textbox style="mso-next-textbox:#_x0000_s3348" inset="0,0,0,0">
                  <w:txbxContent>
                    <w:p w:rsidR="00D345DF" w:rsidRDefault="00D345DF" w:rsidP="000943E9">
                      <w:r>
                        <w:rPr>
                          <w:rFonts w:cs="Arial"/>
                          <w:color w:val="000000"/>
                          <w:sz w:val="14"/>
                          <w:szCs w:val="14"/>
                        </w:rPr>
                        <w:t>1</w:t>
                      </w:r>
                    </w:p>
                  </w:txbxContent>
                </v:textbox>
              </v:rect>
              <v:rect id="_x0000_s3349" style="position:absolute;left:4881;top:3188;width:78;height:161" filled="f" stroked="f">
                <v:textbox style="mso-next-textbox:#_x0000_s3349" inset="0,0,0,0">
                  <w:txbxContent>
                    <w:p w:rsidR="00D345DF" w:rsidRDefault="00D345DF" w:rsidP="000943E9">
                      <w:r>
                        <w:rPr>
                          <w:rFonts w:cs="Arial"/>
                          <w:color w:val="000000"/>
                          <w:sz w:val="14"/>
                          <w:szCs w:val="14"/>
                        </w:rPr>
                        <w:t>0</w:t>
                      </w:r>
                    </w:p>
                  </w:txbxContent>
                </v:textbox>
              </v:rect>
              <v:rect id="_x0000_s3350" style="position:absolute;left:5266;top:3188;width:78;height:161" filled="f" stroked="f">
                <v:textbox style="mso-next-textbox:#_x0000_s3350" inset="0,0,0,0">
                  <w:txbxContent>
                    <w:p w:rsidR="00D345DF" w:rsidRDefault="00D345DF" w:rsidP="000943E9">
                      <w:r>
                        <w:rPr>
                          <w:rFonts w:cs="Arial"/>
                          <w:color w:val="000000"/>
                          <w:sz w:val="14"/>
                          <w:szCs w:val="14"/>
                        </w:rPr>
                        <w:t>0</w:t>
                      </w:r>
                    </w:p>
                  </w:txbxContent>
                </v:textbox>
              </v:rect>
              <v:rect id="_x0000_s3351" style="position:absolute;left:5664;top:3188;width:78;height:161" filled="f" stroked="f">
                <v:textbox style="mso-next-textbox:#_x0000_s3351" inset="0,0,0,0">
                  <w:txbxContent>
                    <w:p w:rsidR="00D345DF" w:rsidRDefault="00D345DF" w:rsidP="000943E9">
                      <w:r>
                        <w:rPr>
                          <w:rFonts w:cs="Arial"/>
                          <w:color w:val="000000"/>
                          <w:sz w:val="14"/>
                          <w:szCs w:val="14"/>
                        </w:rPr>
                        <w:t>0</w:t>
                      </w:r>
                    </w:p>
                  </w:txbxContent>
                </v:textbox>
              </v:rect>
              <v:rect id="_x0000_s3352" style="position:absolute;left:6012;top:3188;width:156;height:322" filled="f" stroked="f">
                <v:textbox style="mso-next-textbox:#_x0000_s3352" inset="0,0,0,0">
                  <w:txbxContent>
                    <w:p w:rsidR="00D345DF" w:rsidRDefault="00D345DF" w:rsidP="000943E9">
                      <w:r>
                        <w:rPr>
                          <w:rFonts w:cs="Arial"/>
                          <w:color w:val="000000"/>
                          <w:sz w:val="14"/>
                          <w:szCs w:val="14"/>
                        </w:rPr>
                        <w:t>14</w:t>
                      </w:r>
                    </w:p>
                  </w:txbxContent>
                </v:textbox>
              </v:rect>
              <v:rect id="_x0000_s3353" style="position:absolute;left:1255;top:2566;width:250;height:322" filled="f" stroked="f">
                <v:textbox style="mso-next-textbox:#_x0000_s3353" inset="0,0,0,0">
                  <w:txbxContent>
                    <w:p w:rsidR="00D345DF" w:rsidRDefault="00D345DF" w:rsidP="000943E9">
                      <w:r>
                        <w:rPr>
                          <w:rFonts w:cs="Arial"/>
                          <w:color w:val="000000"/>
                          <w:sz w:val="14"/>
                          <w:szCs w:val="14"/>
                        </w:rPr>
                        <w:t>P02</w:t>
                      </w:r>
                    </w:p>
                  </w:txbxContent>
                </v:textbox>
              </v:rect>
              <v:rect id="_x0000_s3354" style="position:absolute;left:1652;top:2566;width:250;height:322" filled="f" stroked="f">
                <v:textbox style="mso-next-textbox:#_x0000_s3354" inset="0,0,0,0">
                  <w:txbxContent>
                    <w:p w:rsidR="00D345DF" w:rsidRDefault="00D345DF" w:rsidP="000943E9">
                      <w:r>
                        <w:rPr>
                          <w:rFonts w:cs="Arial"/>
                          <w:color w:val="000000"/>
                          <w:sz w:val="14"/>
                          <w:szCs w:val="14"/>
                        </w:rPr>
                        <w:t>P03</w:t>
                      </w:r>
                    </w:p>
                  </w:txbxContent>
                </v:textbox>
              </v:rect>
              <v:rect id="_x0000_s3355" style="position:absolute;left:2037;top:2566;width:250;height:322" filled="f" stroked="f">
                <v:textbox style="mso-next-textbox:#_x0000_s3355" inset="0,0,0,0">
                  <w:txbxContent>
                    <w:p w:rsidR="00D345DF" w:rsidRDefault="00D345DF" w:rsidP="000943E9">
                      <w:r>
                        <w:rPr>
                          <w:rFonts w:cs="Arial"/>
                          <w:color w:val="000000"/>
                          <w:sz w:val="14"/>
                          <w:szCs w:val="14"/>
                        </w:rPr>
                        <w:t>P04</w:t>
                      </w:r>
                    </w:p>
                  </w:txbxContent>
                </v:textbox>
              </v:rect>
              <v:rect id="_x0000_s3356" style="position:absolute;left:2435;top:2566;width:250;height:322" filled="f" stroked="f">
                <v:textbox style="mso-next-textbox:#_x0000_s3356" inset="0,0,0,0">
                  <w:txbxContent>
                    <w:p w:rsidR="00D345DF" w:rsidRDefault="00D345DF" w:rsidP="000943E9">
                      <w:r>
                        <w:rPr>
                          <w:rFonts w:cs="Arial"/>
                          <w:color w:val="000000"/>
                          <w:sz w:val="14"/>
                          <w:szCs w:val="14"/>
                        </w:rPr>
                        <w:t>P05</w:t>
                      </w:r>
                    </w:p>
                  </w:txbxContent>
                </v:textbox>
              </v:rect>
              <v:rect id="_x0000_s3357" style="position:absolute;left:2820;top:2566;width:250;height:322" filled="f" stroked="f">
                <v:textbox style="mso-next-textbox:#_x0000_s3357" inset="0,0,0,0">
                  <w:txbxContent>
                    <w:p w:rsidR="00D345DF" w:rsidRDefault="00D345DF" w:rsidP="000943E9">
                      <w:r>
                        <w:rPr>
                          <w:rFonts w:cs="Arial"/>
                          <w:color w:val="000000"/>
                          <w:sz w:val="14"/>
                          <w:szCs w:val="14"/>
                        </w:rPr>
                        <w:t>P06</w:t>
                      </w:r>
                    </w:p>
                  </w:txbxContent>
                </v:textbox>
              </v:rect>
              <v:rect id="_x0000_s3358" style="position:absolute;left:3217;top:2566;width:257;height:322" filled="f" stroked="f">
                <v:textbox style="mso-next-textbox:#_x0000_s3358" inset="0,0,0,0">
                  <w:txbxContent>
                    <w:p w:rsidR="00D345DF" w:rsidRDefault="00D345DF" w:rsidP="000943E9">
                      <w:r>
                        <w:rPr>
                          <w:rFonts w:cs="Arial"/>
                          <w:color w:val="000000"/>
                          <w:sz w:val="14"/>
                          <w:szCs w:val="14"/>
                        </w:rPr>
                        <w:t>D01</w:t>
                      </w:r>
                    </w:p>
                  </w:txbxContent>
                </v:textbox>
              </v:rect>
              <v:rect id="_x0000_s3359" style="position:absolute;left:3615;top:2566;width:257;height:322" filled="f" stroked="f">
                <v:textbox style="mso-next-textbox:#_x0000_s3359" inset="0,0,0,0">
                  <w:txbxContent>
                    <w:p w:rsidR="00D345DF" w:rsidRDefault="00D345DF" w:rsidP="000943E9">
                      <w:r>
                        <w:rPr>
                          <w:rFonts w:cs="Arial"/>
                          <w:color w:val="000000"/>
                          <w:sz w:val="14"/>
                          <w:szCs w:val="14"/>
                        </w:rPr>
                        <w:t>D02</w:t>
                      </w:r>
                    </w:p>
                  </w:txbxContent>
                </v:textbox>
              </v:rect>
              <v:rect id="_x0000_s3360" style="position:absolute;left:3950;top:2566;width:366;height:322" filled="f" stroked="f">
                <v:textbox style="mso-next-textbox:#_x0000_s3360" inset="0,0,0,0">
                  <w:txbxContent>
                    <w:p w:rsidR="00D345DF" w:rsidRDefault="00D345DF" w:rsidP="000943E9">
                      <w:r>
                        <w:rPr>
                          <w:rFonts w:cs="Arial"/>
                          <w:color w:val="000000"/>
                          <w:sz w:val="14"/>
                          <w:szCs w:val="14"/>
                        </w:rPr>
                        <w:t>UG02</w:t>
                      </w:r>
                    </w:p>
                  </w:txbxContent>
                </v:textbox>
              </v:rect>
              <v:rect id="_x0000_s3361" style="position:absolute;left:4372;top:2566;width:304;height:322" filled="f" stroked="f">
                <v:textbox style="mso-next-textbox:#_x0000_s3361" inset="0,0,0,0">
                  <w:txbxContent>
                    <w:p w:rsidR="00D345DF" w:rsidRDefault="00D345DF" w:rsidP="000943E9">
                      <w:r>
                        <w:rPr>
                          <w:rFonts w:cs="Arial"/>
                          <w:color w:val="000000"/>
                          <w:sz w:val="14"/>
                          <w:szCs w:val="14"/>
                        </w:rPr>
                        <w:t>NOA</w:t>
                      </w:r>
                    </w:p>
                  </w:txbxContent>
                </v:textbox>
              </v:rect>
              <v:rect id="_x0000_s3362" style="position:absolute;left:4770;top:2566;width:304;height:322" filled="f" stroked="f">
                <v:textbox style="mso-next-textbox:#_x0000_s3362" inset="0,0,0,0">
                  <w:txbxContent>
                    <w:p w:rsidR="00D345DF" w:rsidRDefault="00D345DF" w:rsidP="000943E9">
                      <w:r>
                        <w:rPr>
                          <w:rFonts w:cs="Arial"/>
                          <w:color w:val="000000"/>
                          <w:sz w:val="14"/>
                          <w:szCs w:val="14"/>
                        </w:rPr>
                        <w:t>NOB</w:t>
                      </w:r>
                    </w:p>
                  </w:txbxContent>
                </v:textbox>
              </v:rect>
              <v:rect id="_x0000_s3363" style="position:absolute;left:5155;top:2566;width:312;height:322" filled="f" stroked="f">
                <v:textbox style="mso-next-textbox:#_x0000_s3363" inset="0,0,0,0">
                  <w:txbxContent>
                    <w:p w:rsidR="00D345DF" w:rsidRDefault="00D345DF" w:rsidP="000943E9">
                      <w:r>
                        <w:rPr>
                          <w:rFonts w:cs="Arial"/>
                          <w:color w:val="000000"/>
                          <w:sz w:val="14"/>
                          <w:szCs w:val="14"/>
                        </w:rPr>
                        <w:t>NOC</w:t>
                      </w:r>
                    </w:p>
                  </w:txbxContent>
                </v:textbox>
              </v:rect>
              <v:rect id="_x0000_s3364" style="position:absolute;left:5552;top:2566;width:312;height:322" filled="f" stroked="f">
                <v:textbox style="mso-next-textbox:#_x0000_s3364" inset="0,0,0,0">
                  <w:txbxContent>
                    <w:p w:rsidR="00D345DF" w:rsidRDefault="00D345DF" w:rsidP="000943E9">
                      <w:r>
                        <w:rPr>
                          <w:rFonts w:cs="Arial"/>
                          <w:color w:val="000000"/>
                          <w:sz w:val="14"/>
                          <w:szCs w:val="14"/>
                        </w:rPr>
                        <w:t>NOD</w:t>
                      </w:r>
                    </w:p>
                  </w:txbxContent>
                </v:textbox>
              </v:rect>
              <v:rect id="_x0000_s3365" style="position:absolute;left:5937;top:2566;width:312;height:322" filled="f" stroked="f">
                <v:textbox style="mso-next-textbox:#_x0000_s3365" inset="0,0,0,0">
                  <w:txbxContent>
                    <w:p w:rsidR="00D345DF" w:rsidRDefault="00D345DF" w:rsidP="000943E9">
                      <w:r>
                        <w:rPr>
                          <w:rFonts w:cs="Arial"/>
                          <w:color w:val="000000"/>
                          <w:sz w:val="14"/>
                          <w:szCs w:val="14"/>
                        </w:rPr>
                        <w:t>Total</w:t>
                      </w:r>
                    </w:p>
                  </w:txbxContent>
                </v:textbox>
              </v:rect>
            </v:group>
            <w10:wrap type="none"/>
            <w10:anchorlock/>
          </v:group>
        </w:pict>
      </w:r>
      <w:r w:rsidR="000943E9">
        <w:rPr>
          <w:szCs w:val="22"/>
        </w:rPr>
        <w:t xml:space="preserve">    </w:t>
      </w:r>
    </w:p>
    <w:p w:rsidR="000943E9" w:rsidRDefault="000943E9" w:rsidP="00B31EA4">
      <w:pPr>
        <w:pStyle w:val="ListParagraph"/>
        <w:ind w:left="1728"/>
      </w:pPr>
      <w:r>
        <w:rPr>
          <w:szCs w:val="22"/>
        </w:rPr>
        <w:t xml:space="preserve">    b.   New 2006 appointments by grade-level, active at 12/31/06</w:t>
      </w:r>
    </w:p>
    <w:p w:rsidR="000943E9" w:rsidRDefault="00C173AA" w:rsidP="000943E9">
      <w:pPr>
        <w:ind w:left="810" w:firstLine="270"/>
      </w:pPr>
      <w:r>
        <w:rPr>
          <w:noProof/>
          <w:lang w:val="en-US"/>
        </w:rPr>
        <w:drawing>
          <wp:inline distT="0" distB="0" distL="0" distR="0">
            <wp:extent cx="4121785" cy="2369185"/>
            <wp:effectExtent l="0" t="0" r="0" b="0"/>
            <wp:docPr id="28"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5"/>
                    <a:srcRect/>
                    <a:stretch>
                      <a:fillRect/>
                    </a:stretch>
                  </pic:blipFill>
                  <pic:spPr bwMode="auto">
                    <a:xfrm>
                      <a:off x="0" y="0"/>
                      <a:ext cx="4121785" cy="2369185"/>
                    </a:xfrm>
                    <a:prstGeom prst="rect">
                      <a:avLst/>
                    </a:prstGeom>
                    <a:noFill/>
                    <a:ln w="9525">
                      <a:noFill/>
                      <a:miter lim="800000"/>
                      <a:headEnd/>
                      <a:tailEnd/>
                    </a:ln>
                  </pic:spPr>
                </pic:pic>
              </a:graphicData>
            </a:graphic>
          </wp:inline>
        </w:drawing>
      </w:r>
    </w:p>
    <w:p w:rsidR="00252C2F" w:rsidRDefault="00252C2F" w:rsidP="00252C2F">
      <w:pPr>
        <w:pStyle w:val="ListParagraph"/>
        <w:ind w:hanging="288"/>
        <w:rPr>
          <w:sz w:val="16"/>
          <w:szCs w:val="22"/>
        </w:rPr>
      </w:pPr>
    </w:p>
    <w:p w:rsidR="00185762" w:rsidRDefault="00185762" w:rsidP="00185762">
      <w:pPr>
        <w:pStyle w:val="ListParagraph"/>
        <w:numPr>
          <w:ilvl w:val="0"/>
          <w:numId w:val="22"/>
        </w:numPr>
        <w:ind w:hanging="288"/>
        <w:rPr>
          <w:sz w:val="22"/>
          <w:szCs w:val="22"/>
        </w:rPr>
      </w:pPr>
      <w:r w:rsidRPr="006A07B7">
        <w:rPr>
          <w:sz w:val="22"/>
          <w:szCs w:val="22"/>
        </w:rPr>
        <w:t>Overall, more women than men were hired in professional positions (P + NPO) in 2007 while the reverse was true in 2006. This change stemmed from a substantial increase in the number of women’s appointments as national officers at the B, C and D levels and to a modest gain in the proportion of females in the combined category of  P3</w:t>
      </w:r>
      <w:r>
        <w:rPr>
          <w:sz w:val="22"/>
          <w:szCs w:val="22"/>
        </w:rPr>
        <w:t>-</w:t>
      </w:r>
      <w:r w:rsidRPr="006A07B7">
        <w:rPr>
          <w:sz w:val="22"/>
          <w:szCs w:val="22"/>
        </w:rPr>
        <w:t>4</w:t>
      </w:r>
      <w:r>
        <w:rPr>
          <w:sz w:val="22"/>
          <w:szCs w:val="22"/>
        </w:rPr>
        <w:t xml:space="preserve"> &amp; P</w:t>
      </w:r>
      <w:r w:rsidRPr="006A07B7">
        <w:rPr>
          <w:sz w:val="22"/>
          <w:szCs w:val="22"/>
        </w:rPr>
        <w:t xml:space="preserve">6 recruitments. It must be noted, however, that the tendency remained for men outnumbering women among the international P appointments (thirteen to nine in 2007) and women prevailing among national officer recruitments (seven to one in 2007). </w:t>
      </w:r>
    </w:p>
    <w:p w:rsidR="00185762" w:rsidRPr="00C760C9" w:rsidRDefault="00185762" w:rsidP="00185762">
      <w:pPr>
        <w:rPr>
          <w:sz w:val="22"/>
          <w:szCs w:val="22"/>
        </w:rPr>
      </w:pPr>
    </w:p>
    <w:p w:rsidR="00185762" w:rsidRPr="00185762" w:rsidRDefault="00185762" w:rsidP="00185762">
      <w:pPr>
        <w:pStyle w:val="ListParagraph"/>
        <w:numPr>
          <w:ilvl w:val="0"/>
          <w:numId w:val="22"/>
        </w:numPr>
        <w:ind w:hanging="288"/>
        <w:rPr>
          <w:sz w:val="24"/>
          <w:szCs w:val="22"/>
        </w:rPr>
      </w:pPr>
      <w:r w:rsidRPr="006A07B7">
        <w:rPr>
          <w:sz w:val="22"/>
          <w:szCs w:val="22"/>
        </w:rPr>
        <w:t xml:space="preserve">Numbers also need to be qualified by the power attached to the positions. In this sense, it must be noted that a woman was added to the ungraded Directorial level, thus completing an all-women trio at PAHO’s helm. </w:t>
      </w:r>
    </w:p>
    <w:p w:rsidR="00185762" w:rsidRPr="00185762" w:rsidRDefault="00185762" w:rsidP="00185762">
      <w:pPr>
        <w:pStyle w:val="ListParagraph"/>
        <w:rPr>
          <w:sz w:val="24"/>
          <w:szCs w:val="22"/>
        </w:rPr>
      </w:pPr>
    </w:p>
    <w:p w:rsidR="00185762" w:rsidRPr="00780185" w:rsidRDefault="00185762" w:rsidP="00185762">
      <w:pPr>
        <w:pStyle w:val="ListParagraph"/>
        <w:numPr>
          <w:ilvl w:val="0"/>
          <w:numId w:val="22"/>
        </w:numPr>
        <w:ind w:hanging="288"/>
        <w:rPr>
          <w:sz w:val="24"/>
          <w:szCs w:val="22"/>
        </w:rPr>
      </w:pPr>
      <w:r w:rsidRPr="006A07B7">
        <w:rPr>
          <w:sz w:val="22"/>
          <w:szCs w:val="22"/>
        </w:rPr>
        <w:t>For managerial male-dominated positions (P5, P6 and Ds) one woman and three men were hired in 2007. This could be seen as a step backward regarding the 2006 women/men recruitment ratio at those levels, which was of two women to three men.</w:t>
      </w:r>
    </w:p>
    <w:p w:rsidR="00185762" w:rsidRPr="00252C2F" w:rsidRDefault="00185762" w:rsidP="00185762">
      <w:pPr>
        <w:pStyle w:val="ListParagraph"/>
        <w:ind w:hanging="288"/>
        <w:rPr>
          <w:sz w:val="16"/>
          <w:szCs w:val="22"/>
        </w:rPr>
      </w:pPr>
    </w:p>
    <w:p w:rsidR="00185762" w:rsidRPr="006A07B7" w:rsidRDefault="00185762" w:rsidP="00185762">
      <w:pPr>
        <w:pStyle w:val="ListParagraph"/>
        <w:numPr>
          <w:ilvl w:val="0"/>
          <w:numId w:val="22"/>
        </w:numPr>
        <w:rPr>
          <w:sz w:val="24"/>
          <w:szCs w:val="22"/>
        </w:rPr>
      </w:pPr>
      <w:r w:rsidRPr="006A07B7">
        <w:rPr>
          <w:sz w:val="22"/>
          <w:szCs w:val="22"/>
        </w:rPr>
        <w:t xml:space="preserve">The most frequent hires for both men and women occurred at the male-dominated P4 level: 11 in 2006 and 14 in 2007. In both years, these appointments continued favouring men although in 2007 there was a slight increase in the women/men ratio. </w:t>
      </w:r>
    </w:p>
    <w:p w:rsidR="00185762" w:rsidRPr="006A07B7" w:rsidRDefault="00185762" w:rsidP="00185762">
      <w:pPr>
        <w:pStyle w:val="ListParagraph"/>
        <w:ind w:left="360"/>
        <w:rPr>
          <w:sz w:val="12"/>
          <w:szCs w:val="22"/>
        </w:rPr>
      </w:pPr>
    </w:p>
    <w:p w:rsidR="00185762" w:rsidRPr="006A07B7" w:rsidRDefault="00185762" w:rsidP="00185762">
      <w:pPr>
        <w:pStyle w:val="ListParagraph"/>
        <w:numPr>
          <w:ilvl w:val="0"/>
          <w:numId w:val="22"/>
        </w:numPr>
        <w:rPr>
          <w:sz w:val="24"/>
          <w:szCs w:val="22"/>
        </w:rPr>
      </w:pPr>
      <w:r w:rsidRPr="006A07B7">
        <w:rPr>
          <w:sz w:val="22"/>
          <w:szCs w:val="22"/>
        </w:rPr>
        <w:t xml:space="preserve">For P3 positions, two women and one man were recruited in 2007, proportion that could be deemed as a small inroad into a male-dominated field, particularly when compared to the corresponding 2006 ratio of one to one.  </w:t>
      </w:r>
    </w:p>
    <w:p w:rsidR="00185762" w:rsidRPr="006A07B7" w:rsidRDefault="00185762" w:rsidP="00185762">
      <w:pPr>
        <w:pStyle w:val="ListParagraph"/>
        <w:rPr>
          <w:sz w:val="12"/>
          <w:szCs w:val="22"/>
        </w:rPr>
      </w:pPr>
    </w:p>
    <w:p w:rsidR="00185762" w:rsidRPr="00780185" w:rsidRDefault="00185762" w:rsidP="00185762">
      <w:pPr>
        <w:pStyle w:val="ListParagraph"/>
        <w:numPr>
          <w:ilvl w:val="0"/>
          <w:numId w:val="22"/>
        </w:numPr>
        <w:rPr>
          <w:sz w:val="24"/>
          <w:szCs w:val="22"/>
        </w:rPr>
      </w:pPr>
      <w:r w:rsidRPr="006A07B7">
        <w:rPr>
          <w:sz w:val="22"/>
          <w:szCs w:val="22"/>
        </w:rPr>
        <w:t>There were no new recruitments in 2007 at the levels of P2 and below that affected the predominance of women at those levels.</w:t>
      </w:r>
    </w:p>
    <w:p w:rsidR="00433C1A" w:rsidRPr="00433C1A" w:rsidRDefault="00433C1A" w:rsidP="00780185">
      <w:pPr>
        <w:pStyle w:val="ListParagraph"/>
        <w:ind w:left="0"/>
        <w:rPr>
          <w:sz w:val="28"/>
          <w:szCs w:val="22"/>
        </w:rPr>
      </w:pPr>
    </w:p>
    <w:p w:rsidR="009571FA" w:rsidRPr="00433C1A" w:rsidRDefault="00433C1A" w:rsidP="00433C1A">
      <w:pPr>
        <w:rPr>
          <w:b/>
          <w:sz w:val="24"/>
          <w:szCs w:val="22"/>
        </w:rPr>
      </w:pPr>
      <w:r w:rsidRPr="00433C1A">
        <w:rPr>
          <w:b/>
          <w:sz w:val="24"/>
          <w:szCs w:val="22"/>
        </w:rPr>
        <w:t xml:space="preserve">3.   </w:t>
      </w:r>
      <w:r w:rsidR="009571FA" w:rsidRPr="00433C1A">
        <w:rPr>
          <w:b/>
          <w:sz w:val="24"/>
          <w:szCs w:val="22"/>
        </w:rPr>
        <w:t xml:space="preserve">Institutional measures to promote sex-parity </w:t>
      </w:r>
    </w:p>
    <w:p w:rsidR="009571FA" w:rsidRPr="006A07B7" w:rsidRDefault="009571FA" w:rsidP="00573033">
      <w:pPr>
        <w:pStyle w:val="ListParagraph"/>
        <w:rPr>
          <w:b/>
          <w:sz w:val="22"/>
          <w:szCs w:val="22"/>
        </w:rPr>
      </w:pPr>
    </w:p>
    <w:p w:rsidR="009571FA" w:rsidRDefault="009571FA" w:rsidP="00573033">
      <w:pPr>
        <w:rPr>
          <w:sz w:val="22"/>
          <w:szCs w:val="22"/>
        </w:rPr>
      </w:pPr>
      <w:r w:rsidRPr="006A07B7">
        <w:rPr>
          <w:sz w:val="22"/>
          <w:szCs w:val="22"/>
        </w:rPr>
        <w:t xml:space="preserve">Information obtained during the planners interviews (see previous section) indicated that several measures have been put in place to promote women’s recruitment at professional posts. The first one has been to set a quota of 20% female applicants before beginning the selection process. If this quota is not met, the advertising time is extended. The second type of measures is to ensure the participation of women in the committees that conduct the initial selection and the interviewing.  And the third is to assign weight to the “female factor” as a selection criterion.  </w:t>
      </w:r>
    </w:p>
    <w:p w:rsidR="00EA3B53" w:rsidRDefault="00EA3B53">
      <w:pPr>
        <w:rPr>
          <w:szCs w:val="22"/>
        </w:rPr>
      </w:pPr>
    </w:p>
    <w:p w:rsidR="00EA3B53" w:rsidRDefault="00EA3B53">
      <w:pPr>
        <w:rPr>
          <w:szCs w:val="22"/>
        </w:rPr>
      </w:pPr>
      <w:r>
        <w:rPr>
          <w:szCs w:val="22"/>
        </w:rPr>
        <w:br w:type="page"/>
      </w:r>
    </w:p>
    <w:tbl>
      <w:tblPr>
        <w:tblW w:w="9360" w:type="dxa"/>
        <w:tblInd w:w="108" w:type="dxa"/>
        <w:tblBorders>
          <w:top w:val="single" w:sz="4" w:space="0" w:color="auto"/>
          <w:left w:val="single" w:sz="4" w:space="0" w:color="auto"/>
          <w:bottom w:val="single" w:sz="4" w:space="0" w:color="auto"/>
          <w:right w:val="single" w:sz="4" w:space="0" w:color="auto"/>
        </w:tblBorders>
        <w:shd w:val="clear" w:color="auto" w:fill="DBE5F1"/>
        <w:tblLook w:val="00A0"/>
      </w:tblPr>
      <w:tblGrid>
        <w:gridCol w:w="9360"/>
      </w:tblGrid>
      <w:tr w:rsidR="009571FA" w:rsidRPr="008E5201" w:rsidTr="00D201FE">
        <w:trPr>
          <w:trHeight w:val="899"/>
        </w:trPr>
        <w:tc>
          <w:tcPr>
            <w:tcW w:w="9360" w:type="dxa"/>
            <w:shd w:val="clear" w:color="auto" w:fill="DBE5F1"/>
          </w:tcPr>
          <w:p w:rsidR="009571FA" w:rsidRPr="008E5201" w:rsidRDefault="009571FA" w:rsidP="00D201FE">
            <w:pPr>
              <w:pStyle w:val="Heading1"/>
              <w:ind w:left="288"/>
              <w:rPr>
                <w:rFonts w:ascii="Arial" w:hAnsi="Arial" w:cs="Arial"/>
                <w:sz w:val="24"/>
              </w:rPr>
            </w:pPr>
            <w:r w:rsidRPr="008E5201">
              <w:rPr>
                <w:rFonts w:ascii="Arial" w:hAnsi="Arial" w:cs="Arial"/>
                <w:sz w:val="24"/>
              </w:rPr>
              <w:t xml:space="preserve">STRATEGIC DIRECTION </w:t>
            </w:r>
            <w:r w:rsidR="008E5201" w:rsidRPr="008E5201">
              <w:rPr>
                <w:rFonts w:ascii="Arial" w:hAnsi="Arial" w:cs="Arial"/>
                <w:sz w:val="24"/>
              </w:rPr>
              <w:t>3: PROMOTING AND USING</w:t>
            </w:r>
            <w:r w:rsidR="008E5201">
              <w:rPr>
                <w:rFonts w:ascii="Arial" w:hAnsi="Arial" w:cs="Arial"/>
                <w:sz w:val="24"/>
              </w:rPr>
              <w:t xml:space="preserve"> </w:t>
            </w:r>
            <w:r w:rsidR="00D201FE">
              <w:rPr>
                <w:rFonts w:ascii="Arial" w:hAnsi="Arial" w:cs="Arial"/>
                <w:sz w:val="24"/>
              </w:rPr>
              <w:t>SEX-</w:t>
            </w:r>
            <w:r w:rsidR="00E53968">
              <w:rPr>
                <w:rFonts w:ascii="Arial" w:hAnsi="Arial" w:cs="Arial"/>
                <w:sz w:val="24"/>
              </w:rPr>
              <w:t xml:space="preserve"> </w:t>
            </w:r>
            <w:r w:rsidR="00D201FE" w:rsidRPr="008E5201">
              <w:rPr>
                <w:rFonts w:ascii="Arial" w:hAnsi="Arial" w:cs="Arial"/>
                <w:sz w:val="24"/>
              </w:rPr>
              <w:t>DISAGGREGATED</w:t>
            </w:r>
            <w:r w:rsidR="00D201FE">
              <w:rPr>
                <w:rFonts w:ascii="Arial" w:hAnsi="Arial" w:cs="Arial"/>
                <w:sz w:val="24"/>
              </w:rPr>
              <w:t xml:space="preserve">                            </w:t>
            </w:r>
            <w:r w:rsidR="00E53968">
              <w:rPr>
                <w:rFonts w:ascii="Arial" w:hAnsi="Arial" w:cs="Arial"/>
                <w:sz w:val="24"/>
              </w:rPr>
              <w:t xml:space="preserve">DATA AND </w:t>
            </w:r>
            <w:r w:rsidRPr="008E5201">
              <w:rPr>
                <w:rFonts w:ascii="Arial" w:hAnsi="Arial" w:cs="Arial"/>
                <w:sz w:val="24"/>
              </w:rPr>
              <w:t>GENDER ANALYSIS</w:t>
            </w:r>
          </w:p>
        </w:tc>
      </w:tr>
    </w:tbl>
    <w:p w:rsidR="009571FA" w:rsidRPr="008E5201" w:rsidRDefault="009571FA" w:rsidP="00573033">
      <w:pPr>
        <w:pStyle w:val="ListParagraph"/>
        <w:rPr>
          <w:sz w:val="18"/>
          <w:szCs w:val="22"/>
        </w:rPr>
      </w:pPr>
    </w:p>
    <w:p w:rsidR="009C414B" w:rsidRPr="002A3BC0" w:rsidRDefault="009C414B" w:rsidP="00861B0E">
      <w:pPr>
        <w:rPr>
          <w:sz w:val="12"/>
          <w:szCs w:val="22"/>
        </w:rPr>
      </w:pPr>
    </w:p>
    <w:p w:rsidR="004A755E" w:rsidRDefault="009571FA" w:rsidP="00861B0E">
      <w:pPr>
        <w:rPr>
          <w:sz w:val="22"/>
          <w:szCs w:val="22"/>
        </w:rPr>
      </w:pPr>
      <w:r w:rsidRPr="00861B0E">
        <w:rPr>
          <w:sz w:val="22"/>
          <w:szCs w:val="22"/>
        </w:rPr>
        <w:t xml:space="preserve">The objective of this </w:t>
      </w:r>
      <w:r>
        <w:rPr>
          <w:sz w:val="22"/>
          <w:szCs w:val="22"/>
        </w:rPr>
        <w:t>assessment</w:t>
      </w:r>
      <w:r w:rsidRPr="00861B0E">
        <w:rPr>
          <w:sz w:val="22"/>
          <w:szCs w:val="22"/>
        </w:rPr>
        <w:t xml:space="preserve"> </w:t>
      </w:r>
      <w:r w:rsidR="00DA1385">
        <w:rPr>
          <w:sz w:val="22"/>
          <w:szCs w:val="22"/>
        </w:rPr>
        <w:t xml:space="preserve">area </w:t>
      </w:r>
      <w:r w:rsidRPr="00861B0E">
        <w:rPr>
          <w:sz w:val="22"/>
          <w:szCs w:val="22"/>
        </w:rPr>
        <w:t>was to provide insight into whether key WHO publications</w:t>
      </w:r>
      <w:r>
        <w:rPr>
          <w:sz w:val="22"/>
          <w:szCs w:val="22"/>
        </w:rPr>
        <w:t>,</w:t>
      </w:r>
      <w:r w:rsidR="00DA1385">
        <w:rPr>
          <w:sz w:val="22"/>
          <w:szCs w:val="22"/>
        </w:rPr>
        <w:t xml:space="preserve"> w</w:t>
      </w:r>
      <w:r w:rsidRPr="00861B0E">
        <w:rPr>
          <w:sz w:val="22"/>
          <w:szCs w:val="22"/>
        </w:rPr>
        <w:t xml:space="preserve">ere promoting </w:t>
      </w:r>
      <w:r w:rsidR="004408AE">
        <w:rPr>
          <w:sz w:val="22"/>
          <w:szCs w:val="22"/>
        </w:rPr>
        <w:t>or</w:t>
      </w:r>
      <w:r w:rsidRPr="00861B0E">
        <w:rPr>
          <w:sz w:val="22"/>
          <w:szCs w:val="22"/>
        </w:rPr>
        <w:t xml:space="preserve"> using sex disaggregated data (SDD) and gender analysis.</w:t>
      </w:r>
      <w:r w:rsidR="00937EA4">
        <w:rPr>
          <w:sz w:val="22"/>
          <w:szCs w:val="22"/>
        </w:rPr>
        <w:t xml:space="preserve"> </w:t>
      </w:r>
    </w:p>
    <w:p w:rsidR="002A3BC0" w:rsidRPr="00714EE1" w:rsidRDefault="002A3BC0" w:rsidP="00861B0E">
      <w:pPr>
        <w:rPr>
          <w:sz w:val="18"/>
          <w:szCs w:val="22"/>
        </w:rPr>
      </w:pPr>
    </w:p>
    <w:p w:rsidR="002A3BC0" w:rsidRPr="008520B1" w:rsidRDefault="002A3BC0" w:rsidP="00861B0E">
      <w:pPr>
        <w:rPr>
          <w:b/>
          <w:sz w:val="24"/>
          <w:szCs w:val="22"/>
        </w:rPr>
      </w:pPr>
      <w:r w:rsidRPr="008520B1">
        <w:rPr>
          <w:b/>
          <w:sz w:val="24"/>
          <w:szCs w:val="22"/>
        </w:rPr>
        <w:t>1.  Summary findings</w:t>
      </w:r>
    </w:p>
    <w:p w:rsidR="002A3BC0" w:rsidRPr="002A3BC0" w:rsidRDefault="002A3BC0" w:rsidP="00861B0E">
      <w:pPr>
        <w:rPr>
          <w:b/>
          <w:sz w:val="10"/>
          <w:szCs w:val="22"/>
        </w:rPr>
      </w:pPr>
    </w:p>
    <w:p w:rsidR="009571FA" w:rsidRPr="00861B0E" w:rsidRDefault="00937EA4" w:rsidP="00861B0E">
      <w:pPr>
        <w:rPr>
          <w:sz w:val="22"/>
          <w:szCs w:val="22"/>
        </w:rPr>
      </w:pPr>
      <w:r>
        <w:rPr>
          <w:sz w:val="22"/>
          <w:szCs w:val="22"/>
        </w:rPr>
        <w:t xml:space="preserve">Following are the </w:t>
      </w:r>
      <w:r w:rsidR="00B15132">
        <w:rPr>
          <w:sz w:val="22"/>
          <w:szCs w:val="22"/>
        </w:rPr>
        <w:t xml:space="preserve">numeric values for the </w:t>
      </w:r>
      <w:r w:rsidR="004A755E">
        <w:rPr>
          <w:sz w:val="22"/>
          <w:szCs w:val="22"/>
        </w:rPr>
        <w:t xml:space="preserve">two </w:t>
      </w:r>
      <w:r w:rsidR="00DA1385">
        <w:rPr>
          <w:sz w:val="22"/>
          <w:szCs w:val="22"/>
        </w:rPr>
        <w:t>indicators</w:t>
      </w:r>
      <w:r>
        <w:rPr>
          <w:sz w:val="22"/>
          <w:szCs w:val="22"/>
        </w:rPr>
        <w:t xml:space="preserve"> selected to measure this SD3, </w:t>
      </w:r>
      <w:r w:rsidR="00B15132">
        <w:rPr>
          <w:sz w:val="22"/>
          <w:szCs w:val="22"/>
        </w:rPr>
        <w:t>a classification of the sampled publications according to each indicator</w:t>
      </w:r>
      <w:r w:rsidR="002A3BC0">
        <w:rPr>
          <w:sz w:val="22"/>
          <w:szCs w:val="22"/>
        </w:rPr>
        <w:t>, and a table containing the scores assigned to the sampled publications</w:t>
      </w:r>
    </w:p>
    <w:p w:rsidR="009571FA" w:rsidRPr="00714EE1" w:rsidRDefault="009571FA" w:rsidP="001452C5">
      <w:pPr>
        <w:pStyle w:val="ListParagraph"/>
        <w:rPr>
          <w:b/>
          <w:sz w:val="16"/>
        </w:rPr>
      </w:pPr>
    </w:p>
    <w:p w:rsidR="001E0EAA" w:rsidRPr="001E0EAA" w:rsidRDefault="004A755E" w:rsidP="001E0EAA">
      <w:pPr>
        <w:shd w:val="clear" w:color="auto" w:fill="EEECE1" w:themeFill="background2"/>
        <w:ind w:left="360"/>
        <w:rPr>
          <w:b/>
          <w:sz w:val="12"/>
        </w:rPr>
      </w:pPr>
      <w:r>
        <w:rPr>
          <w:b/>
          <w:sz w:val="24"/>
        </w:rPr>
        <w:t xml:space="preserve"> </w:t>
      </w:r>
    </w:p>
    <w:p w:rsidR="009571FA" w:rsidRDefault="001E0EAA" w:rsidP="001E0EAA">
      <w:pPr>
        <w:shd w:val="clear" w:color="auto" w:fill="EEECE1" w:themeFill="background2"/>
        <w:ind w:left="360"/>
        <w:rPr>
          <w:b/>
          <w:sz w:val="24"/>
        </w:rPr>
      </w:pPr>
      <w:r>
        <w:rPr>
          <w:b/>
          <w:sz w:val="24"/>
        </w:rPr>
        <w:t xml:space="preserve"> </w:t>
      </w:r>
      <w:r w:rsidR="008E2C45" w:rsidRPr="008E2C45">
        <w:rPr>
          <w:b/>
          <w:sz w:val="22"/>
        </w:rPr>
        <w:t>Indicato</w:t>
      </w:r>
      <w:r w:rsidR="008E2C45">
        <w:rPr>
          <w:b/>
          <w:sz w:val="22"/>
        </w:rPr>
        <w:t>r</w:t>
      </w:r>
      <w:r w:rsidR="008E2C45" w:rsidRPr="008E2C45">
        <w:rPr>
          <w:b/>
          <w:sz w:val="22"/>
        </w:rPr>
        <w:t>s definition and values</w:t>
      </w:r>
    </w:p>
    <w:p w:rsidR="001E0EAA" w:rsidRPr="001E0EAA" w:rsidRDefault="001E0EAA" w:rsidP="001E0EAA">
      <w:pPr>
        <w:shd w:val="clear" w:color="auto" w:fill="EEECE1" w:themeFill="background2"/>
        <w:ind w:left="360"/>
        <w:rPr>
          <w:b/>
          <w:sz w:val="14"/>
        </w:rPr>
      </w:pPr>
    </w:p>
    <w:p w:rsidR="009571FA" w:rsidRPr="001E0EAA" w:rsidRDefault="009571FA" w:rsidP="00581596">
      <w:pPr>
        <w:pStyle w:val="ListParagraph"/>
        <w:numPr>
          <w:ilvl w:val="0"/>
          <w:numId w:val="47"/>
        </w:numPr>
        <w:shd w:val="clear" w:color="auto" w:fill="EEECE1" w:themeFill="background2"/>
        <w:rPr>
          <w:sz w:val="22"/>
        </w:rPr>
      </w:pPr>
      <w:r w:rsidRPr="001E0EAA">
        <w:rPr>
          <w:sz w:val="22"/>
        </w:rPr>
        <w:t>Number of sampl</w:t>
      </w:r>
      <w:r w:rsidR="00A00817" w:rsidRPr="001E0EAA">
        <w:rPr>
          <w:sz w:val="22"/>
        </w:rPr>
        <w:t xml:space="preserve">ed </w:t>
      </w:r>
      <w:r w:rsidR="00972DD8" w:rsidRPr="001E0EAA">
        <w:rPr>
          <w:sz w:val="22"/>
        </w:rPr>
        <w:t>PAHO</w:t>
      </w:r>
      <w:r w:rsidR="00A00817" w:rsidRPr="001E0EAA">
        <w:rPr>
          <w:sz w:val="22"/>
        </w:rPr>
        <w:t xml:space="preserve"> </w:t>
      </w:r>
      <w:r w:rsidR="00972DD8" w:rsidRPr="001E0EAA">
        <w:rPr>
          <w:sz w:val="22"/>
        </w:rPr>
        <w:t>documents</w:t>
      </w:r>
      <w:r w:rsidR="00A00817" w:rsidRPr="001E0EAA">
        <w:rPr>
          <w:sz w:val="22"/>
        </w:rPr>
        <w:t xml:space="preserve"> that </w:t>
      </w:r>
      <w:r w:rsidR="001E0EAA">
        <w:rPr>
          <w:sz w:val="22"/>
        </w:rPr>
        <w:t>promote or use sex-</w:t>
      </w:r>
      <w:r w:rsidRPr="001E0EAA">
        <w:rPr>
          <w:sz w:val="22"/>
        </w:rPr>
        <w:t>disaggregated data</w:t>
      </w:r>
      <w:r w:rsidR="00937EA4" w:rsidRPr="001E0EAA">
        <w:rPr>
          <w:sz w:val="22"/>
        </w:rPr>
        <w:t>……2</w:t>
      </w:r>
    </w:p>
    <w:p w:rsidR="009B41ED" w:rsidRPr="001E0EAA" w:rsidRDefault="009571FA" w:rsidP="00581596">
      <w:pPr>
        <w:pStyle w:val="ListParagraph"/>
        <w:numPr>
          <w:ilvl w:val="0"/>
          <w:numId w:val="47"/>
        </w:numPr>
        <w:shd w:val="clear" w:color="auto" w:fill="EEECE1" w:themeFill="background2"/>
        <w:spacing w:after="200" w:line="276" w:lineRule="auto"/>
        <w:rPr>
          <w:b/>
          <w:sz w:val="22"/>
          <w:szCs w:val="22"/>
        </w:rPr>
      </w:pPr>
      <w:r w:rsidRPr="001E0EAA">
        <w:rPr>
          <w:sz w:val="22"/>
        </w:rPr>
        <w:t xml:space="preserve">Number of sampled </w:t>
      </w:r>
      <w:r w:rsidR="00972DD8" w:rsidRPr="001E0EAA">
        <w:rPr>
          <w:sz w:val="22"/>
        </w:rPr>
        <w:t>PAHO documents</w:t>
      </w:r>
      <w:r w:rsidR="00A00817" w:rsidRPr="001E0EAA">
        <w:rPr>
          <w:sz w:val="22"/>
        </w:rPr>
        <w:t xml:space="preserve"> that strongly </w:t>
      </w:r>
      <w:r w:rsidRPr="001E0EAA">
        <w:rPr>
          <w:sz w:val="22"/>
        </w:rPr>
        <w:t>promote or use gender analysis</w:t>
      </w:r>
      <w:r w:rsidR="00937EA4" w:rsidRPr="001E0EAA">
        <w:rPr>
          <w:sz w:val="22"/>
        </w:rPr>
        <w:t xml:space="preserve"> </w:t>
      </w:r>
      <w:r w:rsidR="001E0EAA">
        <w:rPr>
          <w:sz w:val="22"/>
        </w:rPr>
        <w:t xml:space="preserve">      </w:t>
      </w:r>
      <w:r w:rsidRPr="001E0EAA">
        <w:rPr>
          <w:sz w:val="22"/>
        </w:rPr>
        <w:t>in health</w:t>
      </w:r>
      <w:r w:rsidR="00937EA4" w:rsidRPr="001E0EAA">
        <w:rPr>
          <w:sz w:val="22"/>
        </w:rPr>
        <w:t>………………………………………………………………………………………….. 2</w:t>
      </w:r>
    </w:p>
    <w:p w:rsidR="002A3BC0" w:rsidRPr="002A3BC0" w:rsidRDefault="002A3BC0" w:rsidP="002A3BC0">
      <w:pPr>
        <w:ind w:left="288"/>
        <w:rPr>
          <w:sz w:val="12"/>
        </w:rPr>
      </w:pPr>
    </w:p>
    <w:p w:rsidR="002A3BC0" w:rsidRPr="002465EE" w:rsidRDefault="00F10089" w:rsidP="00F10089">
      <w:pPr>
        <w:rPr>
          <w:b/>
          <w:sz w:val="22"/>
          <w:szCs w:val="22"/>
        </w:rPr>
      </w:pPr>
      <w:r>
        <w:rPr>
          <w:b/>
          <w:sz w:val="22"/>
          <w:szCs w:val="22"/>
        </w:rPr>
        <w:t xml:space="preserve">     </w:t>
      </w:r>
      <w:r w:rsidR="002A3BC0">
        <w:rPr>
          <w:b/>
          <w:sz w:val="22"/>
          <w:szCs w:val="22"/>
        </w:rPr>
        <w:t xml:space="preserve">Indicator 1: </w:t>
      </w:r>
      <w:r w:rsidR="002A3BC0" w:rsidRPr="002465EE">
        <w:rPr>
          <w:b/>
          <w:sz w:val="22"/>
          <w:szCs w:val="22"/>
        </w:rPr>
        <w:t>Promotion or Use of Sex Disaggregated Data (SDD)</w:t>
      </w:r>
    </w:p>
    <w:p w:rsidR="002A3BC0" w:rsidRPr="002A3BC0" w:rsidRDefault="002A3BC0" w:rsidP="00FA5DC6">
      <w:pPr>
        <w:ind w:left="576"/>
        <w:rPr>
          <w:sz w:val="10"/>
        </w:rPr>
      </w:pPr>
    </w:p>
    <w:p w:rsidR="002A3BC0" w:rsidRDefault="002A3BC0" w:rsidP="00FA5DC6">
      <w:pPr>
        <w:ind w:left="576"/>
        <w:rPr>
          <w:sz w:val="22"/>
        </w:rPr>
      </w:pPr>
      <w:r w:rsidRPr="002465EE">
        <w:rPr>
          <w:sz w:val="22"/>
        </w:rPr>
        <w:t xml:space="preserve">This indicator had two dimensions: </w:t>
      </w:r>
      <w:r w:rsidRPr="002465EE">
        <w:rPr>
          <w:sz w:val="22"/>
          <w:u w:val="single"/>
        </w:rPr>
        <w:t>recommending</w:t>
      </w:r>
      <w:r w:rsidRPr="002465EE">
        <w:rPr>
          <w:sz w:val="22"/>
        </w:rPr>
        <w:t xml:space="preserve"> </w:t>
      </w:r>
      <w:r>
        <w:rPr>
          <w:sz w:val="22"/>
        </w:rPr>
        <w:t>or</w:t>
      </w:r>
      <w:r w:rsidRPr="002465EE">
        <w:rPr>
          <w:sz w:val="22"/>
        </w:rPr>
        <w:t xml:space="preserve"> </w:t>
      </w:r>
      <w:r w:rsidRPr="002465EE">
        <w:rPr>
          <w:sz w:val="22"/>
          <w:u w:val="single"/>
        </w:rPr>
        <w:t>using/</w:t>
      </w:r>
      <w:r w:rsidR="008520B1">
        <w:rPr>
          <w:sz w:val="22"/>
          <w:u w:val="single"/>
        </w:rPr>
        <w:t xml:space="preserve"> </w:t>
      </w:r>
      <w:r w:rsidRPr="002465EE">
        <w:rPr>
          <w:sz w:val="22"/>
          <w:u w:val="single"/>
        </w:rPr>
        <w:t>presenting</w:t>
      </w:r>
      <w:r w:rsidRPr="002465EE">
        <w:rPr>
          <w:sz w:val="22"/>
        </w:rPr>
        <w:t xml:space="preserve"> SDD</w:t>
      </w:r>
      <w:r w:rsidRPr="002465EE">
        <w:rPr>
          <w:rStyle w:val="FootnoteReference"/>
          <w:sz w:val="22"/>
        </w:rPr>
        <w:footnoteReference w:id="14"/>
      </w:r>
      <w:r>
        <w:rPr>
          <w:sz w:val="22"/>
        </w:rPr>
        <w:t xml:space="preserve">: </w:t>
      </w:r>
      <w:r w:rsidRPr="002465EE">
        <w:rPr>
          <w:sz w:val="22"/>
        </w:rPr>
        <w:t>Two</w:t>
      </w:r>
      <w:r w:rsidR="00433C1A">
        <w:rPr>
          <w:sz w:val="22"/>
        </w:rPr>
        <w:t xml:space="preserve"> (2)</w:t>
      </w:r>
      <w:r w:rsidRPr="002465EE">
        <w:rPr>
          <w:sz w:val="22"/>
        </w:rPr>
        <w:t xml:space="preserve"> publications made </w:t>
      </w:r>
      <w:r w:rsidRPr="002465EE">
        <w:rPr>
          <w:b/>
          <w:sz w:val="22"/>
        </w:rPr>
        <w:t xml:space="preserve">extended use of and promotion </w:t>
      </w:r>
      <w:r w:rsidRPr="002465EE">
        <w:rPr>
          <w:sz w:val="22"/>
        </w:rPr>
        <w:t xml:space="preserve">of SDD: </w:t>
      </w:r>
    </w:p>
    <w:p w:rsidR="002A3BC0" w:rsidRPr="00B15132" w:rsidRDefault="002A3BC0" w:rsidP="00581596">
      <w:pPr>
        <w:pStyle w:val="ListParagraph"/>
        <w:numPr>
          <w:ilvl w:val="0"/>
          <w:numId w:val="49"/>
        </w:numPr>
        <w:ind w:left="1296"/>
        <w:rPr>
          <w:sz w:val="22"/>
        </w:rPr>
      </w:pPr>
      <w:r w:rsidRPr="00B15132">
        <w:rPr>
          <w:i/>
          <w:sz w:val="22"/>
        </w:rPr>
        <w:t>Social Protection in Health</w:t>
      </w:r>
      <w:r w:rsidRPr="00B15132">
        <w:rPr>
          <w:sz w:val="22"/>
        </w:rPr>
        <w:t xml:space="preserve"> </w:t>
      </w:r>
      <w:r w:rsidRPr="00B15132">
        <w:rPr>
          <w:i/>
          <w:sz w:val="22"/>
          <w:szCs w:val="22"/>
        </w:rPr>
        <w:t>Schemes for Mother, Newborn and Child Populati</w:t>
      </w:r>
      <w:r w:rsidRPr="00433C1A">
        <w:rPr>
          <w:b/>
          <w:i/>
          <w:sz w:val="22"/>
          <w:szCs w:val="22"/>
        </w:rPr>
        <w:t>o</w:t>
      </w:r>
      <w:r w:rsidRPr="00B15132">
        <w:rPr>
          <w:i/>
          <w:sz w:val="22"/>
          <w:szCs w:val="22"/>
        </w:rPr>
        <w:t>ns</w:t>
      </w:r>
    </w:p>
    <w:p w:rsidR="002A3BC0" w:rsidRPr="00B15132" w:rsidRDefault="002A3BC0" w:rsidP="00581596">
      <w:pPr>
        <w:pStyle w:val="ListParagraph"/>
        <w:numPr>
          <w:ilvl w:val="0"/>
          <w:numId w:val="49"/>
        </w:numPr>
        <w:ind w:left="1296"/>
        <w:rPr>
          <w:sz w:val="22"/>
        </w:rPr>
      </w:pPr>
      <w:r w:rsidRPr="00B15132">
        <w:rPr>
          <w:i/>
          <w:sz w:val="22"/>
        </w:rPr>
        <w:t>Health in the Americas 2007. Volume I-Regional.</w:t>
      </w:r>
    </w:p>
    <w:p w:rsidR="00714EE1" w:rsidRPr="00714EE1" w:rsidRDefault="00714EE1" w:rsidP="00FA5DC6">
      <w:pPr>
        <w:ind w:left="576"/>
        <w:rPr>
          <w:sz w:val="10"/>
        </w:rPr>
      </w:pPr>
    </w:p>
    <w:p w:rsidR="002A3BC0" w:rsidRPr="008520B1" w:rsidRDefault="002A3BC0" w:rsidP="00FA5DC6">
      <w:pPr>
        <w:ind w:left="576"/>
        <w:rPr>
          <w:rFonts w:cs="Arial"/>
          <w:bCs/>
          <w:i/>
          <w:color w:val="000000"/>
          <w:sz w:val="22"/>
          <w:szCs w:val="22"/>
        </w:rPr>
      </w:pPr>
      <w:r>
        <w:rPr>
          <w:sz w:val="22"/>
        </w:rPr>
        <w:t xml:space="preserve">Use and promotion of </w:t>
      </w:r>
      <w:r w:rsidRPr="002465EE">
        <w:rPr>
          <w:sz w:val="22"/>
        </w:rPr>
        <w:t>SDD w</w:t>
      </w:r>
      <w:r>
        <w:rPr>
          <w:sz w:val="22"/>
        </w:rPr>
        <w:t>ere</w:t>
      </w:r>
      <w:r w:rsidRPr="002465EE">
        <w:rPr>
          <w:sz w:val="22"/>
        </w:rPr>
        <w:t xml:space="preserve"> </w:t>
      </w:r>
      <w:r>
        <w:rPr>
          <w:sz w:val="22"/>
        </w:rPr>
        <w:t xml:space="preserve">barely visible </w:t>
      </w:r>
      <w:r w:rsidRPr="002465EE">
        <w:rPr>
          <w:sz w:val="22"/>
        </w:rPr>
        <w:t xml:space="preserve">in </w:t>
      </w:r>
      <w:r>
        <w:rPr>
          <w:sz w:val="22"/>
        </w:rPr>
        <w:t xml:space="preserve">the </w:t>
      </w:r>
      <w:r w:rsidRPr="00B15132">
        <w:rPr>
          <w:i/>
          <w:sz w:val="22"/>
        </w:rPr>
        <w:t>Countries Volume II of</w:t>
      </w:r>
      <w:r>
        <w:rPr>
          <w:sz w:val="22"/>
        </w:rPr>
        <w:t xml:space="preserve"> </w:t>
      </w:r>
      <w:r w:rsidRPr="002465EE">
        <w:rPr>
          <w:i/>
          <w:sz w:val="22"/>
        </w:rPr>
        <w:t>Health in the Americas 2007</w:t>
      </w:r>
      <w:r>
        <w:rPr>
          <w:sz w:val="22"/>
        </w:rPr>
        <w:t xml:space="preserve">; </w:t>
      </w:r>
      <w:r>
        <w:rPr>
          <w:i/>
          <w:sz w:val="22"/>
        </w:rPr>
        <w:t>and</w:t>
      </w:r>
      <w:r>
        <w:rPr>
          <w:sz w:val="22"/>
        </w:rPr>
        <w:t xml:space="preserve"> </w:t>
      </w:r>
      <w:r w:rsidRPr="00A0230E">
        <w:rPr>
          <w:b/>
          <w:sz w:val="22"/>
        </w:rPr>
        <w:t>not mentioned</w:t>
      </w:r>
      <w:r>
        <w:rPr>
          <w:b/>
          <w:sz w:val="22"/>
        </w:rPr>
        <w:t xml:space="preserve"> </w:t>
      </w:r>
      <w:r w:rsidRPr="008E2C45">
        <w:rPr>
          <w:sz w:val="22"/>
        </w:rPr>
        <w:t>at all,</w:t>
      </w:r>
      <w:r>
        <w:rPr>
          <w:b/>
          <w:sz w:val="22"/>
        </w:rPr>
        <w:t xml:space="preserve"> </w:t>
      </w:r>
      <w:r w:rsidRPr="002465EE">
        <w:rPr>
          <w:sz w:val="22"/>
        </w:rPr>
        <w:t xml:space="preserve">in </w:t>
      </w:r>
      <w:r w:rsidRPr="002465EE">
        <w:rPr>
          <w:i/>
          <w:sz w:val="22"/>
          <w:szCs w:val="22"/>
        </w:rPr>
        <w:t>Renewing Primary Health Care in the Americas</w:t>
      </w:r>
      <w:r w:rsidRPr="00A0230E">
        <w:rPr>
          <w:sz w:val="22"/>
          <w:szCs w:val="22"/>
        </w:rPr>
        <w:t xml:space="preserve">, or in </w:t>
      </w:r>
      <w:r w:rsidRPr="008520B1">
        <w:rPr>
          <w:i/>
          <w:sz w:val="22"/>
          <w:szCs w:val="22"/>
        </w:rPr>
        <w:t xml:space="preserve">Guidelines for the preparation and review of PAHO </w:t>
      </w:r>
      <w:r w:rsidR="008520B1" w:rsidRPr="008520B1">
        <w:rPr>
          <w:i/>
          <w:sz w:val="22"/>
          <w:szCs w:val="22"/>
        </w:rPr>
        <w:t>BWP</w:t>
      </w:r>
      <w:r w:rsidRPr="008520B1">
        <w:rPr>
          <w:rFonts w:cs="Arial"/>
          <w:bCs/>
          <w:i/>
          <w:color w:val="000000"/>
          <w:sz w:val="22"/>
          <w:szCs w:val="22"/>
        </w:rPr>
        <w:t xml:space="preserve"> 2008-2009. </w:t>
      </w:r>
    </w:p>
    <w:p w:rsidR="002A3BC0" w:rsidRPr="008520B1" w:rsidRDefault="002A3BC0" w:rsidP="00FA5DC6">
      <w:pPr>
        <w:ind w:left="1296"/>
        <w:rPr>
          <w:b/>
          <w:i/>
          <w:sz w:val="16"/>
          <w:szCs w:val="20"/>
        </w:rPr>
      </w:pPr>
    </w:p>
    <w:p w:rsidR="002A3BC0" w:rsidRPr="002465EE" w:rsidRDefault="00F10089" w:rsidP="00F10089">
      <w:pPr>
        <w:rPr>
          <w:b/>
          <w:sz w:val="22"/>
          <w:szCs w:val="20"/>
        </w:rPr>
      </w:pPr>
      <w:r>
        <w:rPr>
          <w:b/>
          <w:sz w:val="22"/>
          <w:szCs w:val="20"/>
        </w:rPr>
        <w:t xml:space="preserve">     </w:t>
      </w:r>
      <w:r w:rsidR="002A3BC0">
        <w:rPr>
          <w:b/>
          <w:sz w:val="22"/>
          <w:szCs w:val="20"/>
        </w:rPr>
        <w:t>Indicator 2:</w:t>
      </w:r>
      <w:r w:rsidR="002A3BC0" w:rsidRPr="002465EE">
        <w:rPr>
          <w:b/>
          <w:sz w:val="22"/>
          <w:szCs w:val="20"/>
        </w:rPr>
        <w:t xml:space="preserve"> Promotion or Use of Gender Analysis </w:t>
      </w:r>
    </w:p>
    <w:p w:rsidR="002A3BC0" w:rsidRPr="008E2C45" w:rsidRDefault="002A3BC0" w:rsidP="00FA5DC6">
      <w:pPr>
        <w:ind w:left="2016"/>
        <w:rPr>
          <w:sz w:val="6"/>
          <w:szCs w:val="20"/>
        </w:rPr>
      </w:pPr>
    </w:p>
    <w:p w:rsidR="002A3BC0" w:rsidRDefault="002A3BC0" w:rsidP="00FA5DC6">
      <w:pPr>
        <w:ind w:left="576"/>
        <w:rPr>
          <w:sz w:val="22"/>
          <w:szCs w:val="20"/>
        </w:rPr>
      </w:pPr>
      <w:r w:rsidRPr="002465EE">
        <w:rPr>
          <w:sz w:val="22"/>
          <w:szCs w:val="20"/>
        </w:rPr>
        <w:t>This indicator was a composite of four dimensions: (i) explicit and appropriate statements/ references to gender; (ii)  consultations and partnerships with women’s groups/ gender advocates; (iii) analysis/ interpretation of sex-disaggregated or sex-specific data in the light of socially constructed asymmetries between women and men in terms of  the roles they play, their access to resources and power,  and their needs being met; (iv) specific actions/ recommendations to address gender issues; and (v) use of inclusive/non sexist language. According to these criteria, the publications were characterized as follows:</w:t>
      </w:r>
    </w:p>
    <w:p w:rsidR="002A3BC0" w:rsidRPr="002541F1" w:rsidRDefault="002A3BC0" w:rsidP="002A3BC0">
      <w:pPr>
        <w:ind w:left="288"/>
        <w:rPr>
          <w:sz w:val="2"/>
          <w:szCs w:val="20"/>
        </w:rPr>
      </w:pPr>
    </w:p>
    <w:p w:rsidR="002A3BC0" w:rsidRPr="00067BC0" w:rsidRDefault="002A3BC0" w:rsidP="002A3BC0">
      <w:pPr>
        <w:ind w:left="288"/>
        <w:rPr>
          <w:sz w:val="12"/>
          <w:szCs w:val="20"/>
        </w:rPr>
      </w:pPr>
    </w:p>
    <w:p w:rsidR="002A3BC0" w:rsidRPr="002465EE" w:rsidRDefault="002A3BC0" w:rsidP="00FA5DC6">
      <w:pPr>
        <w:ind w:left="576"/>
        <w:rPr>
          <w:sz w:val="22"/>
          <w:szCs w:val="20"/>
        </w:rPr>
      </w:pPr>
      <w:r>
        <w:rPr>
          <w:b/>
          <w:i/>
          <w:sz w:val="22"/>
          <w:szCs w:val="20"/>
        </w:rPr>
        <w:t xml:space="preserve">  </w:t>
      </w:r>
      <w:r w:rsidR="00F10089">
        <w:rPr>
          <w:b/>
          <w:i/>
          <w:sz w:val="22"/>
          <w:szCs w:val="20"/>
        </w:rPr>
        <w:t xml:space="preserve"> </w:t>
      </w:r>
      <w:r>
        <w:rPr>
          <w:b/>
          <w:i/>
          <w:sz w:val="22"/>
          <w:szCs w:val="20"/>
        </w:rPr>
        <w:t xml:space="preserve"> </w:t>
      </w:r>
      <w:r w:rsidRPr="002465EE">
        <w:rPr>
          <w:b/>
          <w:i/>
          <w:sz w:val="22"/>
          <w:szCs w:val="20"/>
        </w:rPr>
        <w:t>Strongly</w:t>
      </w:r>
      <w:r w:rsidRPr="002465EE">
        <w:rPr>
          <w:b/>
          <w:sz w:val="22"/>
          <w:szCs w:val="20"/>
        </w:rPr>
        <w:t xml:space="preserve"> </w:t>
      </w:r>
      <w:r w:rsidRPr="002465EE">
        <w:rPr>
          <w:sz w:val="22"/>
          <w:szCs w:val="20"/>
        </w:rPr>
        <w:t>promoting or using gender analysis</w:t>
      </w:r>
    </w:p>
    <w:p w:rsidR="002A3BC0" w:rsidRPr="00B15132" w:rsidRDefault="002A3BC0" w:rsidP="00FA5DC6">
      <w:pPr>
        <w:ind w:left="1296"/>
        <w:rPr>
          <w:i/>
          <w:sz w:val="4"/>
        </w:rPr>
      </w:pPr>
    </w:p>
    <w:p w:rsidR="002A3BC0" w:rsidRPr="00FA5DC6" w:rsidRDefault="002A3BC0" w:rsidP="00581596">
      <w:pPr>
        <w:pStyle w:val="ListParagraph"/>
        <w:numPr>
          <w:ilvl w:val="0"/>
          <w:numId w:val="52"/>
        </w:numPr>
        <w:ind w:left="1224"/>
        <w:rPr>
          <w:i/>
          <w:sz w:val="22"/>
        </w:rPr>
      </w:pPr>
      <w:r w:rsidRPr="00FA5DC6">
        <w:rPr>
          <w:i/>
          <w:sz w:val="22"/>
        </w:rPr>
        <w:t>Health in the Americas 2007.</w:t>
      </w:r>
      <w:r w:rsidRPr="00FA5DC6">
        <w:rPr>
          <w:sz w:val="22"/>
        </w:rPr>
        <w:t xml:space="preserve"> </w:t>
      </w:r>
      <w:r w:rsidRPr="00FA5DC6">
        <w:rPr>
          <w:i/>
          <w:sz w:val="22"/>
        </w:rPr>
        <w:t>Volume I-Regional ,</w:t>
      </w:r>
    </w:p>
    <w:p w:rsidR="002A3BC0" w:rsidRPr="00FA5DC6" w:rsidRDefault="002A3BC0" w:rsidP="00581596">
      <w:pPr>
        <w:pStyle w:val="ListParagraph"/>
        <w:numPr>
          <w:ilvl w:val="0"/>
          <w:numId w:val="52"/>
        </w:numPr>
        <w:ind w:left="1224"/>
        <w:rPr>
          <w:sz w:val="22"/>
        </w:rPr>
      </w:pPr>
      <w:r w:rsidRPr="00FA5DC6">
        <w:rPr>
          <w:i/>
          <w:sz w:val="22"/>
        </w:rPr>
        <w:t>Social Protection in Health</w:t>
      </w:r>
      <w:r w:rsidRPr="00FA5DC6">
        <w:rPr>
          <w:sz w:val="22"/>
        </w:rPr>
        <w:t xml:space="preserve"> </w:t>
      </w:r>
      <w:r w:rsidRPr="00FA5DC6">
        <w:rPr>
          <w:i/>
          <w:sz w:val="22"/>
          <w:szCs w:val="22"/>
        </w:rPr>
        <w:t>Schemes for Mother, Newborn and Child Populations</w:t>
      </w:r>
      <w:r w:rsidRPr="00FA5DC6">
        <w:rPr>
          <w:sz w:val="22"/>
        </w:rPr>
        <w:t xml:space="preserve"> </w:t>
      </w:r>
    </w:p>
    <w:p w:rsidR="00714EE1" w:rsidRPr="00714EE1" w:rsidRDefault="002A3BC0" w:rsidP="00FA5DC6">
      <w:pPr>
        <w:ind w:left="576"/>
        <w:rPr>
          <w:b/>
          <w:i/>
          <w:sz w:val="6"/>
        </w:rPr>
      </w:pPr>
      <w:r>
        <w:rPr>
          <w:b/>
          <w:i/>
          <w:sz w:val="22"/>
        </w:rPr>
        <w:t xml:space="preserve">   </w:t>
      </w:r>
    </w:p>
    <w:p w:rsidR="002A3BC0" w:rsidRPr="002465EE" w:rsidRDefault="00714EE1" w:rsidP="00FA5DC6">
      <w:pPr>
        <w:ind w:left="576"/>
        <w:rPr>
          <w:sz w:val="22"/>
        </w:rPr>
      </w:pPr>
      <w:r>
        <w:rPr>
          <w:b/>
          <w:i/>
          <w:sz w:val="22"/>
        </w:rPr>
        <w:t xml:space="preserve">    </w:t>
      </w:r>
      <w:r w:rsidR="002A3BC0" w:rsidRPr="002465EE">
        <w:rPr>
          <w:b/>
          <w:i/>
          <w:sz w:val="22"/>
        </w:rPr>
        <w:t>Somewhat</w:t>
      </w:r>
      <w:r w:rsidR="002A3BC0" w:rsidRPr="002465EE">
        <w:rPr>
          <w:b/>
          <w:sz w:val="22"/>
        </w:rPr>
        <w:t xml:space="preserve"> </w:t>
      </w:r>
      <w:r w:rsidR="002A3BC0" w:rsidRPr="002465EE">
        <w:rPr>
          <w:sz w:val="22"/>
        </w:rPr>
        <w:t>promoting or using gender analysis, in descending order,</w:t>
      </w:r>
    </w:p>
    <w:p w:rsidR="002A3BC0" w:rsidRPr="002465EE" w:rsidRDefault="002A3BC0" w:rsidP="00581596">
      <w:pPr>
        <w:numPr>
          <w:ilvl w:val="0"/>
          <w:numId w:val="51"/>
        </w:numPr>
        <w:ind w:left="1224"/>
        <w:rPr>
          <w:i/>
          <w:sz w:val="22"/>
        </w:rPr>
      </w:pPr>
      <w:r w:rsidRPr="002465EE">
        <w:rPr>
          <w:i/>
          <w:sz w:val="22"/>
        </w:rPr>
        <w:t xml:space="preserve">Health in the Americas 2007. Volume </w:t>
      </w:r>
      <w:r w:rsidR="00C028D4">
        <w:rPr>
          <w:i/>
          <w:sz w:val="22"/>
        </w:rPr>
        <w:t>II</w:t>
      </w:r>
      <w:r w:rsidRPr="002465EE">
        <w:rPr>
          <w:i/>
          <w:sz w:val="22"/>
        </w:rPr>
        <w:t>-Countries</w:t>
      </w:r>
    </w:p>
    <w:p w:rsidR="002A3BC0" w:rsidRPr="002465EE" w:rsidRDefault="002A3BC0" w:rsidP="00581596">
      <w:pPr>
        <w:numPr>
          <w:ilvl w:val="0"/>
          <w:numId w:val="51"/>
        </w:numPr>
        <w:ind w:left="1224"/>
        <w:rPr>
          <w:i/>
          <w:sz w:val="22"/>
          <w:szCs w:val="22"/>
        </w:rPr>
      </w:pPr>
      <w:r w:rsidRPr="002465EE">
        <w:rPr>
          <w:i/>
          <w:sz w:val="22"/>
          <w:szCs w:val="22"/>
        </w:rPr>
        <w:t>Renewing Primary Health Care in the Americas</w:t>
      </w:r>
    </w:p>
    <w:p w:rsidR="00FA5DC6" w:rsidRPr="00FA5DC6" w:rsidRDefault="002A3BC0" w:rsidP="00581596">
      <w:pPr>
        <w:numPr>
          <w:ilvl w:val="0"/>
          <w:numId w:val="51"/>
        </w:numPr>
        <w:spacing w:after="200" w:line="276" w:lineRule="auto"/>
        <w:ind w:left="1224"/>
        <w:rPr>
          <w:sz w:val="22"/>
          <w:szCs w:val="20"/>
        </w:rPr>
      </w:pPr>
      <w:r w:rsidRPr="00FA5DC6">
        <w:rPr>
          <w:sz w:val="22"/>
          <w:szCs w:val="22"/>
        </w:rPr>
        <w:t xml:space="preserve">Guidelines to HQ and CO for the preparation and review of PAHO </w:t>
      </w:r>
      <w:r w:rsidRPr="00FA5DC6">
        <w:rPr>
          <w:rFonts w:cs="Arial"/>
          <w:bCs/>
          <w:color w:val="000000"/>
          <w:sz w:val="22"/>
          <w:szCs w:val="22"/>
        </w:rPr>
        <w:t>Biennial Work Plans 2008-2009.</w:t>
      </w:r>
    </w:p>
    <w:p w:rsidR="004C01B3" w:rsidRDefault="004C01B3" w:rsidP="00C028D4">
      <w:pPr>
        <w:pStyle w:val="EndnoteText"/>
        <w:ind w:left="576"/>
      </w:pPr>
      <w:r w:rsidRPr="004C01B3">
        <w:rPr>
          <w:b/>
        </w:rPr>
        <w:t>Table  17</w:t>
      </w:r>
      <w:r>
        <w:t>. Summary scores indicating the extent to which sex-disaggregated data and gender analysis are promoted or used in a sample of 2007 PAHO/WHO documents</w:t>
      </w:r>
    </w:p>
    <w:p w:rsidR="004C01B3" w:rsidRDefault="004C01B3" w:rsidP="004C01B3">
      <w:pPr>
        <w:pStyle w:val="EndnoteText"/>
        <w:ind w:left="936"/>
      </w:pPr>
    </w:p>
    <w:tbl>
      <w:tblPr>
        <w:tblpPr w:leftFromText="180" w:rightFromText="180" w:vertAnchor="text" w:horzAnchor="margin" w:tblpXSpec="center"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8"/>
        <w:gridCol w:w="2862"/>
        <w:gridCol w:w="810"/>
        <w:gridCol w:w="720"/>
        <w:gridCol w:w="738"/>
        <w:gridCol w:w="720"/>
        <w:gridCol w:w="720"/>
        <w:gridCol w:w="720"/>
      </w:tblGrid>
      <w:tr w:rsidR="00C028D4" w:rsidTr="00C028D4">
        <w:trPr>
          <w:trHeight w:val="710"/>
        </w:trPr>
        <w:tc>
          <w:tcPr>
            <w:tcW w:w="1368" w:type="dxa"/>
            <w:vMerge w:val="restart"/>
            <w:tcBorders>
              <w:top w:val="single" w:sz="4" w:space="0" w:color="000000"/>
              <w:left w:val="single" w:sz="4" w:space="0" w:color="000000"/>
              <w:bottom w:val="single" w:sz="4" w:space="0" w:color="000000"/>
              <w:right w:val="single" w:sz="4" w:space="0" w:color="auto"/>
            </w:tcBorders>
            <w:shd w:val="clear" w:color="auto" w:fill="C6D9F1"/>
          </w:tcPr>
          <w:p w:rsidR="00C028D4" w:rsidRDefault="00C028D4" w:rsidP="00C028D4">
            <w:pPr>
              <w:rPr>
                <w:sz w:val="18"/>
                <w:szCs w:val="20"/>
              </w:rPr>
            </w:pPr>
          </w:p>
          <w:p w:rsidR="00C028D4" w:rsidRDefault="00C028D4" w:rsidP="00C028D4">
            <w:pPr>
              <w:rPr>
                <w:sz w:val="18"/>
                <w:szCs w:val="20"/>
              </w:rPr>
            </w:pPr>
          </w:p>
          <w:p w:rsidR="00C028D4" w:rsidRDefault="00C028D4" w:rsidP="00C028D4">
            <w:pPr>
              <w:rPr>
                <w:sz w:val="18"/>
                <w:szCs w:val="20"/>
              </w:rPr>
            </w:pPr>
            <w:r>
              <w:rPr>
                <w:sz w:val="18"/>
                <w:szCs w:val="20"/>
              </w:rPr>
              <w:t>Type of document</w:t>
            </w:r>
          </w:p>
          <w:p w:rsidR="00C028D4" w:rsidRDefault="00C028D4" w:rsidP="00C028D4">
            <w:pPr>
              <w:rPr>
                <w:sz w:val="2"/>
                <w:szCs w:val="20"/>
              </w:rPr>
            </w:pPr>
          </w:p>
          <w:p w:rsidR="00C028D4" w:rsidRDefault="00C028D4" w:rsidP="00C028D4">
            <w:pPr>
              <w:rPr>
                <w:sz w:val="4"/>
                <w:szCs w:val="20"/>
              </w:rPr>
            </w:pPr>
          </w:p>
          <w:p w:rsidR="00C028D4" w:rsidRDefault="00C028D4" w:rsidP="00C028D4">
            <w:pPr>
              <w:rPr>
                <w:sz w:val="2"/>
                <w:szCs w:val="20"/>
              </w:rPr>
            </w:pPr>
          </w:p>
        </w:tc>
        <w:tc>
          <w:tcPr>
            <w:tcW w:w="2862" w:type="dxa"/>
            <w:vMerge w:val="restart"/>
            <w:tcBorders>
              <w:top w:val="single" w:sz="4" w:space="0" w:color="000000"/>
              <w:left w:val="single" w:sz="4" w:space="0" w:color="000000"/>
              <w:bottom w:val="single" w:sz="4" w:space="0" w:color="000000"/>
              <w:right w:val="single" w:sz="4" w:space="0" w:color="auto"/>
            </w:tcBorders>
            <w:shd w:val="clear" w:color="auto" w:fill="C6D9F1"/>
          </w:tcPr>
          <w:p w:rsidR="00C028D4" w:rsidRDefault="00C028D4" w:rsidP="00C028D4">
            <w:pPr>
              <w:spacing w:after="200" w:line="276" w:lineRule="auto"/>
              <w:jc w:val="center"/>
              <w:rPr>
                <w:szCs w:val="20"/>
              </w:rPr>
            </w:pPr>
          </w:p>
          <w:p w:rsidR="00C028D4" w:rsidRDefault="00C028D4" w:rsidP="00C028D4">
            <w:pPr>
              <w:spacing w:after="200" w:line="276" w:lineRule="auto"/>
              <w:jc w:val="center"/>
              <w:rPr>
                <w:szCs w:val="20"/>
              </w:rPr>
            </w:pPr>
            <w:r>
              <w:rPr>
                <w:szCs w:val="20"/>
              </w:rPr>
              <w:t>Name of document or publication</w:t>
            </w:r>
          </w:p>
        </w:tc>
        <w:tc>
          <w:tcPr>
            <w:tcW w:w="810" w:type="dxa"/>
            <w:vMerge w:val="restart"/>
            <w:tcBorders>
              <w:top w:val="single" w:sz="4" w:space="0" w:color="000000"/>
              <w:left w:val="single" w:sz="4" w:space="0" w:color="000000"/>
              <w:bottom w:val="single" w:sz="4" w:space="0" w:color="000000"/>
              <w:right w:val="single" w:sz="4" w:space="0" w:color="auto"/>
            </w:tcBorders>
            <w:shd w:val="clear" w:color="auto" w:fill="C6D9F1"/>
          </w:tcPr>
          <w:p w:rsidR="00C028D4" w:rsidRDefault="00C028D4" w:rsidP="00C028D4">
            <w:pPr>
              <w:rPr>
                <w:szCs w:val="20"/>
              </w:rPr>
            </w:pPr>
          </w:p>
          <w:p w:rsidR="00C028D4" w:rsidRDefault="00C028D4" w:rsidP="00C028D4">
            <w:pPr>
              <w:rPr>
                <w:sz w:val="16"/>
                <w:szCs w:val="20"/>
              </w:rPr>
            </w:pPr>
            <w:r>
              <w:rPr>
                <w:sz w:val="16"/>
                <w:szCs w:val="20"/>
              </w:rPr>
              <w:t>Total</w:t>
            </w:r>
          </w:p>
          <w:p w:rsidR="00C028D4" w:rsidRDefault="00C028D4" w:rsidP="00C028D4">
            <w:pPr>
              <w:rPr>
                <w:sz w:val="16"/>
                <w:szCs w:val="20"/>
              </w:rPr>
            </w:pPr>
            <w:r>
              <w:rPr>
                <w:sz w:val="16"/>
                <w:szCs w:val="20"/>
              </w:rPr>
              <w:t>Gender</w:t>
            </w:r>
          </w:p>
          <w:p w:rsidR="00C028D4" w:rsidRDefault="00C028D4" w:rsidP="00C028D4">
            <w:pPr>
              <w:rPr>
                <w:sz w:val="16"/>
                <w:szCs w:val="20"/>
              </w:rPr>
            </w:pPr>
            <w:r>
              <w:rPr>
                <w:sz w:val="16"/>
                <w:szCs w:val="20"/>
              </w:rPr>
              <w:t>Integra-tion</w:t>
            </w:r>
          </w:p>
          <w:p w:rsidR="00C028D4" w:rsidRDefault="00C028D4" w:rsidP="00C028D4">
            <w:pPr>
              <w:rPr>
                <w:sz w:val="16"/>
                <w:szCs w:val="20"/>
              </w:rPr>
            </w:pPr>
            <w:r>
              <w:rPr>
                <w:sz w:val="16"/>
                <w:szCs w:val="20"/>
              </w:rPr>
              <w:t>Score</w:t>
            </w:r>
          </w:p>
          <w:p w:rsidR="00C028D4" w:rsidRDefault="00C028D4" w:rsidP="00C028D4">
            <w:pPr>
              <w:spacing w:after="200" w:line="276" w:lineRule="auto"/>
              <w:jc w:val="center"/>
              <w:rPr>
                <w:szCs w:val="20"/>
              </w:rPr>
            </w:pPr>
          </w:p>
        </w:tc>
        <w:tc>
          <w:tcPr>
            <w:tcW w:w="1458" w:type="dxa"/>
            <w:gridSpan w:val="2"/>
            <w:tcBorders>
              <w:top w:val="single" w:sz="4" w:space="0" w:color="000000"/>
              <w:left w:val="single" w:sz="4" w:space="0" w:color="000000"/>
              <w:bottom w:val="single" w:sz="4" w:space="0" w:color="000000"/>
              <w:right w:val="single" w:sz="4" w:space="0" w:color="auto"/>
            </w:tcBorders>
            <w:shd w:val="clear" w:color="auto" w:fill="C6D9F1"/>
            <w:hideMark/>
          </w:tcPr>
          <w:p w:rsidR="00C028D4" w:rsidRDefault="00C028D4" w:rsidP="00C028D4">
            <w:pPr>
              <w:spacing w:after="200" w:line="276" w:lineRule="auto"/>
              <w:jc w:val="center"/>
              <w:rPr>
                <w:sz w:val="18"/>
                <w:szCs w:val="20"/>
              </w:rPr>
            </w:pPr>
            <w:r>
              <w:rPr>
                <w:sz w:val="18"/>
                <w:szCs w:val="20"/>
              </w:rPr>
              <w:t>Indicator 5.1:  Promotion or Use of SDD</w:t>
            </w:r>
          </w:p>
        </w:tc>
        <w:tc>
          <w:tcPr>
            <w:tcW w:w="2160" w:type="dxa"/>
            <w:gridSpan w:val="3"/>
            <w:tcBorders>
              <w:top w:val="single" w:sz="4" w:space="0" w:color="000000"/>
              <w:left w:val="single" w:sz="4" w:space="0" w:color="auto"/>
              <w:bottom w:val="single" w:sz="4" w:space="0" w:color="000000"/>
              <w:right w:val="single" w:sz="4" w:space="0" w:color="auto"/>
            </w:tcBorders>
            <w:shd w:val="clear" w:color="auto" w:fill="C6D9F1"/>
          </w:tcPr>
          <w:p w:rsidR="00C028D4" w:rsidRDefault="00C028D4" w:rsidP="00C028D4">
            <w:pPr>
              <w:jc w:val="center"/>
              <w:rPr>
                <w:sz w:val="18"/>
                <w:szCs w:val="20"/>
              </w:rPr>
            </w:pPr>
            <w:r>
              <w:rPr>
                <w:sz w:val="18"/>
                <w:szCs w:val="20"/>
              </w:rPr>
              <w:t>Indicator 5.2:</w:t>
            </w:r>
          </w:p>
          <w:p w:rsidR="00C028D4" w:rsidRDefault="00C028D4" w:rsidP="00C028D4">
            <w:pPr>
              <w:jc w:val="center"/>
              <w:rPr>
                <w:sz w:val="6"/>
                <w:szCs w:val="20"/>
              </w:rPr>
            </w:pPr>
          </w:p>
          <w:p w:rsidR="00C028D4" w:rsidRDefault="00C028D4" w:rsidP="00C028D4">
            <w:pPr>
              <w:jc w:val="center"/>
              <w:rPr>
                <w:sz w:val="18"/>
                <w:szCs w:val="20"/>
              </w:rPr>
            </w:pPr>
            <w:r>
              <w:rPr>
                <w:sz w:val="18"/>
                <w:szCs w:val="20"/>
              </w:rPr>
              <w:t>Promotion or Use of Gender Analysis</w:t>
            </w:r>
          </w:p>
        </w:tc>
      </w:tr>
      <w:tr w:rsidR="00C028D4" w:rsidTr="00C028D4">
        <w:trPr>
          <w:trHeight w:val="687"/>
        </w:trPr>
        <w:tc>
          <w:tcPr>
            <w:tcW w:w="1368" w:type="dxa"/>
            <w:vMerge/>
            <w:tcBorders>
              <w:top w:val="single" w:sz="4" w:space="0" w:color="000000"/>
              <w:left w:val="single" w:sz="4" w:space="0" w:color="000000"/>
              <w:bottom w:val="single" w:sz="4" w:space="0" w:color="000000"/>
              <w:right w:val="single" w:sz="4" w:space="0" w:color="auto"/>
            </w:tcBorders>
            <w:vAlign w:val="center"/>
            <w:hideMark/>
          </w:tcPr>
          <w:p w:rsidR="00C028D4" w:rsidRDefault="00C028D4" w:rsidP="00C028D4">
            <w:pPr>
              <w:rPr>
                <w:sz w:val="2"/>
                <w:szCs w:val="20"/>
              </w:rPr>
            </w:pPr>
          </w:p>
        </w:tc>
        <w:tc>
          <w:tcPr>
            <w:tcW w:w="2862" w:type="dxa"/>
            <w:vMerge/>
            <w:tcBorders>
              <w:top w:val="single" w:sz="4" w:space="0" w:color="000000"/>
              <w:left w:val="single" w:sz="4" w:space="0" w:color="000000"/>
              <w:bottom w:val="single" w:sz="4" w:space="0" w:color="000000"/>
              <w:right w:val="single" w:sz="4" w:space="0" w:color="auto"/>
            </w:tcBorders>
            <w:vAlign w:val="center"/>
            <w:hideMark/>
          </w:tcPr>
          <w:p w:rsidR="00C028D4" w:rsidRDefault="00C028D4" w:rsidP="00C028D4">
            <w:pPr>
              <w:rPr>
                <w:szCs w:val="20"/>
              </w:rPr>
            </w:pPr>
          </w:p>
        </w:tc>
        <w:tc>
          <w:tcPr>
            <w:tcW w:w="810" w:type="dxa"/>
            <w:vMerge/>
            <w:tcBorders>
              <w:top w:val="single" w:sz="4" w:space="0" w:color="000000"/>
              <w:left w:val="single" w:sz="4" w:space="0" w:color="000000"/>
              <w:bottom w:val="single" w:sz="4" w:space="0" w:color="000000"/>
              <w:right w:val="single" w:sz="4" w:space="0" w:color="auto"/>
            </w:tcBorders>
            <w:vAlign w:val="center"/>
            <w:hideMark/>
          </w:tcPr>
          <w:p w:rsidR="00C028D4" w:rsidRDefault="00C028D4" w:rsidP="00C028D4">
            <w:pPr>
              <w:rPr>
                <w:szCs w:val="20"/>
              </w:rPr>
            </w:pPr>
          </w:p>
        </w:tc>
        <w:tc>
          <w:tcPr>
            <w:tcW w:w="720" w:type="dxa"/>
            <w:tcBorders>
              <w:top w:val="single" w:sz="4" w:space="0" w:color="000000"/>
              <w:left w:val="single" w:sz="4" w:space="0" w:color="auto"/>
              <w:bottom w:val="single" w:sz="4" w:space="0" w:color="000000"/>
              <w:right w:val="single" w:sz="4" w:space="0" w:color="000000"/>
            </w:tcBorders>
            <w:shd w:val="clear" w:color="auto" w:fill="C6D9F1"/>
            <w:hideMark/>
          </w:tcPr>
          <w:p w:rsidR="00C028D4" w:rsidRDefault="00C028D4" w:rsidP="00C028D4">
            <w:pPr>
              <w:jc w:val="center"/>
              <w:rPr>
                <w:b/>
                <w:sz w:val="18"/>
                <w:szCs w:val="20"/>
              </w:rPr>
            </w:pPr>
            <w:r>
              <w:rPr>
                <w:b/>
                <w:sz w:val="18"/>
                <w:szCs w:val="20"/>
              </w:rPr>
              <w:t>Yes</w:t>
            </w:r>
          </w:p>
          <w:p w:rsidR="00C028D4" w:rsidRDefault="00C028D4" w:rsidP="00C028D4">
            <w:pPr>
              <w:jc w:val="center"/>
              <w:rPr>
                <w:sz w:val="16"/>
                <w:szCs w:val="16"/>
              </w:rPr>
            </w:pPr>
            <w:r>
              <w:rPr>
                <w:sz w:val="16"/>
                <w:szCs w:val="16"/>
              </w:rPr>
              <w:t>(score</w:t>
            </w:r>
          </w:p>
          <w:p w:rsidR="00C028D4" w:rsidRDefault="00C028D4" w:rsidP="00C028D4">
            <w:pPr>
              <w:jc w:val="center"/>
              <w:rPr>
                <w:sz w:val="16"/>
                <w:szCs w:val="16"/>
              </w:rPr>
            </w:pPr>
            <w:r>
              <w:rPr>
                <w:sz w:val="16"/>
                <w:szCs w:val="16"/>
              </w:rPr>
              <w:t xml:space="preserve"> 2-3 )</w:t>
            </w:r>
          </w:p>
        </w:tc>
        <w:tc>
          <w:tcPr>
            <w:tcW w:w="738" w:type="dxa"/>
            <w:tcBorders>
              <w:top w:val="single" w:sz="4" w:space="0" w:color="000000"/>
              <w:left w:val="single" w:sz="4" w:space="0" w:color="000000"/>
              <w:bottom w:val="single" w:sz="4" w:space="0" w:color="000000"/>
              <w:right w:val="single" w:sz="4" w:space="0" w:color="000000"/>
            </w:tcBorders>
            <w:shd w:val="clear" w:color="auto" w:fill="C6D9F1"/>
            <w:hideMark/>
          </w:tcPr>
          <w:p w:rsidR="00C028D4" w:rsidRDefault="00C028D4" w:rsidP="00C028D4">
            <w:pPr>
              <w:jc w:val="center"/>
              <w:rPr>
                <w:b/>
                <w:sz w:val="18"/>
                <w:szCs w:val="20"/>
              </w:rPr>
            </w:pPr>
            <w:r>
              <w:rPr>
                <w:b/>
                <w:sz w:val="18"/>
                <w:szCs w:val="20"/>
              </w:rPr>
              <w:t>No</w:t>
            </w:r>
          </w:p>
          <w:p w:rsidR="00C028D4" w:rsidRDefault="00C028D4" w:rsidP="00C028D4">
            <w:pPr>
              <w:jc w:val="center"/>
              <w:rPr>
                <w:sz w:val="16"/>
                <w:szCs w:val="16"/>
              </w:rPr>
            </w:pPr>
            <w:r>
              <w:rPr>
                <w:sz w:val="16"/>
                <w:szCs w:val="16"/>
              </w:rPr>
              <w:t>(score</w:t>
            </w:r>
          </w:p>
          <w:p w:rsidR="00C028D4" w:rsidRDefault="00C028D4" w:rsidP="00C028D4">
            <w:pPr>
              <w:jc w:val="center"/>
              <w:rPr>
                <w:sz w:val="18"/>
                <w:szCs w:val="20"/>
              </w:rPr>
            </w:pPr>
            <w:r>
              <w:rPr>
                <w:sz w:val="16"/>
                <w:szCs w:val="16"/>
              </w:rPr>
              <w:t xml:space="preserve"> 0-1</w:t>
            </w:r>
            <w:r>
              <w:rPr>
                <w:sz w:val="18"/>
                <w:szCs w:val="20"/>
              </w:rPr>
              <w:t>)</w:t>
            </w:r>
          </w:p>
        </w:tc>
        <w:tc>
          <w:tcPr>
            <w:tcW w:w="720" w:type="dxa"/>
            <w:tcBorders>
              <w:top w:val="single" w:sz="4" w:space="0" w:color="000000"/>
              <w:left w:val="single" w:sz="4" w:space="0" w:color="000000"/>
              <w:bottom w:val="single" w:sz="4" w:space="0" w:color="000000"/>
              <w:right w:val="single" w:sz="4" w:space="0" w:color="000000"/>
            </w:tcBorders>
            <w:shd w:val="clear" w:color="auto" w:fill="C6D9F1"/>
            <w:hideMark/>
          </w:tcPr>
          <w:p w:rsidR="00C028D4" w:rsidRDefault="00C028D4" w:rsidP="00C028D4">
            <w:pPr>
              <w:jc w:val="center"/>
              <w:rPr>
                <w:b/>
                <w:sz w:val="18"/>
                <w:szCs w:val="20"/>
              </w:rPr>
            </w:pPr>
            <w:r>
              <w:rPr>
                <w:b/>
                <w:sz w:val="18"/>
                <w:szCs w:val="20"/>
              </w:rPr>
              <w:t>Yes</w:t>
            </w:r>
          </w:p>
          <w:p w:rsidR="00C028D4" w:rsidRDefault="00C028D4" w:rsidP="00C028D4">
            <w:pPr>
              <w:jc w:val="center"/>
              <w:rPr>
                <w:sz w:val="16"/>
                <w:szCs w:val="16"/>
              </w:rPr>
            </w:pPr>
            <w:r>
              <w:rPr>
                <w:sz w:val="16"/>
                <w:szCs w:val="16"/>
              </w:rPr>
              <w:t>(score</w:t>
            </w:r>
          </w:p>
          <w:p w:rsidR="00C028D4" w:rsidRDefault="00C028D4" w:rsidP="00C028D4">
            <w:pPr>
              <w:jc w:val="center"/>
              <w:rPr>
                <w:sz w:val="18"/>
                <w:szCs w:val="20"/>
              </w:rPr>
            </w:pPr>
            <w:r>
              <w:rPr>
                <w:sz w:val="16"/>
                <w:szCs w:val="16"/>
              </w:rPr>
              <w:t>5-7</w:t>
            </w:r>
            <w:r>
              <w:rPr>
                <w:sz w:val="18"/>
                <w:szCs w:val="20"/>
              </w:rPr>
              <w:t>)</w:t>
            </w:r>
          </w:p>
        </w:tc>
        <w:tc>
          <w:tcPr>
            <w:tcW w:w="720" w:type="dxa"/>
            <w:tcBorders>
              <w:top w:val="single" w:sz="4" w:space="0" w:color="000000"/>
              <w:left w:val="single" w:sz="4" w:space="0" w:color="000000"/>
              <w:bottom w:val="single" w:sz="4" w:space="0" w:color="000000"/>
              <w:right w:val="single" w:sz="4" w:space="0" w:color="000000"/>
            </w:tcBorders>
            <w:shd w:val="clear" w:color="auto" w:fill="C6D9F1"/>
            <w:hideMark/>
          </w:tcPr>
          <w:p w:rsidR="00C028D4" w:rsidRDefault="00C028D4" w:rsidP="00C028D4">
            <w:pPr>
              <w:jc w:val="center"/>
              <w:rPr>
                <w:b/>
                <w:sz w:val="16"/>
                <w:szCs w:val="20"/>
              </w:rPr>
            </w:pPr>
            <w:r>
              <w:rPr>
                <w:b/>
                <w:sz w:val="16"/>
                <w:szCs w:val="20"/>
              </w:rPr>
              <w:t>Some what</w:t>
            </w:r>
          </w:p>
          <w:p w:rsidR="00C028D4" w:rsidRDefault="00C028D4" w:rsidP="00C028D4">
            <w:pPr>
              <w:jc w:val="center"/>
              <w:rPr>
                <w:sz w:val="16"/>
                <w:szCs w:val="16"/>
              </w:rPr>
            </w:pPr>
            <w:r>
              <w:rPr>
                <w:sz w:val="16"/>
                <w:szCs w:val="16"/>
              </w:rPr>
              <w:t>(score</w:t>
            </w:r>
          </w:p>
          <w:p w:rsidR="00C028D4" w:rsidRDefault="00C028D4" w:rsidP="00C028D4">
            <w:pPr>
              <w:jc w:val="center"/>
              <w:rPr>
                <w:sz w:val="18"/>
                <w:szCs w:val="20"/>
              </w:rPr>
            </w:pPr>
            <w:r>
              <w:rPr>
                <w:sz w:val="16"/>
                <w:szCs w:val="16"/>
              </w:rPr>
              <w:t>2-4 )</w:t>
            </w:r>
          </w:p>
        </w:tc>
        <w:tc>
          <w:tcPr>
            <w:tcW w:w="720" w:type="dxa"/>
            <w:tcBorders>
              <w:top w:val="single" w:sz="4" w:space="0" w:color="000000"/>
              <w:left w:val="single" w:sz="4" w:space="0" w:color="000000"/>
              <w:bottom w:val="single" w:sz="4" w:space="0" w:color="000000"/>
              <w:right w:val="single" w:sz="4" w:space="0" w:color="000000"/>
            </w:tcBorders>
            <w:shd w:val="clear" w:color="auto" w:fill="C6D9F1"/>
            <w:hideMark/>
          </w:tcPr>
          <w:p w:rsidR="00C028D4" w:rsidRDefault="00C028D4" w:rsidP="00C028D4">
            <w:pPr>
              <w:jc w:val="center"/>
              <w:rPr>
                <w:b/>
                <w:sz w:val="18"/>
                <w:szCs w:val="20"/>
              </w:rPr>
            </w:pPr>
            <w:r>
              <w:rPr>
                <w:b/>
                <w:sz w:val="18"/>
                <w:szCs w:val="20"/>
              </w:rPr>
              <w:t>No</w:t>
            </w:r>
          </w:p>
          <w:p w:rsidR="00C028D4" w:rsidRDefault="00C028D4" w:rsidP="00C028D4">
            <w:pPr>
              <w:jc w:val="center"/>
              <w:rPr>
                <w:sz w:val="16"/>
                <w:szCs w:val="16"/>
              </w:rPr>
            </w:pPr>
            <w:r>
              <w:rPr>
                <w:sz w:val="16"/>
                <w:szCs w:val="16"/>
              </w:rPr>
              <w:t>(score</w:t>
            </w:r>
          </w:p>
          <w:p w:rsidR="00C028D4" w:rsidRDefault="00C028D4" w:rsidP="00C028D4">
            <w:pPr>
              <w:jc w:val="center"/>
              <w:rPr>
                <w:sz w:val="18"/>
                <w:szCs w:val="20"/>
              </w:rPr>
            </w:pPr>
            <w:r>
              <w:rPr>
                <w:sz w:val="16"/>
                <w:szCs w:val="16"/>
              </w:rPr>
              <w:t>0-1)</w:t>
            </w:r>
          </w:p>
        </w:tc>
      </w:tr>
      <w:tr w:rsidR="00C028D4" w:rsidTr="00C028D4">
        <w:trPr>
          <w:trHeight w:val="413"/>
        </w:trPr>
        <w:tc>
          <w:tcPr>
            <w:tcW w:w="1368" w:type="dxa"/>
            <w:vMerge w:val="restart"/>
            <w:tcBorders>
              <w:top w:val="single" w:sz="4" w:space="0" w:color="000000"/>
              <w:left w:val="single" w:sz="4" w:space="0" w:color="000000"/>
              <w:bottom w:val="single" w:sz="4" w:space="0" w:color="000000"/>
              <w:right w:val="single" w:sz="4" w:space="0" w:color="auto"/>
            </w:tcBorders>
            <w:shd w:val="clear" w:color="auto" w:fill="F2F2F2" w:themeFill="background1" w:themeFillShade="F2"/>
          </w:tcPr>
          <w:p w:rsidR="00C028D4" w:rsidRDefault="00C028D4" w:rsidP="00C028D4">
            <w:pPr>
              <w:jc w:val="both"/>
              <w:rPr>
                <w:sz w:val="18"/>
                <w:szCs w:val="20"/>
              </w:rPr>
            </w:pPr>
          </w:p>
          <w:p w:rsidR="00C028D4" w:rsidRDefault="00C028D4" w:rsidP="00C028D4">
            <w:pPr>
              <w:jc w:val="both"/>
              <w:rPr>
                <w:sz w:val="18"/>
                <w:szCs w:val="20"/>
              </w:rPr>
            </w:pPr>
          </w:p>
          <w:p w:rsidR="00C028D4" w:rsidRDefault="00C028D4" w:rsidP="00C028D4">
            <w:pPr>
              <w:jc w:val="both"/>
              <w:rPr>
                <w:sz w:val="18"/>
                <w:szCs w:val="20"/>
              </w:rPr>
            </w:pPr>
            <w:r>
              <w:rPr>
                <w:sz w:val="18"/>
                <w:szCs w:val="20"/>
              </w:rPr>
              <w:t>1. Seminal</w:t>
            </w:r>
          </w:p>
        </w:tc>
        <w:tc>
          <w:tcPr>
            <w:tcW w:w="2862" w:type="dxa"/>
            <w:tcBorders>
              <w:top w:val="single" w:sz="4" w:space="0" w:color="000000"/>
              <w:left w:val="single" w:sz="4" w:space="0" w:color="auto"/>
              <w:bottom w:val="single" w:sz="4" w:space="0" w:color="000000"/>
              <w:right w:val="single" w:sz="4" w:space="0" w:color="auto"/>
            </w:tcBorders>
            <w:shd w:val="clear" w:color="auto" w:fill="F2F2F2" w:themeFill="background1" w:themeFillShade="F2"/>
          </w:tcPr>
          <w:p w:rsidR="00C028D4" w:rsidRDefault="00C028D4" w:rsidP="00C028D4">
            <w:pPr>
              <w:rPr>
                <w:i/>
                <w:sz w:val="12"/>
                <w:szCs w:val="20"/>
              </w:rPr>
            </w:pPr>
          </w:p>
          <w:p w:rsidR="00C028D4" w:rsidRDefault="00C028D4" w:rsidP="00C028D4">
            <w:pPr>
              <w:rPr>
                <w:i/>
                <w:sz w:val="18"/>
                <w:szCs w:val="20"/>
              </w:rPr>
            </w:pPr>
            <w:r>
              <w:rPr>
                <w:i/>
                <w:sz w:val="18"/>
                <w:szCs w:val="20"/>
              </w:rPr>
              <w:t xml:space="preserve">Health in the Americas 2007. </w:t>
            </w:r>
          </w:p>
          <w:p w:rsidR="00C028D4" w:rsidRDefault="00C028D4" w:rsidP="00C028D4">
            <w:pPr>
              <w:rPr>
                <w:sz w:val="18"/>
                <w:szCs w:val="20"/>
              </w:rPr>
            </w:pPr>
            <w:r>
              <w:rPr>
                <w:i/>
                <w:sz w:val="18"/>
                <w:szCs w:val="20"/>
              </w:rPr>
              <w:t>Volume I (2007)</w:t>
            </w:r>
          </w:p>
          <w:p w:rsidR="00C028D4" w:rsidRDefault="00C028D4" w:rsidP="00C028D4">
            <w:pPr>
              <w:rPr>
                <w:sz w:val="2"/>
                <w:szCs w:val="20"/>
              </w:rPr>
            </w:pPr>
          </w:p>
        </w:tc>
        <w:tc>
          <w:tcPr>
            <w:tcW w:w="810" w:type="dxa"/>
            <w:tcBorders>
              <w:top w:val="single" w:sz="4" w:space="0" w:color="000000"/>
              <w:left w:val="single" w:sz="4" w:space="0" w:color="auto"/>
              <w:bottom w:val="single" w:sz="4" w:space="0" w:color="000000"/>
              <w:right w:val="single" w:sz="4" w:space="0" w:color="000000"/>
            </w:tcBorders>
            <w:shd w:val="clear" w:color="auto" w:fill="F2F2F2" w:themeFill="background1" w:themeFillShade="F2"/>
          </w:tcPr>
          <w:p w:rsidR="00C028D4" w:rsidRDefault="00C028D4" w:rsidP="00C028D4">
            <w:pPr>
              <w:jc w:val="center"/>
              <w:rPr>
                <w:b/>
                <w:szCs w:val="16"/>
              </w:rPr>
            </w:pPr>
          </w:p>
          <w:p w:rsidR="00C028D4" w:rsidRDefault="00C028D4" w:rsidP="00C028D4">
            <w:pPr>
              <w:jc w:val="center"/>
              <w:rPr>
                <w:b/>
                <w:szCs w:val="16"/>
              </w:rPr>
            </w:pPr>
            <w:r>
              <w:rPr>
                <w:b/>
                <w:szCs w:val="16"/>
              </w:rPr>
              <w:t>8</w:t>
            </w:r>
          </w:p>
        </w:tc>
        <w:tc>
          <w:tcPr>
            <w:tcW w:w="7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028D4" w:rsidRDefault="00C028D4" w:rsidP="00C028D4">
            <w:pPr>
              <w:jc w:val="center"/>
              <w:rPr>
                <w:sz w:val="18"/>
                <w:szCs w:val="20"/>
              </w:rPr>
            </w:pPr>
          </w:p>
          <w:p w:rsidR="00C028D4" w:rsidRDefault="00C028D4" w:rsidP="00C028D4">
            <w:pPr>
              <w:jc w:val="center"/>
              <w:rPr>
                <w:sz w:val="18"/>
                <w:szCs w:val="20"/>
              </w:rPr>
            </w:pPr>
            <w:r>
              <w:rPr>
                <w:sz w:val="18"/>
                <w:szCs w:val="20"/>
              </w:rPr>
              <w:t>2</w:t>
            </w:r>
          </w:p>
        </w:tc>
        <w:tc>
          <w:tcPr>
            <w:tcW w:w="73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028D4" w:rsidRDefault="00C028D4" w:rsidP="00C028D4">
            <w:pPr>
              <w:jc w:val="center"/>
              <w:rPr>
                <w:sz w:val="18"/>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028D4" w:rsidRDefault="00C028D4" w:rsidP="00C028D4">
            <w:pPr>
              <w:jc w:val="center"/>
              <w:rPr>
                <w:sz w:val="18"/>
                <w:szCs w:val="20"/>
              </w:rPr>
            </w:pPr>
          </w:p>
          <w:p w:rsidR="00C028D4" w:rsidRDefault="00C028D4" w:rsidP="00C028D4">
            <w:pPr>
              <w:jc w:val="center"/>
              <w:rPr>
                <w:sz w:val="18"/>
                <w:szCs w:val="20"/>
              </w:rPr>
            </w:pPr>
            <w:r>
              <w:rPr>
                <w:sz w:val="18"/>
                <w:szCs w:val="20"/>
              </w:rPr>
              <w:t>6</w:t>
            </w:r>
          </w:p>
        </w:tc>
        <w:tc>
          <w:tcPr>
            <w:tcW w:w="7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028D4" w:rsidRDefault="00C028D4" w:rsidP="00C028D4">
            <w:pPr>
              <w:jc w:val="center"/>
              <w:rPr>
                <w:sz w:val="18"/>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028D4" w:rsidRDefault="00C028D4" w:rsidP="00C028D4">
            <w:pPr>
              <w:jc w:val="center"/>
              <w:rPr>
                <w:sz w:val="18"/>
                <w:szCs w:val="20"/>
              </w:rPr>
            </w:pPr>
          </w:p>
        </w:tc>
      </w:tr>
      <w:tr w:rsidR="00C028D4" w:rsidTr="00C028D4">
        <w:tc>
          <w:tcPr>
            <w:tcW w:w="1368" w:type="dxa"/>
            <w:vMerge/>
            <w:tcBorders>
              <w:top w:val="single" w:sz="4" w:space="0" w:color="000000"/>
              <w:left w:val="single" w:sz="4" w:space="0" w:color="000000"/>
              <w:bottom w:val="single" w:sz="4" w:space="0" w:color="000000"/>
              <w:right w:val="single" w:sz="4" w:space="0" w:color="auto"/>
            </w:tcBorders>
            <w:vAlign w:val="center"/>
            <w:hideMark/>
          </w:tcPr>
          <w:p w:rsidR="00C028D4" w:rsidRDefault="00C028D4" w:rsidP="00C028D4">
            <w:pPr>
              <w:rPr>
                <w:sz w:val="18"/>
                <w:szCs w:val="20"/>
              </w:rPr>
            </w:pPr>
          </w:p>
        </w:tc>
        <w:tc>
          <w:tcPr>
            <w:tcW w:w="2862" w:type="dxa"/>
            <w:tcBorders>
              <w:top w:val="single" w:sz="4" w:space="0" w:color="000000"/>
              <w:left w:val="single" w:sz="4" w:space="0" w:color="auto"/>
              <w:bottom w:val="single" w:sz="4" w:space="0" w:color="000000"/>
              <w:right w:val="single" w:sz="4" w:space="0" w:color="auto"/>
            </w:tcBorders>
            <w:shd w:val="clear" w:color="auto" w:fill="F2F2F2" w:themeFill="background1" w:themeFillShade="F2"/>
          </w:tcPr>
          <w:p w:rsidR="00C028D4" w:rsidRDefault="00C028D4" w:rsidP="00C028D4">
            <w:pPr>
              <w:rPr>
                <w:sz w:val="18"/>
                <w:szCs w:val="20"/>
              </w:rPr>
            </w:pPr>
          </w:p>
          <w:p w:rsidR="00C028D4" w:rsidRDefault="00C028D4" w:rsidP="00C028D4">
            <w:pPr>
              <w:rPr>
                <w:i/>
                <w:sz w:val="18"/>
                <w:szCs w:val="20"/>
              </w:rPr>
            </w:pPr>
            <w:r>
              <w:rPr>
                <w:i/>
                <w:sz w:val="18"/>
                <w:szCs w:val="20"/>
              </w:rPr>
              <w:t xml:space="preserve">Health in the Americas 2007. </w:t>
            </w:r>
          </w:p>
          <w:p w:rsidR="00C028D4" w:rsidRDefault="00C028D4" w:rsidP="00C028D4">
            <w:pPr>
              <w:rPr>
                <w:sz w:val="18"/>
                <w:szCs w:val="20"/>
              </w:rPr>
            </w:pPr>
            <w:r>
              <w:rPr>
                <w:i/>
                <w:sz w:val="18"/>
                <w:szCs w:val="20"/>
              </w:rPr>
              <w:t>Volume II (2007)</w:t>
            </w:r>
          </w:p>
        </w:tc>
        <w:tc>
          <w:tcPr>
            <w:tcW w:w="810" w:type="dxa"/>
            <w:tcBorders>
              <w:top w:val="single" w:sz="4" w:space="0" w:color="000000"/>
              <w:left w:val="single" w:sz="4" w:space="0" w:color="auto"/>
              <w:bottom w:val="single" w:sz="4" w:space="0" w:color="000000"/>
              <w:right w:val="single" w:sz="4" w:space="0" w:color="000000"/>
            </w:tcBorders>
            <w:shd w:val="clear" w:color="auto" w:fill="F2F2F2" w:themeFill="background1" w:themeFillShade="F2"/>
          </w:tcPr>
          <w:p w:rsidR="00C028D4" w:rsidRDefault="00C028D4" w:rsidP="00C028D4">
            <w:pPr>
              <w:jc w:val="center"/>
              <w:rPr>
                <w:b/>
                <w:szCs w:val="16"/>
              </w:rPr>
            </w:pPr>
          </w:p>
          <w:p w:rsidR="00C028D4" w:rsidRDefault="00C028D4" w:rsidP="00C028D4">
            <w:pPr>
              <w:jc w:val="center"/>
              <w:rPr>
                <w:b/>
                <w:szCs w:val="16"/>
              </w:rPr>
            </w:pPr>
            <w:r>
              <w:rPr>
                <w:b/>
                <w:szCs w:val="16"/>
              </w:rPr>
              <w:t>5</w:t>
            </w:r>
          </w:p>
        </w:tc>
        <w:tc>
          <w:tcPr>
            <w:tcW w:w="7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028D4" w:rsidRDefault="00C028D4" w:rsidP="00C028D4">
            <w:pPr>
              <w:jc w:val="center"/>
              <w:rPr>
                <w:sz w:val="18"/>
                <w:szCs w:val="20"/>
              </w:rPr>
            </w:pPr>
          </w:p>
        </w:tc>
        <w:tc>
          <w:tcPr>
            <w:tcW w:w="73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028D4" w:rsidRDefault="00C028D4" w:rsidP="00C028D4">
            <w:pPr>
              <w:jc w:val="center"/>
              <w:rPr>
                <w:sz w:val="18"/>
                <w:szCs w:val="20"/>
              </w:rPr>
            </w:pPr>
          </w:p>
          <w:p w:rsidR="00C028D4" w:rsidRDefault="00C028D4" w:rsidP="00C028D4">
            <w:pPr>
              <w:jc w:val="center"/>
              <w:rPr>
                <w:sz w:val="18"/>
                <w:szCs w:val="20"/>
              </w:rPr>
            </w:pPr>
            <w:r>
              <w:rPr>
                <w:sz w:val="18"/>
                <w:szCs w:val="20"/>
              </w:rPr>
              <w:t>1</w:t>
            </w:r>
          </w:p>
        </w:tc>
        <w:tc>
          <w:tcPr>
            <w:tcW w:w="7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028D4" w:rsidRDefault="00C028D4" w:rsidP="00C028D4">
            <w:pPr>
              <w:jc w:val="center"/>
              <w:rPr>
                <w:sz w:val="18"/>
                <w:szCs w:val="20"/>
              </w:rPr>
            </w:pPr>
          </w:p>
          <w:p w:rsidR="00C028D4" w:rsidRDefault="00C028D4" w:rsidP="00C028D4">
            <w:pPr>
              <w:jc w:val="center"/>
              <w:rPr>
                <w:sz w:val="18"/>
                <w:szCs w:val="20"/>
              </w:rPr>
            </w:pPr>
            <w:r>
              <w:rPr>
                <w:sz w:val="18"/>
                <w:szCs w:val="20"/>
              </w:rPr>
              <w:t xml:space="preserve">       </w:t>
            </w:r>
          </w:p>
        </w:tc>
        <w:tc>
          <w:tcPr>
            <w:tcW w:w="7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028D4" w:rsidRDefault="00C028D4" w:rsidP="00C028D4">
            <w:pPr>
              <w:jc w:val="center"/>
              <w:rPr>
                <w:sz w:val="18"/>
                <w:szCs w:val="20"/>
              </w:rPr>
            </w:pPr>
          </w:p>
          <w:p w:rsidR="00C028D4" w:rsidRDefault="00C028D4" w:rsidP="00C028D4">
            <w:pPr>
              <w:jc w:val="center"/>
              <w:rPr>
                <w:sz w:val="18"/>
                <w:szCs w:val="20"/>
              </w:rPr>
            </w:pPr>
            <w:r>
              <w:rPr>
                <w:sz w:val="18"/>
                <w:szCs w:val="20"/>
              </w:rPr>
              <w:t xml:space="preserve">4  </w:t>
            </w:r>
          </w:p>
        </w:tc>
        <w:tc>
          <w:tcPr>
            <w:tcW w:w="7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028D4" w:rsidRDefault="00C028D4" w:rsidP="00C028D4">
            <w:pPr>
              <w:jc w:val="center"/>
              <w:rPr>
                <w:sz w:val="18"/>
                <w:szCs w:val="20"/>
              </w:rPr>
            </w:pPr>
          </w:p>
        </w:tc>
      </w:tr>
      <w:tr w:rsidR="00C028D4" w:rsidTr="00C028D4">
        <w:tc>
          <w:tcPr>
            <w:tcW w:w="1368"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tcPr>
          <w:p w:rsidR="00C028D4" w:rsidRDefault="00C028D4" w:rsidP="00C028D4">
            <w:pPr>
              <w:rPr>
                <w:sz w:val="18"/>
                <w:szCs w:val="20"/>
              </w:rPr>
            </w:pPr>
          </w:p>
          <w:p w:rsidR="00C028D4" w:rsidRDefault="00C028D4" w:rsidP="00C028D4">
            <w:pPr>
              <w:rPr>
                <w:sz w:val="18"/>
                <w:szCs w:val="20"/>
              </w:rPr>
            </w:pPr>
            <w:r>
              <w:rPr>
                <w:sz w:val="18"/>
                <w:szCs w:val="20"/>
              </w:rPr>
              <w:t>2. Policy</w:t>
            </w:r>
          </w:p>
        </w:tc>
        <w:tc>
          <w:tcPr>
            <w:tcW w:w="2862" w:type="dxa"/>
            <w:tcBorders>
              <w:top w:val="single" w:sz="4" w:space="0" w:color="000000"/>
              <w:left w:val="single" w:sz="4" w:space="0" w:color="auto"/>
              <w:bottom w:val="single" w:sz="4" w:space="0" w:color="000000"/>
              <w:right w:val="single" w:sz="4" w:space="0" w:color="auto"/>
            </w:tcBorders>
            <w:shd w:val="clear" w:color="auto" w:fill="F2F2F2" w:themeFill="background1" w:themeFillShade="F2"/>
          </w:tcPr>
          <w:p w:rsidR="00C028D4" w:rsidRDefault="00C028D4" w:rsidP="00C028D4">
            <w:pPr>
              <w:rPr>
                <w:i/>
                <w:sz w:val="6"/>
                <w:szCs w:val="20"/>
              </w:rPr>
            </w:pPr>
          </w:p>
          <w:p w:rsidR="00C028D4" w:rsidRDefault="00C028D4" w:rsidP="00C028D4">
            <w:pPr>
              <w:rPr>
                <w:sz w:val="18"/>
                <w:szCs w:val="20"/>
              </w:rPr>
            </w:pPr>
            <w:r>
              <w:rPr>
                <w:i/>
                <w:sz w:val="18"/>
                <w:szCs w:val="20"/>
              </w:rPr>
              <w:t xml:space="preserve">Renewing Primary Health Care in the </w:t>
            </w:r>
            <w:smartTag w:uri="urn:schemas-microsoft-com:office:smarttags" w:element="place">
              <w:smartTag w:uri="urn:schemas-microsoft-com:office:smarttags" w:element="country-region">
                <w:r>
                  <w:rPr>
                    <w:i/>
                    <w:sz w:val="18"/>
                    <w:szCs w:val="20"/>
                  </w:rPr>
                  <w:t>Americas</w:t>
                </w:r>
              </w:smartTag>
            </w:smartTag>
            <w:r>
              <w:rPr>
                <w:i/>
                <w:sz w:val="18"/>
                <w:szCs w:val="20"/>
              </w:rPr>
              <w:t>:  A Position Paper of PAHO/WHO ( 2007)</w:t>
            </w:r>
          </w:p>
        </w:tc>
        <w:tc>
          <w:tcPr>
            <w:tcW w:w="810" w:type="dxa"/>
            <w:tcBorders>
              <w:top w:val="single" w:sz="4" w:space="0" w:color="000000"/>
              <w:left w:val="single" w:sz="4" w:space="0" w:color="auto"/>
              <w:bottom w:val="single" w:sz="4" w:space="0" w:color="000000"/>
              <w:right w:val="single" w:sz="4" w:space="0" w:color="000000"/>
            </w:tcBorders>
            <w:shd w:val="clear" w:color="auto" w:fill="F2F2F2" w:themeFill="background1" w:themeFillShade="F2"/>
          </w:tcPr>
          <w:p w:rsidR="00C028D4" w:rsidRDefault="00C028D4" w:rsidP="00C028D4">
            <w:pPr>
              <w:jc w:val="center"/>
              <w:rPr>
                <w:b/>
                <w:szCs w:val="16"/>
              </w:rPr>
            </w:pPr>
          </w:p>
          <w:p w:rsidR="00C028D4" w:rsidRDefault="00C028D4" w:rsidP="00C028D4">
            <w:pPr>
              <w:jc w:val="center"/>
              <w:rPr>
                <w:b/>
                <w:szCs w:val="16"/>
              </w:rPr>
            </w:pPr>
            <w:r>
              <w:rPr>
                <w:b/>
                <w:szCs w:val="16"/>
              </w:rPr>
              <w:t>3</w:t>
            </w:r>
          </w:p>
        </w:tc>
        <w:tc>
          <w:tcPr>
            <w:tcW w:w="7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028D4" w:rsidRDefault="00C028D4" w:rsidP="00C028D4">
            <w:pPr>
              <w:jc w:val="center"/>
              <w:rPr>
                <w:sz w:val="18"/>
                <w:szCs w:val="20"/>
              </w:rPr>
            </w:pPr>
          </w:p>
        </w:tc>
        <w:tc>
          <w:tcPr>
            <w:tcW w:w="73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028D4" w:rsidRDefault="00C028D4" w:rsidP="00C028D4">
            <w:pPr>
              <w:jc w:val="center"/>
              <w:rPr>
                <w:sz w:val="18"/>
                <w:szCs w:val="20"/>
              </w:rPr>
            </w:pPr>
          </w:p>
          <w:p w:rsidR="00C028D4" w:rsidRDefault="00C028D4" w:rsidP="00C028D4">
            <w:pPr>
              <w:jc w:val="center"/>
              <w:rPr>
                <w:sz w:val="18"/>
                <w:szCs w:val="20"/>
              </w:rPr>
            </w:pPr>
            <w:r>
              <w:rPr>
                <w:sz w:val="18"/>
                <w:szCs w:val="20"/>
              </w:rPr>
              <w:t>0</w:t>
            </w:r>
          </w:p>
        </w:tc>
        <w:tc>
          <w:tcPr>
            <w:tcW w:w="7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028D4" w:rsidRDefault="00C028D4" w:rsidP="00C028D4">
            <w:pPr>
              <w:jc w:val="center"/>
              <w:rPr>
                <w:sz w:val="18"/>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028D4" w:rsidRDefault="00C028D4" w:rsidP="00C028D4">
            <w:pPr>
              <w:jc w:val="center"/>
              <w:rPr>
                <w:sz w:val="18"/>
                <w:szCs w:val="20"/>
              </w:rPr>
            </w:pPr>
          </w:p>
          <w:p w:rsidR="00C028D4" w:rsidRDefault="00C028D4" w:rsidP="00C028D4">
            <w:pPr>
              <w:jc w:val="center"/>
              <w:rPr>
                <w:sz w:val="18"/>
                <w:szCs w:val="20"/>
              </w:rPr>
            </w:pPr>
            <w:r>
              <w:rPr>
                <w:sz w:val="18"/>
                <w:szCs w:val="20"/>
              </w:rPr>
              <w:t>3</w:t>
            </w:r>
          </w:p>
        </w:tc>
        <w:tc>
          <w:tcPr>
            <w:tcW w:w="7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028D4" w:rsidRDefault="00C028D4" w:rsidP="00C028D4">
            <w:pPr>
              <w:jc w:val="center"/>
              <w:rPr>
                <w:sz w:val="18"/>
                <w:szCs w:val="20"/>
              </w:rPr>
            </w:pPr>
          </w:p>
        </w:tc>
      </w:tr>
      <w:tr w:rsidR="00C028D4" w:rsidTr="00C028D4">
        <w:tc>
          <w:tcPr>
            <w:tcW w:w="1368"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tcPr>
          <w:p w:rsidR="00C028D4" w:rsidRDefault="00C028D4" w:rsidP="00C028D4">
            <w:pPr>
              <w:rPr>
                <w:sz w:val="18"/>
                <w:szCs w:val="20"/>
              </w:rPr>
            </w:pPr>
          </w:p>
          <w:p w:rsidR="00C028D4" w:rsidRDefault="00C028D4" w:rsidP="00C028D4">
            <w:pPr>
              <w:rPr>
                <w:sz w:val="18"/>
                <w:szCs w:val="20"/>
              </w:rPr>
            </w:pPr>
            <w:r>
              <w:rPr>
                <w:sz w:val="18"/>
                <w:szCs w:val="20"/>
              </w:rPr>
              <w:t>3. Evidence</w:t>
            </w:r>
          </w:p>
        </w:tc>
        <w:tc>
          <w:tcPr>
            <w:tcW w:w="2862" w:type="dxa"/>
            <w:tcBorders>
              <w:top w:val="single" w:sz="4" w:space="0" w:color="000000"/>
              <w:left w:val="single" w:sz="4" w:space="0" w:color="auto"/>
              <w:bottom w:val="single" w:sz="4" w:space="0" w:color="000000"/>
              <w:right w:val="single" w:sz="4" w:space="0" w:color="auto"/>
            </w:tcBorders>
            <w:shd w:val="clear" w:color="auto" w:fill="F2F2F2" w:themeFill="background1" w:themeFillShade="F2"/>
          </w:tcPr>
          <w:p w:rsidR="00C028D4" w:rsidRDefault="00C028D4" w:rsidP="00C028D4">
            <w:pPr>
              <w:rPr>
                <w:sz w:val="6"/>
                <w:szCs w:val="20"/>
              </w:rPr>
            </w:pPr>
          </w:p>
          <w:p w:rsidR="00C028D4" w:rsidRDefault="00C028D4" w:rsidP="00C028D4">
            <w:pPr>
              <w:pStyle w:val="ListParagraph"/>
              <w:rPr>
                <w:i/>
                <w:sz w:val="2"/>
                <w:szCs w:val="20"/>
              </w:rPr>
            </w:pPr>
          </w:p>
          <w:p w:rsidR="00C028D4" w:rsidRDefault="00C028D4" w:rsidP="00C028D4">
            <w:pPr>
              <w:rPr>
                <w:sz w:val="18"/>
                <w:szCs w:val="20"/>
              </w:rPr>
            </w:pPr>
            <w:r>
              <w:rPr>
                <w:i/>
                <w:sz w:val="18"/>
                <w:szCs w:val="20"/>
              </w:rPr>
              <w:t>Social Protection in Health Schemes for Mother, Newborn and Child Populations: Lessons Learned from the Latin American Region. (2007)</w:t>
            </w:r>
          </w:p>
        </w:tc>
        <w:tc>
          <w:tcPr>
            <w:tcW w:w="810" w:type="dxa"/>
            <w:tcBorders>
              <w:top w:val="single" w:sz="4" w:space="0" w:color="000000"/>
              <w:left w:val="single" w:sz="4" w:space="0" w:color="auto"/>
              <w:bottom w:val="single" w:sz="4" w:space="0" w:color="000000"/>
              <w:right w:val="single" w:sz="4" w:space="0" w:color="000000"/>
            </w:tcBorders>
            <w:shd w:val="clear" w:color="auto" w:fill="F2F2F2" w:themeFill="background1" w:themeFillShade="F2"/>
          </w:tcPr>
          <w:p w:rsidR="00C028D4" w:rsidRDefault="00C028D4" w:rsidP="00C028D4">
            <w:pPr>
              <w:jc w:val="center"/>
              <w:rPr>
                <w:b/>
                <w:szCs w:val="16"/>
              </w:rPr>
            </w:pPr>
          </w:p>
          <w:p w:rsidR="00C028D4" w:rsidRDefault="00C028D4" w:rsidP="00C028D4">
            <w:pPr>
              <w:jc w:val="center"/>
              <w:rPr>
                <w:b/>
                <w:szCs w:val="16"/>
              </w:rPr>
            </w:pPr>
          </w:p>
          <w:p w:rsidR="00C028D4" w:rsidRDefault="00C028D4" w:rsidP="00C028D4">
            <w:pPr>
              <w:jc w:val="center"/>
              <w:rPr>
                <w:b/>
                <w:szCs w:val="16"/>
              </w:rPr>
            </w:pPr>
            <w:r>
              <w:rPr>
                <w:b/>
                <w:szCs w:val="16"/>
              </w:rPr>
              <w:t>9</w:t>
            </w:r>
          </w:p>
        </w:tc>
        <w:tc>
          <w:tcPr>
            <w:tcW w:w="7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028D4" w:rsidRDefault="00C028D4" w:rsidP="00C028D4">
            <w:pPr>
              <w:jc w:val="center"/>
              <w:rPr>
                <w:sz w:val="18"/>
                <w:szCs w:val="20"/>
              </w:rPr>
            </w:pPr>
          </w:p>
          <w:p w:rsidR="00C028D4" w:rsidRDefault="00C028D4" w:rsidP="00C028D4">
            <w:pPr>
              <w:jc w:val="center"/>
              <w:rPr>
                <w:sz w:val="18"/>
                <w:szCs w:val="20"/>
              </w:rPr>
            </w:pPr>
          </w:p>
          <w:p w:rsidR="00C028D4" w:rsidRDefault="00C028D4" w:rsidP="00C028D4">
            <w:pPr>
              <w:jc w:val="center"/>
              <w:rPr>
                <w:sz w:val="18"/>
                <w:szCs w:val="20"/>
              </w:rPr>
            </w:pPr>
            <w:r>
              <w:rPr>
                <w:sz w:val="18"/>
                <w:szCs w:val="20"/>
              </w:rPr>
              <w:t>3</w:t>
            </w:r>
          </w:p>
        </w:tc>
        <w:tc>
          <w:tcPr>
            <w:tcW w:w="73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028D4" w:rsidRDefault="00C028D4" w:rsidP="00C028D4">
            <w:pPr>
              <w:jc w:val="center"/>
              <w:rPr>
                <w:sz w:val="18"/>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028D4" w:rsidRDefault="00C028D4" w:rsidP="00C028D4">
            <w:pPr>
              <w:jc w:val="center"/>
              <w:rPr>
                <w:sz w:val="18"/>
                <w:szCs w:val="20"/>
              </w:rPr>
            </w:pPr>
          </w:p>
          <w:p w:rsidR="00C028D4" w:rsidRDefault="00C028D4" w:rsidP="00C028D4">
            <w:pPr>
              <w:jc w:val="center"/>
              <w:rPr>
                <w:sz w:val="18"/>
                <w:szCs w:val="20"/>
              </w:rPr>
            </w:pPr>
          </w:p>
          <w:p w:rsidR="00C028D4" w:rsidRDefault="00C028D4" w:rsidP="00C028D4">
            <w:pPr>
              <w:jc w:val="center"/>
              <w:rPr>
                <w:sz w:val="18"/>
                <w:szCs w:val="20"/>
              </w:rPr>
            </w:pPr>
            <w:r>
              <w:rPr>
                <w:sz w:val="18"/>
                <w:szCs w:val="20"/>
              </w:rPr>
              <w:t>6</w:t>
            </w:r>
          </w:p>
        </w:tc>
        <w:tc>
          <w:tcPr>
            <w:tcW w:w="7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028D4" w:rsidRDefault="00C028D4" w:rsidP="00C028D4">
            <w:pPr>
              <w:jc w:val="center"/>
              <w:rPr>
                <w:sz w:val="18"/>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028D4" w:rsidRDefault="00C028D4" w:rsidP="00C028D4">
            <w:pPr>
              <w:jc w:val="center"/>
              <w:rPr>
                <w:sz w:val="18"/>
                <w:szCs w:val="20"/>
              </w:rPr>
            </w:pPr>
          </w:p>
        </w:tc>
      </w:tr>
      <w:tr w:rsidR="00C028D4" w:rsidTr="00C028D4">
        <w:tc>
          <w:tcPr>
            <w:tcW w:w="1368" w:type="dxa"/>
            <w:vMerge w:val="restart"/>
            <w:tcBorders>
              <w:top w:val="single" w:sz="4" w:space="0" w:color="000000"/>
              <w:left w:val="single" w:sz="4" w:space="0" w:color="000000"/>
              <w:bottom w:val="single" w:sz="4" w:space="0" w:color="000000"/>
              <w:right w:val="single" w:sz="4" w:space="0" w:color="auto"/>
            </w:tcBorders>
            <w:shd w:val="clear" w:color="auto" w:fill="F2F2F2" w:themeFill="background1" w:themeFillShade="F2"/>
          </w:tcPr>
          <w:p w:rsidR="00C028D4" w:rsidRDefault="00C028D4" w:rsidP="00C028D4">
            <w:pPr>
              <w:rPr>
                <w:sz w:val="18"/>
                <w:szCs w:val="20"/>
              </w:rPr>
            </w:pPr>
          </w:p>
          <w:p w:rsidR="00C028D4" w:rsidRDefault="00C028D4" w:rsidP="00C028D4">
            <w:pPr>
              <w:rPr>
                <w:sz w:val="18"/>
                <w:szCs w:val="20"/>
              </w:rPr>
            </w:pPr>
          </w:p>
          <w:p w:rsidR="00C028D4" w:rsidRDefault="00C028D4" w:rsidP="00C028D4">
            <w:pPr>
              <w:rPr>
                <w:sz w:val="18"/>
                <w:szCs w:val="20"/>
              </w:rPr>
            </w:pPr>
            <w:r>
              <w:rPr>
                <w:sz w:val="18"/>
                <w:szCs w:val="20"/>
              </w:rPr>
              <w:t>4. Tools</w:t>
            </w:r>
          </w:p>
        </w:tc>
        <w:tc>
          <w:tcPr>
            <w:tcW w:w="2862" w:type="dxa"/>
            <w:tcBorders>
              <w:top w:val="single" w:sz="4" w:space="0" w:color="000000"/>
              <w:left w:val="single" w:sz="4" w:space="0" w:color="auto"/>
              <w:bottom w:val="single" w:sz="4" w:space="0" w:color="000000"/>
              <w:right w:val="single" w:sz="4" w:space="0" w:color="auto"/>
            </w:tcBorders>
            <w:shd w:val="clear" w:color="auto" w:fill="F2F2F2" w:themeFill="background1" w:themeFillShade="F2"/>
            <w:hideMark/>
          </w:tcPr>
          <w:p w:rsidR="00C028D4" w:rsidRDefault="00C028D4" w:rsidP="00C028D4">
            <w:pPr>
              <w:rPr>
                <w:rFonts w:cs="Arial"/>
                <w:bCs/>
                <w:color w:val="000000"/>
                <w:sz w:val="16"/>
                <w:szCs w:val="20"/>
              </w:rPr>
            </w:pPr>
            <w:r>
              <w:rPr>
                <w:rFonts w:cs="Arial"/>
                <w:bCs/>
                <w:color w:val="000000"/>
                <w:sz w:val="16"/>
                <w:szCs w:val="20"/>
              </w:rPr>
              <w:t xml:space="preserve"> </w:t>
            </w:r>
          </w:p>
          <w:p w:rsidR="00C028D4" w:rsidRDefault="00C028D4" w:rsidP="00C028D4">
            <w:pPr>
              <w:rPr>
                <w:sz w:val="10"/>
                <w:szCs w:val="20"/>
              </w:rPr>
            </w:pPr>
            <w:r>
              <w:rPr>
                <w:rFonts w:cs="Arial"/>
                <w:bCs/>
                <w:color w:val="000000"/>
                <w:sz w:val="18"/>
                <w:szCs w:val="20"/>
              </w:rPr>
              <w:t>Instructions for Preparing Biennial Work Plans 2008-2009. (2007)</w:t>
            </w:r>
          </w:p>
        </w:tc>
        <w:tc>
          <w:tcPr>
            <w:tcW w:w="810" w:type="dxa"/>
            <w:tcBorders>
              <w:top w:val="single" w:sz="4" w:space="0" w:color="000000"/>
              <w:left w:val="single" w:sz="4" w:space="0" w:color="auto"/>
              <w:bottom w:val="single" w:sz="4" w:space="0" w:color="000000"/>
              <w:right w:val="single" w:sz="4" w:space="0" w:color="000000"/>
            </w:tcBorders>
            <w:shd w:val="clear" w:color="auto" w:fill="F2F2F2" w:themeFill="background1" w:themeFillShade="F2"/>
          </w:tcPr>
          <w:p w:rsidR="00C028D4" w:rsidRDefault="00C028D4" w:rsidP="00C028D4">
            <w:pPr>
              <w:jc w:val="center"/>
              <w:rPr>
                <w:b/>
                <w:szCs w:val="18"/>
              </w:rPr>
            </w:pPr>
          </w:p>
          <w:p w:rsidR="00C028D4" w:rsidRDefault="00C028D4" w:rsidP="00C028D4">
            <w:pPr>
              <w:jc w:val="center"/>
              <w:rPr>
                <w:b/>
                <w:szCs w:val="18"/>
              </w:rPr>
            </w:pPr>
            <w:r>
              <w:rPr>
                <w:b/>
                <w:szCs w:val="18"/>
              </w:rPr>
              <w:t>2</w:t>
            </w:r>
          </w:p>
        </w:tc>
        <w:tc>
          <w:tcPr>
            <w:tcW w:w="7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028D4" w:rsidRDefault="00C028D4" w:rsidP="00C028D4">
            <w:pPr>
              <w:jc w:val="center"/>
              <w:rPr>
                <w:sz w:val="18"/>
                <w:szCs w:val="20"/>
              </w:rPr>
            </w:pPr>
          </w:p>
        </w:tc>
        <w:tc>
          <w:tcPr>
            <w:tcW w:w="73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028D4" w:rsidRDefault="00C028D4" w:rsidP="00C028D4">
            <w:pPr>
              <w:jc w:val="center"/>
              <w:rPr>
                <w:sz w:val="18"/>
                <w:szCs w:val="20"/>
              </w:rPr>
            </w:pPr>
          </w:p>
          <w:p w:rsidR="00C028D4" w:rsidRDefault="00C028D4" w:rsidP="00C028D4">
            <w:pPr>
              <w:jc w:val="center"/>
              <w:rPr>
                <w:sz w:val="18"/>
                <w:szCs w:val="20"/>
              </w:rPr>
            </w:pPr>
            <w:r>
              <w:rPr>
                <w:sz w:val="18"/>
                <w:szCs w:val="20"/>
              </w:rPr>
              <w:t>0</w:t>
            </w:r>
          </w:p>
        </w:tc>
        <w:tc>
          <w:tcPr>
            <w:tcW w:w="7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028D4" w:rsidRDefault="00C028D4" w:rsidP="00C028D4">
            <w:pPr>
              <w:jc w:val="center"/>
              <w:rPr>
                <w:sz w:val="18"/>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028D4" w:rsidRDefault="00C028D4" w:rsidP="00C028D4">
            <w:pPr>
              <w:jc w:val="center"/>
              <w:rPr>
                <w:sz w:val="18"/>
                <w:szCs w:val="20"/>
              </w:rPr>
            </w:pPr>
          </w:p>
          <w:p w:rsidR="00C028D4" w:rsidRDefault="00C028D4" w:rsidP="00C028D4">
            <w:pPr>
              <w:jc w:val="center"/>
              <w:rPr>
                <w:sz w:val="18"/>
                <w:szCs w:val="20"/>
              </w:rPr>
            </w:pPr>
            <w:r>
              <w:rPr>
                <w:sz w:val="18"/>
                <w:szCs w:val="20"/>
              </w:rPr>
              <w:t>2</w:t>
            </w:r>
          </w:p>
        </w:tc>
        <w:tc>
          <w:tcPr>
            <w:tcW w:w="7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028D4" w:rsidRDefault="00C028D4" w:rsidP="00C028D4">
            <w:pPr>
              <w:jc w:val="center"/>
              <w:rPr>
                <w:sz w:val="18"/>
                <w:szCs w:val="20"/>
              </w:rPr>
            </w:pPr>
          </w:p>
        </w:tc>
      </w:tr>
      <w:tr w:rsidR="00C028D4" w:rsidTr="00C028D4">
        <w:tc>
          <w:tcPr>
            <w:tcW w:w="1368" w:type="dxa"/>
            <w:vMerge/>
            <w:tcBorders>
              <w:top w:val="single" w:sz="4" w:space="0" w:color="000000"/>
              <w:left w:val="single" w:sz="4" w:space="0" w:color="000000"/>
              <w:bottom w:val="single" w:sz="4" w:space="0" w:color="000000"/>
              <w:right w:val="single" w:sz="4" w:space="0" w:color="auto"/>
            </w:tcBorders>
            <w:vAlign w:val="center"/>
            <w:hideMark/>
          </w:tcPr>
          <w:p w:rsidR="00C028D4" w:rsidRDefault="00C028D4" w:rsidP="00C028D4">
            <w:pPr>
              <w:rPr>
                <w:sz w:val="18"/>
                <w:szCs w:val="20"/>
              </w:rPr>
            </w:pPr>
          </w:p>
        </w:tc>
        <w:tc>
          <w:tcPr>
            <w:tcW w:w="2862" w:type="dxa"/>
            <w:tcBorders>
              <w:top w:val="single" w:sz="4" w:space="0" w:color="000000"/>
              <w:left w:val="single" w:sz="4" w:space="0" w:color="auto"/>
              <w:bottom w:val="single" w:sz="4" w:space="0" w:color="000000"/>
              <w:right w:val="single" w:sz="4" w:space="0" w:color="auto"/>
            </w:tcBorders>
            <w:shd w:val="clear" w:color="auto" w:fill="F2F2F2" w:themeFill="background1" w:themeFillShade="F2"/>
          </w:tcPr>
          <w:p w:rsidR="00C028D4" w:rsidRDefault="00C028D4" w:rsidP="00C028D4">
            <w:pPr>
              <w:rPr>
                <w:sz w:val="18"/>
                <w:szCs w:val="20"/>
              </w:rPr>
            </w:pPr>
          </w:p>
          <w:p w:rsidR="00C028D4" w:rsidRDefault="00C028D4" w:rsidP="00C028D4">
            <w:pPr>
              <w:rPr>
                <w:sz w:val="18"/>
                <w:szCs w:val="20"/>
              </w:rPr>
            </w:pPr>
            <w:r>
              <w:rPr>
                <w:rFonts w:cs="Arial"/>
                <w:bCs/>
                <w:color w:val="000000"/>
                <w:sz w:val="18"/>
                <w:szCs w:val="20"/>
              </w:rPr>
              <w:t>I</w:t>
            </w:r>
            <w:r>
              <w:rPr>
                <w:sz w:val="18"/>
                <w:szCs w:val="20"/>
              </w:rPr>
              <w:t>nternal Peer Review Guidelines 08-09 Biennial Work Plans: HQ and Centers BWPs (2007).</w:t>
            </w:r>
          </w:p>
        </w:tc>
        <w:tc>
          <w:tcPr>
            <w:tcW w:w="810" w:type="dxa"/>
            <w:tcBorders>
              <w:top w:val="single" w:sz="4" w:space="0" w:color="000000"/>
              <w:left w:val="single" w:sz="4" w:space="0" w:color="auto"/>
              <w:bottom w:val="single" w:sz="4" w:space="0" w:color="000000"/>
              <w:right w:val="single" w:sz="4" w:space="0" w:color="000000"/>
            </w:tcBorders>
            <w:shd w:val="clear" w:color="auto" w:fill="F2F2F2" w:themeFill="background1" w:themeFillShade="F2"/>
          </w:tcPr>
          <w:p w:rsidR="00C028D4" w:rsidRDefault="00C028D4" w:rsidP="00C028D4">
            <w:pPr>
              <w:jc w:val="center"/>
              <w:rPr>
                <w:b/>
                <w:szCs w:val="18"/>
              </w:rPr>
            </w:pPr>
          </w:p>
          <w:p w:rsidR="00C028D4" w:rsidRDefault="00C028D4" w:rsidP="00C028D4">
            <w:pPr>
              <w:jc w:val="center"/>
              <w:rPr>
                <w:b/>
                <w:szCs w:val="18"/>
              </w:rPr>
            </w:pPr>
            <w:r>
              <w:rPr>
                <w:b/>
                <w:szCs w:val="18"/>
              </w:rPr>
              <w:t>2</w:t>
            </w:r>
          </w:p>
        </w:tc>
        <w:tc>
          <w:tcPr>
            <w:tcW w:w="7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028D4" w:rsidRDefault="00C028D4" w:rsidP="00C028D4">
            <w:pPr>
              <w:jc w:val="center"/>
              <w:rPr>
                <w:sz w:val="18"/>
                <w:szCs w:val="20"/>
              </w:rPr>
            </w:pPr>
          </w:p>
        </w:tc>
        <w:tc>
          <w:tcPr>
            <w:tcW w:w="73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028D4" w:rsidRDefault="00C028D4" w:rsidP="00C028D4">
            <w:pPr>
              <w:jc w:val="center"/>
              <w:rPr>
                <w:sz w:val="18"/>
                <w:szCs w:val="20"/>
              </w:rPr>
            </w:pPr>
          </w:p>
          <w:p w:rsidR="00C028D4" w:rsidRDefault="00C028D4" w:rsidP="00C028D4">
            <w:pPr>
              <w:jc w:val="center"/>
              <w:rPr>
                <w:sz w:val="18"/>
                <w:szCs w:val="20"/>
              </w:rPr>
            </w:pPr>
            <w:r>
              <w:rPr>
                <w:sz w:val="18"/>
                <w:szCs w:val="20"/>
              </w:rPr>
              <w:t>0</w:t>
            </w:r>
          </w:p>
        </w:tc>
        <w:tc>
          <w:tcPr>
            <w:tcW w:w="7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028D4" w:rsidRDefault="00C028D4" w:rsidP="00C028D4">
            <w:pPr>
              <w:jc w:val="center"/>
              <w:rPr>
                <w:sz w:val="18"/>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028D4" w:rsidRDefault="00C028D4" w:rsidP="00C028D4">
            <w:pPr>
              <w:jc w:val="center"/>
              <w:rPr>
                <w:sz w:val="18"/>
                <w:szCs w:val="20"/>
              </w:rPr>
            </w:pPr>
          </w:p>
          <w:p w:rsidR="00C028D4" w:rsidRDefault="00C028D4" w:rsidP="00C028D4">
            <w:pPr>
              <w:jc w:val="center"/>
              <w:rPr>
                <w:sz w:val="18"/>
                <w:szCs w:val="20"/>
              </w:rPr>
            </w:pPr>
            <w:r>
              <w:rPr>
                <w:sz w:val="18"/>
                <w:szCs w:val="20"/>
              </w:rPr>
              <w:t>2</w:t>
            </w:r>
          </w:p>
        </w:tc>
        <w:tc>
          <w:tcPr>
            <w:tcW w:w="7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028D4" w:rsidRDefault="00C028D4" w:rsidP="00C028D4">
            <w:pPr>
              <w:jc w:val="center"/>
              <w:rPr>
                <w:sz w:val="18"/>
                <w:szCs w:val="20"/>
              </w:rPr>
            </w:pPr>
          </w:p>
        </w:tc>
      </w:tr>
      <w:tr w:rsidR="00C028D4" w:rsidTr="00C028D4">
        <w:trPr>
          <w:trHeight w:val="70"/>
        </w:trPr>
        <w:tc>
          <w:tcPr>
            <w:tcW w:w="1368" w:type="dxa"/>
            <w:vMerge/>
            <w:tcBorders>
              <w:top w:val="single" w:sz="4" w:space="0" w:color="000000"/>
              <w:left w:val="single" w:sz="4" w:space="0" w:color="000000"/>
              <w:bottom w:val="single" w:sz="4" w:space="0" w:color="000000"/>
              <w:right w:val="single" w:sz="4" w:space="0" w:color="auto"/>
            </w:tcBorders>
            <w:vAlign w:val="center"/>
            <w:hideMark/>
          </w:tcPr>
          <w:p w:rsidR="00C028D4" w:rsidRDefault="00C028D4" w:rsidP="00C028D4">
            <w:pPr>
              <w:rPr>
                <w:sz w:val="18"/>
                <w:szCs w:val="20"/>
              </w:rPr>
            </w:pPr>
          </w:p>
        </w:tc>
        <w:tc>
          <w:tcPr>
            <w:tcW w:w="2862" w:type="dxa"/>
            <w:tcBorders>
              <w:top w:val="single" w:sz="4" w:space="0" w:color="000000"/>
              <w:left w:val="single" w:sz="4" w:space="0" w:color="auto"/>
              <w:bottom w:val="single" w:sz="4" w:space="0" w:color="000000"/>
              <w:right w:val="single" w:sz="4" w:space="0" w:color="auto"/>
            </w:tcBorders>
            <w:shd w:val="clear" w:color="auto" w:fill="F2F2F2" w:themeFill="background1" w:themeFillShade="F2"/>
          </w:tcPr>
          <w:p w:rsidR="00C028D4" w:rsidRDefault="00C028D4" w:rsidP="00C028D4">
            <w:pPr>
              <w:autoSpaceDE w:val="0"/>
              <w:autoSpaceDN w:val="0"/>
              <w:adjustRightInd w:val="0"/>
              <w:rPr>
                <w:sz w:val="18"/>
                <w:szCs w:val="20"/>
              </w:rPr>
            </w:pPr>
          </w:p>
          <w:p w:rsidR="00C028D4" w:rsidRDefault="00C028D4" w:rsidP="00C028D4">
            <w:pPr>
              <w:autoSpaceDE w:val="0"/>
              <w:autoSpaceDN w:val="0"/>
              <w:adjustRightInd w:val="0"/>
              <w:rPr>
                <w:sz w:val="18"/>
                <w:szCs w:val="20"/>
              </w:rPr>
            </w:pPr>
            <w:r>
              <w:rPr>
                <w:sz w:val="18"/>
                <w:szCs w:val="20"/>
              </w:rPr>
              <w:t>Internal Peer Review Guidelines 08-09 Biennial Work Plans: Country Office WPs (2007)</w:t>
            </w:r>
          </w:p>
          <w:p w:rsidR="00C028D4" w:rsidRDefault="00C028D4" w:rsidP="00C028D4">
            <w:pPr>
              <w:autoSpaceDE w:val="0"/>
              <w:autoSpaceDN w:val="0"/>
              <w:adjustRightInd w:val="0"/>
              <w:rPr>
                <w:sz w:val="18"/>
                <w:szCs w:val="20"/>
              </w:rPr>
            </w:pPr>
          </w:p>
          <w:p w:rsidR="00C028D4" w:rsidRDefault="00C028D4" w:rsidP="00C028D4">
            <w:pPr>
              <w:autoSpaceDE w:val="0"/>
              <w:autoSpaceDN w:val="0"/>
              <w:adjustRightInd w:val="0"/>
              <w:rPr>
                <w:sz w:val="2"/>
                <w:szCs w:val="20"/>
              </w:rPr>
            </w:pPr>
            <w:r>
              <w:rPr>
                <w:sz w:val="18"/>
                <w:szCs w:val="20"/>
              </w:rPr>
              <w:t xml:space="preserve">  </w:t>
            </w:r>
          </w:p>
        </w:tc>
        <w:tc>
          <w:tcPr>
            <w:tcW w:w="810" w:type="dxa"/>
            <w:tcBorders>
              <w:top w:val="single" w:sz="4" w:space="0" w:color="000000"/>
              <w:left w:val="single" w:sz="4" w:space="0" w:color="auto"/>
              <w:bottom w:val="single" w:sz="4" w:space="0" w:color="000000"/>
              <w:right w:val="single" w:sz="4" w:space="0" w:color="000000"/>
            </w:tcBorders>
            <w:shd w:val="clear" w:color="auto" w:fill="F2F2F2" w:themeFill="background1" w:themeFillShade="F2"/>
          </w:tcPr>
          <w:p w:rsidR="00C028D4" w:rsidRDefault="00C028D4" w:rsidP="00C028D4">
            <w:pPr>
              <w:jc w:val="center"/>
              <w:rPr>
                <w:b/>
                <w:szCs w:val="18"/>
              </w:rPr>
            </w:pPr>
          </w:p>
          <w:p w:rsidR="00C028D4" w:rsidRDefault="00C028D4" w:rsidP="00C028D4">
            <w:pPr>
              <w:jc w:val="center"/>
              <w:rPr>
                <w:b/>
                <w:szCs w:val="18"/>
              </w:rPr>
            </w:pPr>
            <w:r>
              <w:rPr>
                <w:b/>
                <w:szCs w:val="18"/>
              </w:rPr>
              <w:t>2</w:t>
            </w:r>
          </w:p>
          <w:p w:rsidR="00C028D4" w:rsidRDefault="00C028D4" w:rsidP="00C028D4">
            <w:pPr>
              <w:jc w:val="center"/>
              <w:rPr>
                <w:b/>
                <w:szCs w:val="18"/>
              </w:rPr>
            </w:pPr>
          </w:p>
        </w:tc>
        <w:tc>
          <w:tcPr>
            <w:tcW w:w="7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028D4" w:rsidRDefault="00C028D4" w:rsidP="00C028D4">
            <w:pPr>
              <w:jc w:val="center"/>
              <w:rPr>
                <w:sz w:val="18"/>
                <w:szCs w:val="20"/>
              </w:rPr>
            </w:pPr>
          </w:p>
        </w:tc>
        <w:tc>
          <w:tcPr>
            <w:tcW w:w="73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028D4" w:rsidRDefault="00C028D4" w:rsidP="00C028D4">
            <w:pPr>
              <w:jc w:val="center"/>
              <w:rPr>
                <w:sz w:val="18"/>
                <w:szCs w:val="20"/>
              </w:rPr>
            </w:pPr>
          </w:p>
          <w:p w:rsidR="00C028D4" w:rsidRDefault="00C028D4" w:rsidP="00C028D4">
            <w:pPr>
              <w:jc w:val="center"/>
              <w:rPr>
                <w:sz w:val="18"/>
                <w:szCs w:val="20"/>
              </w:rPr>
            </w:pPr>
            <w:r>
              <w:rPr>
                <w:sz w:val="18"/>
                <w:szCs w:val="20"/>
              </w:rPr>
              <w:t>0</w:t>
            </w:r>
          </w:p>
        </w:tc>
        <w:tc>
          <w:tcPr>
            <w:tcW w:w="7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028D4" w:rsidRDefault="00C028D4" w:rsidP="00C028D4">
            <w:pPr>
              <w:jc w:val="center"/>
              <w:rPr>
                <w:sz w:val="18"/>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028D4" w:rsidRDefault="00C028D4" w:rsidP="00C028D4">
            <w:pPr>
              <w:jc w:val="center"/>
              <w:rPr>
                <w:sz w:val="18"/>
                <w:szCs w:val="20"/>
              </w:rPr>
            </w:pPr>
          </w:p>
          <w:p w:rsidR="00C028D4" w:rsidRDefault="00C028D4" w:rsidP="00C028D4">
            <w:pPr>
              <w:jc w:val="center"/>
              <w:rPr>
                <w:sz w:val="18"/>
                <w:szCs w:val="20"/>
              </w:rPr>
            </w:pPr>
            <w:r>
              <w:rPr>
                <w:sz w:val="18"/>
                <w:szCs w:val="20"/>
              </w:rPr>
              <w:t>2</w:t>
            </w:r>
          </w:p>
        </w:tc>
        <w:tc>
          <w:tcPr>
            <w:tcW w:w="7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028D4" w:rsidRDefault="00C028D4" w:rsidP="00C028D4">
            <w:pPr>
              <w:jc w:val="center"/>
              <w:rPr>
                <w:sz w:val="18"/>
                <w:szCs w:val="20"/>
              </w:rPr>
            </w:pPr>
          </w:p>
        </w:tc>
      </w:tr>
    </w:tbl>
    <w:p w:rsidR="004C01B3" w:rsidRDefault="004C01B3" w:rsidP="004C01B3">
      <w:pPr>
        <w:pStyle w:val="EndnoteText"/>
        <w:ind w:left="936"/>
      </w:pPr>
    </w:p>
    <w:p w:rsidR="004C01B3" w:rsidRDefault="004C01B3" w:rsidP="004C01B3">
      <w:pPr>
        <w:pStyle w:val="EndnoteText"/>
        <w:ind w:left="936"/>
      </w:pPr>
    </w:p>
    <w:p w:rsidR="008520B1" w:rsidRDefault="008520B1" w:rsidP="005F6B2B">
      <w:pPr>
        <w:tabs>
          <w:tab w:val="left" w:pos="360"/>
          <w:tab w:val="left" w:pos="450"/>
        </w:tabs>
        <w:rPr>
          <w:sz w:val="22"/>
        </w:rPr>
      </w:pPr>
    </w:p>
    <w:p w:rsidR="00A0230E" w:rsidRPr="00E8132A" w:rsidRDefault="00E8132A" w:rsidP="005F6B2B">
      <w:pPr>
        <w:tabs>
          <w:tab w:val="left" w:pos="360"/>
          <w:tab w:val="left" w:pos="450"/>
        </w:tabs>
        <w:rPr>
          <w:b/>
          <w:sz w:val="24"/>
        </w:rPr>
      </w:pPr>
      <w:r>
        <w:rPr>
          <w:sz w:val="22"/>
        </w:rPr>
        <w:t xml:space="preserve">The following paragraphs contain a description of the sample and a </w:t>
      </w:r>
      <w:r w:rsidR="002A3BC0">
        <w:rPr>
          <w:sz w:val="22"/>
        </w:rPr>
        <w:t xml:space="preserve">detailed </w:t>
      </w:r>
      <w:r>
        <w:rPr>
          <w:sz w:val="22"/>
        </w:rPr>
        <w:t>characterization of the</w:t>
      </w:r>
      <w:r w:rsidR="008520B1">
        <w:rPr>
          <w:sz w:val="22"/>
        </w:rPr>
        <w:t xml:space="preserve"> included </w:t>
      </w:r>
      <w:r>
        <w:rPr>
          <w:sz w:val="22"/>
        </w:rPr>
        <w:t>documents in terms of the criteria used for the content analysis.</w:t>
      </w:r>
      <w:r w:rsidRPr="00E8132A">
        <w:rPr>
          <w:b/>
          <w:sz w:val="24"/>
        </w:rPr>
        <w:t xml:space="preserve"> </w:t>
      </w:r>
    </w:p>
    <w:p w:rsidR="00E8132A" w:rsidRPr="00E8132A" w:rsidRDefault="00E8132A" w:rsidP="005F6B2B">
      <w:pPr>
        <w:tabs>
          <w:tab w:val="left" w:pos="360"/>
          <w:tab w:val="left" w:pos="450"/>
        </w:tabs>
        <w:rPr>
          <w:b/>
          <w:sz w:val="22"/>
        </w:rPr>
      </w:pPr>
    </w:p>
    <w:p w:rsidR="008520B1" w:rsidRPr="008520B1" w:rsidRDefault="008520B1" w:rsidP="008520B1">
      <w:pPr>
        <w:tabs>
          <w:tab w:val="left" w:pos="360"/>
          <w:tab w:val="left" w:pos="450"/>
        </w:tabs>
        <w:rPr>
          <w:b/>
          <w:sz w:val="22"/>
        </w:rPr>
      </w:pPr>
      <w:r>
        <w:rPr>
          <w:b/>
          <w:sz w:val="22"/>
        </w:rPr>
        <w:t xml:space="preserve">2.  </w:t>
      </w:r>
      <w:r w:rsidR="00E8132A" w:rsidRPr="008520B1">
        <w:rPr>
          <w:b/>
          <w:sz w:val="22"/>
        </w:rPr>
        <w:t>Composition of the sample</w:t>
      </w:r>
    </w:p>
    <w:p w:rsidR="008520B1" w:rsidRPr="00F10089" w:rsidRDefault="008520B1" w:rsidP="008520B1">
      <w:pPr>
        <w:tabs>
          <w:tab w:val="left" w:pos="360"/>
          <w:tab w:val="left" w:pos="450"/>
        </w:tabs>
        <w:rPr>
          <w:sz w:val="12"/>
          <w:szCs w:val="22"/>
        </w:rPr>
      </w:pPr>
    </w:p>
    <w:p w:rsidR="00452523" w:rsidRPr="008520B1" w:rsidRDefault="009571FA" w:rsidP="008520B1">
      <w:pPr>
        <w:tabs>
          <w:tab w:val="left" w:pos="360"/>
          <w:tab w:val="left" w:pos="450"/>
        </w:tabs>
        <w:rPr>
          <w:b/>
          <w:sz w:val="22"/>
        </w:rPr>
      </w:pPr>
      <w:r w:rsidRPr="008520B1">
        <w:rPr>
          <w:sz w:val="22"/>
          <w:szCs w:val="22"/>
        </w:rPr>
        <w:t xml:space="preserve">The following is the composition of the </w:t>
      </w:r>
      <w:r w:rsidR="005F6B2B" w:rsidRPr="008520B1">
        <w:rPr>
          <w:sz w:val="22"/>
          <w:szCs w:val="22"/>
        </w:rPr>
        <w:t xml:space="preserve">PAHO </w:t>
      </w:r>
      <w:r w:rsidRPr="008520B1">
        <w:rPr>
          <w:sz w:val="22"/>
          <w:szCs w:val="22"/>
        </w:rPr>
        <w:t>sample of</w:t>
      </w:r>
      <w:r w:rsidR="005F6B2B" w:rsidRPr="008520B1">
        <w:rPr>
          <w:sz w:val="22"/>
          <w:szCs w:val="22"/>
        </w:rPr>
        <w:t xml:space="preserve"> key </w:t>
      </w:r>
      <w:r w:rsidRPr="008520B1">
        <w:rPr>
          <w:sz w:val="22"/>
          <w:szCs w:val="22"/>
        </w:rPr>
        <w:t xml:space="preserve"> documents produced and or published during 2007</w:t>
      </w:r>
      <w:r w:rsidR="005F6B2B" w:rsidRPr="008520B1">
        <w:rPr>
          <w:sz w:val="22"/>
          <w:szCs w:val="22"/>
        </w:rPr>
        <w:t>.</w:t>
      </w:r>
      <w:r w:rsidRPr="008520B1">
        <w:rPr>
          <w:sz w:val="22"/>
          <w:szCs w:val="22"/>
        </w:rPr>
        <w:t xml:space="preserve"> It is constituted by one documen</w:t>
      </w:r>
      <w:r w:rsidR="00452523" w:rsidRPr="008520B1">
        <w:rPr>
          <w:sz w:val="22"/>
          <w:szCs w:val="22"/>
        </w:rPr>
        <w:t>t (single or set of documents) fo</w:t>
      </w:r>
      <w:r w:rsidRPr="008520B1">
        <w:rPr>
          <w:sz w:val="22"/>
          <w:szCs w:val="22"/>
        </w:rPr>
        <w:t xml:space="preserve">r each of </w:t>
      </w:r>
      <w:r w:rsidR="00452523" w:rsidRPr="008520B1">
        <w:rPr>
          <w:sz w:val="22"/>
          <w:szCs w:val="22"/>
        </w:rPr>
        <w:t xml:space="preserve">four categories: </w:t>
      </w:r>
    </w:p>
    <w:p w:rsidR="009571FA" w:rsidRPr="00F10089" w:rsidRDefault="009571FA" w:rsidP="005F6B2B">
      <w:pPr>
        <w:tabs>
          <w:tab w:val="left" w:pos="360"/>
          <w:tab w:val="left" w:pos="450"/>
        </w:tabs>
        <w:rPr>
          <w:sz w:val="12"/>
          <w:szCs w:val="22"/>
        </w:rPr>
      </w:pPr>
      <w:r w:rsidRPr="002465EE">
        <w:rPr>
          <w:sz w:val="22"/>
          <w:szCs w:val="22"/>
        </w:rPr>
        <w:t xml:space="preserve"> </w:t>
      </w:r>
    </w:p>
    <w:p w:rsidR="009571FA" w:rsidRDefault="00452523" w:rsidP="00F10089">
      <w:pPr>
        <w:ind w:left="216"/>
        <w:jc w:val="both"/>
        <w:rPr>
          <w:rFonts w:cs="Arial"/>
          <w:szCs w:val="20"/>
        </w:rPr>
      </w:pPr>
      <w:r w:rsidRPr="001E0EAA">
        <w:rPr>
          <w:rFonts w:cs="Arial"/>
          <w:b/>
          <w:i/>
          <w:sz w:val="22"/>
          <w:szCs w:val="20"/>
        </w:rPr>
        <w:t xml:space="preserve">Category </w:t>
      </w:r>
      <w:r w:rsidR="009571FA" w:rsidRPr="001E0EAA">
        <w:rPr>
          <w:rFonts w:cs="Arial"/>
          <w:b/>
          <w:i/>
          <w:sz w:val="22"/>
          <w:szCs w:val="20"/>
        </w:rPr>
        <w:t>1</w:t>
      </w:r>
      <w:r w:rsidR="00E8132A">
        <w:rPr>
          <w:rFonts w:cs="Arial"/>
          <w:b/>
          <w:i/>
          <w:sz w:val="22"/>
          <w:szCs w:val="20"/>
        </w:rPr>
        <w:t xml:space="preserve">. </w:t>
      </w:r>
      <w:r w:rsidR="009571FA" w:rsidRPr="00E8132A">
        <w:rPr>
          <w:rFonts w:cs="Arial"/>
          <w:sz w:val="22"/>
          <w:szCs w:val="20"/>
        </w:rPr>
        <w:t>Seminal institution-wide publication</w:t>
      </w:r>
      <w:r w:rsidR="00E8132A" w:rsidRPr="00E8132A">
        <w:rPr>
          <w:rFonts w:cs="Arial"/>
          <w:sz w:val="22"/>
          <w:szCs w:val="20"/>
        </w:rPr>
        <w:t>:</w:t>
      </w:r>
      <w:r w:rsidR="004A755E" w:rsidRPr="00E8132A">
        <w:rPr>
          <w:rFonts w:cs="Arial"/>
          <w:i/>
          <w:sz w:val="22"/>
          <w:szCs w:val="20"/>
        </w:rPr>
        <w:t xml:space="preserve"> </w:t>
      </w:r>
      <w:r w:rsidR="004A755E" w:rsidRPr="004A755E">
        <w:rPr>
          <w:rFonts w:cs="Arial"/>
          <w:i/>
          <w:sz w:val="22"/>
          <w:szCs w:val="20"/>
        </w:rPr>
        <w:t>H</w:t>
      </w:r>
      <w:r w:rsidR="009571FA" w:rsidRPr="00B04838">
        <w:rPr>
          <w:rFonts w:cs="Arial"/>
          <w:i/>
          <w:szCs w:val="20"/>
        </w:rPr>
        <w:t xml:space="preserve">ealth in the Americas 2007. </w:t>
      </w:r>
      <w:r w:rsidR="009571FA" w:rsidRPr="00B04838">
        <w:rPr>
          <w:rFonts w:cs="Arial"/>
          <w:szCs w:val="20"/>
        </w:rPr>
        <w:t>Scientific and Technical Publication No. 622. Washington DC, PAHO, 2007 (1172 pages</w:t>
      </w:r>
      <w:r w:rsidR="009571FA" w:rsidRPr="001E0EAA">
        <w:rPr>
          <w:rFonts w:cs="Arial"/>
          <w:szCs w:val="20"/>
        </w:rPr>
        <w:t>). Prepared by the Health Analysis and Statistics Unit (HA)</w:t>
      </w:r>
    </w:p>
    <w:p w:rsidR="00F10089" w:rsidRPr="00F10089" w:rsidRDefault="00F10089" w:rsidP="00F10089">
      <w:pPr>
        <w:ind w:left="216"/>
        <w:jc w:val="both"/>
        <w:rPr>
          <w:rFonts w:cs="Arial"/>
          <w:b/>
          <w:sz w:val="10"/>
          <w:szCs w:val="20"/>
        </w:rPr>
      </w:pPr>
    </w:p>
    <w:p w:rsidR="009571FA" w:rsidRPr="00793BF7" w:rsidRDefault="009571FA" w:rsidP="00581596">
      <w:pPr>
        <w:pStyle w:val="ListParagraph"/>
        <w:numPr>
          <w:ilvl w:val="0"/>
          <w:numId w:val="48"/>
        </w:numPr>
        <w:ind w:left="648"/>
        <w:jc w:val="both"/>
        <w:rPr>
          <w:rFonts w:cs="Arial"/>
          <w:szCs w:val="20"/>
        </w:rPr>
      </w:pPr>
      <w:r w:rsidRPr="00793BF7">
        <w:rPr>
          <w:rFonts w:cs="Arial"/>
          <w:szCs w:val="20"/>
        </w:rPr>
        <w:t>Volume I--Regional  (425 pages)--This volume was produced at the regional level.</w:t>
      </w:r>
    </w:p>
    <w:p w:rsidR="009571FA" w:rsidRPr="00793BF7" w:rsidRDefault="009571FA" w:rsidP="00581596">
      <w:pPr>
        <w:pStyle w:val="ListParagraph"/>
        <w:numPr>
          <w:ilvl w:val="0"/>
          <w:numId w:val="48"/>
        </w:numPr>
        <w:ind w:left="648"/>
        <w:jc w:val="both"/>
        <w:rPr>
          <w:rFonts w:cs="Arial"/>
          <w:szCs w:val="20"/>
        </w:rPr>
      </w:pPr>
      <w:r w:rsidRPr="00793BF7">
        <w:rPr>
          <w:rFonts w:cs="Arial"/>
          <w:szCs w:val="20"/>
        </w:rPr>
        <w:t>Volume II—Countries (747 pages).-- This volume was the joint product of regional and country offices.</w:t>
      </w:r>
    </w:p>
    <w:p w:rsidR="009571FA" w:rsidRPr="001E0EAA" w:rsidRDefault="009571FA" w:rsidP="00F10089">
      <w:pPr>
        <w:ind w:left="216"/>
        <w:jc w:val="both"/>
        <w:rPr>
          <w:rFonts w:cs="Arial"/>
          <w:b/>
          <w:sz w:val="8"/>
          <w:szCs w:val="20"/>
        </w:rPr>
      </w:pPr>
    </w:p>
    <w:p w:rsidR="009571FA" w:rsidRPr="001E0EAA" w:rsidRDefault="00452523" w:rsidP="00F10089">
      <w:pPr>
        <w:ind w:left="216"/>
        <w:jc w:val="both"/>
        <w:rPr>
          <w:rFonts w:cs="Arial"/>
          <w:szCs w:val="20"/>
        </w:rPr>
      </w:pPr>
      <w:r w:rsidRPr="001E0EAA">
        <w:rPr>
          <w:rFonts w:cs="Arial"/>
          <w:b/>
          <w:i/>
          <w:sz w:val="22"/>
          <w:szCs w:val="20"/>
        </w:rPr>
        <w:t xml:space="preserve">Category </w:t>
      </w:r>
      <w:r w:rsidR="00E8132A">
        <w:rPr>
          <w:rFonts w:cs="Arial"/>
          <w:b/>
          <w:i/>
          <w:sz w:val="22"/>
          <w:szCs w:val="20"/>
        </w:rPr>
        <w:t>2.</w:t>
      </w:r>
      <w:r w:rsidR="009571FA" w:rsidRPr="001E0EAA">
        <w:rPr>
          <w:rFonts w:cs="Arial"/>
          <w:b/>
          <w:i/>
          <w:sz w:val="22"/>
          <w:szCs w:val="20"/>
        </w:rPr>
        <w:t xml:space="preserve"> </w:t>
      </w:r>
      <w:r w:rsidR="009571FA" w:rsidRPr="00E8132A">
        <w:rPr>
          <w:rFonts w:cs="Arial"/>
          <w:sz w:val="22"/>
          <w:szCs w:val="20"/>
        </w:rPr>
        <w:t>Policy/ Governing Bodies document</w:t>
      </w:r>
      <w:r w:rsidR="004A755E" w:rsidRPr="00E8132A">
        <w:rPr>
          <w:rFonts w:cs="Arial"/>
          <w:sz w:val="22"/>
          <w:szCs w:val="20"/>
        </w:rPr>
        <w:t>:</w:t>
      </w:r>
      <w:r w:rsidR="004A755E">
        <w:rPr>
          <w:rFonts w:cs="Arial"/>
          <w:b/>
          <w:sz w:val="22"/>
          <w:szCs w:val="20"/>
        </w:rPr>
        <w:t xml:space="preserve"> </w:t>
      </w:r>
      <w:r w:rsidR="009571FA" w:rsidRPr="00B04838">
        <w:rPr>
          <w:rFonts w:cs="Arial"/>
          <w:i/>
          <w:szCs w:val="20"/>
        </w:rPr>
        <w:t>Renewing Primary Health Care in the Americas. A Position Paper of the Pan American Health Organization/ World Health Organization (PAHO/WHO),</w:t>
      </w:r>
      <w:r w:rsidR="009571FA" w:rsidRPr="00B04838">
        <w:rPr>
          <w:rFonts w:cs="Arial"/>
          <w:szCs w:val="20"/>
        </w:rPr>
        <w:t xml:space="preserve"> Washington DC, PAHO, 2007 (48 pages). </w:t>
      </w:r>
      <w:r w:rsidR="009571FA" w:rsidRPr="001E0EAA">
        <w:rPr>
          <w:rFonts w:cs="Arial"/>
          <w:szCs w:val="20"/>
        </w:rPr>
        <w:t>Prepared by the Health Services Organization  Unit (OS).</w:t>
      </w:r>
    </w:p>
    <w:p w:rsidR="009571FA" w:rsidRPr="001E0EAA" w:rsidRDefault="009571FA" w:rsidP="00F10089">
      <w:pPr>
        <w:ind w:left="720"/>
        <w:rPr>
          <w:rFonts w:cs="Arial"/>
          <w:sz w:val="22"/>
          <w:szCs w:val="20"/>
        </w:rPr>
      </w:pPr>
    </w:p>
    <w:p w:rsidR="009571FA" w:rsidRPr="004801C2" w:rsidRDefault="00452523" w:rsidP="00F10089">
      <w:pPr>
        <w:ind w:left="216"/>
        <w:rPr>
          <w:rFonts w:cs="Arial"/>
          <w:b/>
          <w:szCs w:val="20"/>
        </w:rPr>
      </w:pPr>
      <w:r w:rsidRPr="001E0EAA">
        <w:rPr>
          <w:rFonts w:cs="Arial"/>
          <w:b/>
          <w:i/>
          <w:sz w:val="22"/>
          <w:szCs w:val="20"/>
        </w:rPr>
        <w:t xml:space="preserve">Category </w:t>
      </w:r>
      <w:r w:rsidR="00E8132A">
        <w:rPr>
          <w:rFonts w:cs="Arial"/>
          <w:b/>
          <w:i/>
          <w:sz w:val="22"/>
          <w:szCs w:val="20"/>
        </w:rPr>
        <w:t>3.</w:t>
      </w:r>
      <w:r w:rsidR="009571FA" w:rsidRPr="001E0EAA">
        <w:rPr>
          <w:rFonts w:cs="Arial"/>
          <w:b/>
          <w:i/>
          <w:sz w:val="22"/>
          <w:szCs w:val="20"/>
        </w:rPr>
        <w:t xml:space="preserve"> </w:t>
      </w:r>
      <w:r w:rsidR="009571FA" w:rsidRPr="00E8132A">
        <w:rPr>
          <w:rFonts w:cs="Arial"/>
          <w:sz w:val="22"/>
          <w:szCs w:val="20"/>
        </w:rPr>
        <w:t>Evidence type publication</w:t>
      </w:r>
      <w:r w:rsidR="004A755E" w:rsidRPr="00E8132A">
        <w:rPr>
          <w:rFonts w:cs="Arial"/>
          <w:sz w:val="22"/>
          <w:szCs w:val="20"/>
        </w:rPr>
        <w:t>:</w:t>
      </w:r>
      <w:r w:rsidR="004A755E">
        <w:rPr>
          <w:rFonts w:cs="Arial"/>
          <w:b/>
          <w:sz w:val="22"/>
          <w:szCs w:val="20"/>
        </w:rPr>
        <w:t xml:space="preserve"> </w:t>
      </w:r>
      <w:r w:rsidR="009571FA" w:rsidRPr="00B04838">
        <w:rPr>
          <w:rFonts w:cs="Arial"/>
          <w:i/>
          <w:szCs w:val="20"/>
        </w:rPr>
        <w:t>Social Protection in Health Schemes for Mother, Newborn and Child Populations: Lessons Learned from the Latin American Region.</w:t>
      </w:r>
      <w:r w:rsidR="009571FA" w:rsidRPr="00B04838">
        <w:rPr>
          <w:rFonts w:cs="Arial"/>
          <w:szCs w:val="20"/>
        </w:rPr>
        <w:t xml:space="preserve"> Washington DC, PAHO, 2007 (60 page</w:t>
      </w:r>
      <w:r w:rsidR="009571FA" w:rsidRPr="00793BF7">
        <w:rPr>
          <w:rFonts w:cs="Arial"/>
          <w:szCs w:val="20"/>
        </w:rPr>
        <w:t>s). Prepared by the Health Policies &amp; Systems Unit (HP)</w:t>
      </w:r>
      <w:r w:rsidR="00A00817" w:rsidRPr="00793BF7">
        <w:rPr>
          <w:rFonts w:cs="Arial"/>
          <w:szCs w:val="20"/>
        </w:rPr>
        <w:t xml:space="preserve"> </w:t>
      </w:r>
      <w:hyperlink r:id="rId26" w:history="1">
        <w:r w:rsidR="009571FA" w:rsidRPr="004801C2">
          <w:rPr>
            <w:rStyle w:val="Hyperlink"/>
            <w:color w:val="auto"/>
          </w:rPr>
          <w:t>https://intranet.paho.org/DPM/SHD/HP/SHD_HP_Overview.asp</w:t>
        </w:r>
      </w:hyperlink>
      <w:r w:rsidR="009571FA" w:rsidRPr="004801C2">
        <w:rPr>
          <w:rFonts w:cs="Arial"/>
          <w:b/>
          <w:szCs w:val="20"/>
        </w:rPr>
        <w:t>.</w:t>
      </w:r>
    </w:p>
    <w:p w:rsidR="009571FA" w:rsidRPr="004801C2" w:rsidRDefault="009571FA" w:rsidP="00F10089">
      <w:pPr>
        <w:pStyle w:val="ListParagraph"/>
        <w:tabs>
          <w:tab w:val="left" w:pos="360"/>
        </w:tabs>
        <w:ind w:left="216"/>
        <w:rPr>
          <w:rFonts w:cs="Arial"/>
          <w:b/>
          <w:sz w:val="22"/>
          <w:szCs w:val="20"/>
        </w:rPr>
      </w:pPr>
    </w:p>
    <w:p w:rsidR="009571FA" w:rsidRDefault="00452523" w:rsidP="00F10089">
      <w:pPr>
        <w:tabs>
          <w:tab w:val="left" w:pos="360"/>
        </w:tabs>
        <w:ind w:left="216"/>
        <w:rPr>
          <w:rFonts w:cs="Arial"/>
          <w:szCs w:val="20"/>
        </w:rPr>
      </w:pPr>
      <w:r w:rsidRPr="00793BF7">
        <w:rPr>
          <w:rFonts w:cs="Arial"/>
          <w:b/>
          <w:i/>
          <w:sz w:val="22"/>
          <w:szCs w:val="20"/>
        </w:rPr>
        <w:t>Category 4</w:t>
      </w:r>
      <w:r w:rsidR="00E8132A">
        <w:rPr>
          <w:rFonts w:cs="Arial"/>
          <w:b/>
          <w:i/>
          <w:sz w:val="22"/>
          <w:szCs w:val="20"/>
        </w:rPr>
        <w:t>.</w:t>
      </w:r>
      <w:r w:rsidR="009571FA" w:rsidRPr="00793BF7">
        <w:rPr>
          <w:rFonts w:cs="Arial"/>
          <w:b/>
          <w:i/>
          <w:sz w:val="22"/>
          <w:szCs w:val="20"/>
        </w:rPr>
        <w:t xml:space="preserve"> </w:t>
      </w:r>
      <w:r w:rsidR="009571FA" w:rsidRPr="00E8132A">
        <w:rPr>
          <w:rFonts w:cs="Arial"/>
          <w:sz w:val="22"/>
          <w:szCs w:val="20"/>
        </w:rPr>
        <w:t>Tools/normative guidelines</w:t>
      </w:r>
      <w:r w:rsidR="004A755E" w:rsidRPr="00793BF7">
        <w:rPr>
          <w:rFonts w:cs="Arial"/>
          <w:b/>
          <w:i/>
          <w:sz w:val="22"/>
          <w:szCs w:val="20"/>
        </w:rPr>
        <w:t>:</w:t>
      </w:r>
      <w:r w:rsidR="004A755E">
        <w:rPr>
          <w:rFonts w:cs="Arial"/>
          <w:b/>
          <w:sz w:val="22"/>
          <w:szCs w:val="20"/>
        </w:rPr>
        <w:t xml:space="preserve"> </w:t>
      </w:r>
      <w:r w:rsidR="009571FA" w:rsidRPr="00B04838">
        <w:rPr>
          <w:rFonts w:cs="Arial"/>
          <w:szCs w:val="20"/>
        </w:rPr>
        <w:t xml:space="preserve">Guidelines for preparing and reviewing PAHO </w:t>
      </w:r>
      <w:r w:rsidR="009571FA" w:rsidRPr="00B04838">
        <w:rPr>
          <w:rFonts w:cs="Arial"/>
          <w:bCs/>
          <w:szCs w:val="20"/>
        </w:rPr>
        <w:t xml:space="preserve">Biennial Work Plans 2008-2009. </w:t>
      </w:r>
      <w:r w:rsidR="004A755E">
        <w:rPr>
          <w:rFonts w:cs="Arial"/>
          <w:bCs/>
          <w:szCs w:val="20"/>
        </w:rPr>
        <w:t xml:space="preserve">(Set of three documents). </w:t>
      </w:r>
      <w:r w:rsidR="009571FA" w:rsidRPr="00B04838">
        <w:rPr>
          <w:rFonts w:cs="Arial"/>
          <w:bCs/>
          <w:szCs w:val="20"/>
        </w:rPr>
        <w:t xml:space="preserve">November 2007 (27 pages). </w:t>
      </w:r>
      <w:r w:rsidR="009571FA" w:rsidRPr="00793BF7">
        <w:rPr>
          <w:rFonts w:cs="Arial"/>
          <w:bCs/>
          <w:szCs w:val="20"/>
        </w:rPr>
        <w:t xml:space="preserve">Prepared by the Office of Planning and Program Budget </w:t>
      </w:r>
      <w:r w:rsidR="009571FA" w:rsidRPr="00793BF7">
        <w:rPr>
          <w:rFonts w:cs="Arial"/>
          <w:szCs w:val="20"/>
        </w:rPr>
        <w:t>(PB)</w:t>
      </w:r>
      <w:r w:rsidR="00F10089">
        <w:rPr>
          <w:rFonts w:cs="Arial"/>
          <w:szCs w:val="20"/>
        </w:rPr>
        <w:t>.</w:t>
      </w:r>
    </w:p>
    <w:p w:rsidR="00F10089" w:rsidRPr="00F10089" w:rsidRDefault="00F10089" w:rsidP="00F10089">
      <w:pPr>
        <w:tabs>
          <w:tab w:val="left" w:pos="360"/>
        </w:tabs>
        <w:ind w:left="216"/>
        <w:rPr>
          <w:rFonts w:cs="Arial"/>
          <w:bCs/>
          <w:sz w:val="10"/>
          <w:szCs w:val="20"/>
        </w:rPr>
      </w:pPr>
    </w:p>
    <w:p w:rsidR="009571FA" w:rsidRPr="00B04838" w:rsidRDefault="009571FA" w:rsidP="00581596">
      <w:pPr>
        <w:pStyle w:val="ListParagraph"/>
        <w:numPr>
          <w:ilvl w:val="0"/>
          <w:numId w:val="12"/>
        </w:numPr>
        <w:ind w:left="576"/>
        <w:rPr>
          <w:rFonts w:cs="Arial"/>
          <w:bCs/>
          <w:szCs w:val="20"/>
        </w:rPr>
      </w:pPr>
      <w:r w:rsidRPr="00B04838">
        <w:rPr>
          <w:rFonts w:cs="Arial"/>
          <w:bCs/>
          <w:szCs w:val="20"/>
        </w:rPr>
        <w:t>Instructions for Preparing Biennial Work Plans 2008-2009. Washington DC, PAHO, November 2007</w:t>
      </w:r>
    </w:p>
    <w:p w:rsidR="009571FA" w:rsidRPr="00B04838" w:rsidRDefault="009571FA" w:rsidP="00581596">
      <w:pPr>
        <w:pStyle w:val="ListParagraph"/>
        <w:numPr>
          <w:ilvl w:val="0"/>
          <w:numId w:val="12"/>
        </w:numPr>
        <w:ind w:left="576"/>
        <w:rPr>
          <w:rFonts w:cs="Arial"/>
          <w:bCs/>
          <w:szCs w:val="20"/>
        </w:rPr>
      </w:pPr>
      <w:r w:rsidRPr="00B04838">
        <w:rPr>
          <w:rFonts w:cs="Arial"/>
          <w:bCs/>
          <w:szCs w:val="20"/>
        </w:rPr>
        <w:t>I</w:t>
      </w:r>
      <w:r w:rsidRPr="00B04838">
        <w:rPr>
          <w:rFonts w:cs="Arial"/>
          <w:szCs w:val="20"/>
        </w:rPr>
        <w:t>nternal Peer Review Guidelines 08-09 Biennial Work Plans: HQ and Centers BWPs. Washington DC, PAHO, November 2007</w:t>
      </w:r>
    </w:p>
    <w:p w:rsidR="009571FA" w:rsidRPr="00B04838" w:rsidRDefault="009571FA" w:rsidP="00581596">
      <w:pPr>
        <w:pStyle w:val="ListParagraph"/>
        <w:numPr>
          <w:ilvl w:val="0"/>
          <w:numId w:val="12"/>
        </w:numPr>
        <w:ind w:left="576"/>
        <w:rPr>
          <w:rFonts w:cs="Arial"/>
          <w:bCs/>
          <w:szCs w:val="20"/>
        </w:rPr>
      </w:pPr>
      <w:r w:rsidRPr="00B04838">
        <w:rPr>
          <w:rFonts w:cs="Arial"/>
          <w:szCs w:val="20"/>
        </w:rPr>
        <w:t>Internal Peer Review Guidelines 08-09 Biennial Work Plans: Country Office BWPs”.  Washington DC, PAHO, November 2007</w:t>
      </w:r>
    </w:p>
    <w:p w:rsidR="009571FA" w:rsidRPr="00ED7A14" w:rsidRDefault="009571FA" w:rsidP="005F6B2B">
      <w:pPr>
        <w:pStyle w:val="ListParagraph"/>
        <w:ind w:left="360"/>
        <w:jc w:val="both"/>
        <w:rPr>
          <w:rFonts w:cs="Arial"/>
          <w:sz w:val="22"/>
          <w:szCs w:val="20"/>
        </w:rPr>
      </w:pPr>
    </w:p>
    <w:p w:rsidR="009571FA" w:rsidRPr="00ED7A14" w:rsidRDefault="009571FA" w:rsidP="005F6B2B">
      <w:pPr>
        <w:pStyle w:val="ListParagraph"/>
        <w:ind w:left="0"/>
        <w:rPr>
          <w:sz w:val="22"/>
          <w:szCs w:val="22"/>
        </w:rPr>
      </w:pPr>
      <w:r w:rsidRPr="00ED7A14">
        <w:rPr>
          <w:i/>
          <w:sz w:val="22"/>
          <w:szCs w:val="22"/>
        </w:rPr>
        <w:t xml:space="preserve"> </w:t>
      </w:r>
      <w:r w:rsidRPr="00ED7A14">
        <w:rPr>
          <w:sz w:val="22"/>
          <w:szCs w:val="22"/>
        </w:rPr>
        <w:t xml:space="preserve">All these documents, with the exception of Health in the Americas, Volume II, were originated at the Regional level (HQ and regional centers). Although a sample of </w:t>
      </w:r>
      <w:r w:rsidR="005F6B2B">
        <w:rPr>
          <w:sz w:val="22"/>
          <w:szCs w:val="22"/>
        </w:rPr>
        <w:t>four (or seven</w:t>
      </w:r>
      <w:r w:rsidR="003129FD">
        <w:rPr>
          <w:sz w:val="22"/>
          <w:szCs w:val="22"/>
        </w:rPr>
        <w:t>,</w:t>
      </w:r>
      <w:r w:rsidR="005F6B2B">
        <w:rPr>
          <w:sz w:val="22"/>
          <w:szCs w:val="22"/>
        </w:rPr>
        <w:t xml:space="preserve"> if </w:t>
      </w:r>
      <w:r w:rsidR="003129FD">
        <w:rPr>
          <w:sz w:val="22"/>
          <w:szCs w:val="22"/>
        </w:rPr>
        <w:t xml:space="preserve">volumes are </w:t>
      </w:r>
      <w:r w:rsidR="005F6B2B">
        <w:rPr>
          <w:sz w:val="22"/>
          <w:szCs w:val="22"/>
        </w:rPr>
        <w:t xml:space="preserve">considered separately) </w:t>
      </w:r>
      <w:r w:rsidRPr="00ED7A14">
        <w:rPr>
          <w:sz w:val="22"/>
          <w:szCs w:val="22"/>
        </w:rPr>
        <w:t xml:space="preserve">documents </w:t>
      </w:r>
      <w:r>
        <w:rPr>
          <w:sz w:val="22"/>
          <w:szCs w:val="22"/>
        </w:rPr>
        <w:t xml:space="preserve">is hardly </w:t>
      </w:r>
      <w:r w:rsidRPr="00ED7A14">
        <w:rPr>
          <w:sz w:val="22"/>
          <w:szCs w:val="22"/>
        </w:rPr>
        <w:t xml:space="preserve">representative of the considerable PAHO publishing production in 2007, one of these publications, </w:t>
      </w:r>
      <w:r w:rsidRPr="00ED7A14">
        <w:rPr>
          <w:i/>
          <w:sz w:val="22"/>
          <w:szCs w:val="22"/>
        </w:rPr>
        <w:t xml:space="preserve">Health in the Americas 2007, Volumes I and II, </w:t>
      </w:r>
      <w:r w:rsidRPr="00ED7A14">
        <w:rPr>
          <w:sz w:val="22"/>
          <w:szCs w:val="22"/>
        </w:rPr>
        <w:t xml:space="preserve">constitutes in itself a reflection of the Organization’s technical production during a five year-period. This publication is part of the series </w:t>
      </w:r>
      <w:r w:rsidRPr="00ED7A14">
        <w:rPr>
          <w:i/>
          <w:sz w:val="22"/>
          <w:szCs w:val="22"/>
        </w:rPr>
        <w:t xml:space="preserve">Health in the Americas </w:t>
      </w:r>
      <w:r w:rsidRPr="00ED7A14">
        <w:rPr>
          <w:sz w:val="22"/>
          <w:szCs w:val="22"/>
        </w:rPr>
        <w:t>reports</w:t>
      </w:r>
      <w:r w:rsidRPr="00ED7A14">
        <w:rPr>
          <w:i/>
          <w:sz w:val="22"/>
          <w:szCs w:val="22"/>
        </w:rPr>
        <w:t xml:space="preserve"> </w:t>
      </w:r>
      <w:r w:rsidRPr="00ED7A14">
        <w:rPr>
          <w:sz w:val="22"/>
          <w:szCs w:val="22"/>
        </w:rPr>
        <w:t>that represent the coordinated effort and product of all PAHO technical offices in HQ and the countries. As such, it received particular attention in this analysis.</w:t>
      </w:r>
    </w:p>
    <w:p w:rsidR="009571FA" w:rsidRPr="00714EE1" w:rsidRDefault="009571FA" w:rsidP="001452C5">
      <w:pPr>
        <w:pStyle w:val="ListParagraph"/>
        <w:ind w:left="360" w:right="180"/>
        <w:jc w:val="both"/>
        <w:rPr>
          <w:rFonts w:cs="Arial"/>
          <w:sz w:val="10"/>
          <w:szCs w:val="20"/>
        </w:rPr>
      </w:pPr>
    </w:p>
    <w:p w:rsidR="005F6B2B" w:rsidRDefault="005F6B2B" w:rsidP="001452C5">
      <w:pPr>
        <w:ind w:left="360"/>
        <w:rPr>
          <w:i/>
          <w:sz w:val="22"/>
          <w:szCs w:val="22"/>
        </w:rPr>
      </w:pPr>
    </w:p>
    <w:p w:rsidR="009571FA" w:rsidRPr="00FA5DC6" w:rsidRDefault="00C5205F" w:rsidP="00E8132A">
      <w:pPr>
        <w:rPr>
          <w:b/>
          <w:sz w:val="24"/>
          <w:szCs w:val="22"/>
        </w:rPr>
      </w:pPr>
      <w:r w:rsidRPr="00FA5DC6">
        <w:rPr>
          <w:b/>
          <w:sz w:val="24"/>
          <w:szCs w:val="22"/>
        </w:rPr>
        <w:t>3</w:t>
      </w:r>
      <w:r w:rsidR="00E8132A" w:rsidRPr="00FA5DC6">
        <w:rPr>
          <w:b/>
          <w:sz w:val="24"/>
          <w:szCs w:val="22"/>
        </w:rPr>
        <w:t xml:space="preserve">.  </w:t>
      </w:r>
      <w:r w:rsidR="00FA5DC6" w:rsidRPr="00FA5DC6">
        <w:rPr>
          <w:b/>
          <w:sz w:val="24"/>
          <w:szCs w:val="22"/>
        </w:rPr>
        <w:t>Characterization of d</w:t>
      </w:r>
      <w:r w:rsidR="008520B1" w:rsidRPr="00FA5DC6">
        <w:rPr>
          <w:b/>
          <w:sz w:val="24"/>
          <w:szCs w:val="22"/>
        </w:rPr>
        <w:t>ocument</w:t>
      </w:r>
      <w:r w:rsidR="00FA5DC6" w:rsidRPr="00FA5DC6">
        <w:rPr>
          <w:b/>
          <w:sz w:val="24"/>
          <w:szCs w:val="22"/>
        </w:rPr>
        <w:t>s</w:t>
      </w:r>
      <w:r w:rsidR="008520B1" w:rsidRPr="00FA5DC6">
        <w:rPr>
          <w:b/>
          <w:sz w:val="24"/>
          <w:szCs w:val="22"/>
        </w:rPr>
        <w:t xml:space="preserve"> in terms of g</w:t>
      </w:r>
      <w:r w:rsidR="009571FA" w:rsidRPr="00FA5DC6">
        <w:rPr>
          <w:b/>
          <w:sz w:val="24"/>
          <w:szCs w:val="22"/>
        </w:rPr>
        <w:t xml:space="preserve">ender </w:t>
      </w:r>
      <w:r w:rsidR="008520B1" w:rsidRPr="00FA5DC6">
        <w:rPr>
          <w:b/>
          <w:sz w:val="24"/>
          <w:szCs w:val="22"/>
        </w:rPr>
        <w:t>i</w:t>
      </w:r>
      <w:r w:rsidR="009571FA" w:rsidRPr="00FA5DC6">
        <w:rPr>
          <w:b/>
          <w:sz w:val="24"/>
          <w:szCs w:val="22"/>
        </w:rPr>
        <w:t>ntegrati</w:t>
      </w:r>
      <w:r w:rsidR="00E8132A" w:rsidRPr="00FA5DC6">
        <w:rPr>
          <w:b/>
          <w:sz w:val="24"/>
          <w:szCs w:val="22"/>
        </w:rPr>
        <w:t xml:space="preserve">on </w:t>
      </w:r>
      <w:r w:rsidR="008520B1" w:rsidRPr="00FA5DC6">
        <w:rPr>
          <w:b/>
          <w:sz w:val="24"/>
          <w:szCs w:val="22"/>
        </w:rPr>
        <w:t xml:space="preserve">criteria </w:t>
      </w:r>
      <w:r w:rsidR="009571FA" w:rsidRPr="00FA5DC6">
        <w:rPr>
          <w:b/>
          <w:sz w:val="24"/>
          <w:szCs w:val="22"/>
        </w:rPr>
        <w:t xml:space="preserve"> </w:t>
      </w:r>
    </w:p>
    <w:p w:rsidR="009571FA" w:rsidRPr="00FA5DC6" w:rsidRDefault="009571FA" w:rsidP="00D2352E">
      <w:pPr>
        <w:ind w:left="810"/>
        <w:rPr>
          <w:b/>
          <w:sz w:val="12"/>
          <w:szCs w:val="22"/>
        </w:rPr>
      </w:pPr>
    </w:p>
    <w:p w:rsidR="009571FA" w:rsidRPr="000A26F2" w:rsidRDefault="009571FA" w:rsidP="001452C5">
      <w:pPr>
        <w:rPr>
          <w:rFonts w:cs="Arial"/>
          <w:bCs/>
          <w:color w:val="000000"/>
          <w:sz w:val="22"/>
          <w:szCs w:val="22"/>
        </w:rPr>
      </w:pPr>
      <w:r w:rsidRPr="000A26F2">
        <w:rPr>
          <w:rFonts w:cs="Arial"/>
          <w:bCs/>
          <w:color w:val="000000"/>
          <w:sz w:val="22"/>
          <w:szCs w:val="22"/>
        </w:rPr>
        <w:t>Th</w:t>
      </w:r>
      <w:r>
        <w:rPr>
          <w:rFonts w:cs="Arial"/>
          <w:bCs/>
          <w:color w:val="000000"/>
          <w:sz w:val="22"/>
          <w:szCs w:val="22"/>
        </w:rPr>
        <w:t xml:space="preserve">e following </w:t>
      </w:r>
      <w:r w:rsidRPr="000A26F2">
        <w:rPr>
          <w:rFonts w:cs="Arial"/>
          <w:bCs/>
          <w:color w:val="000000"/>
          <w:sz w:val="22"/>
          <w:szCs w:val="22"/>
        </w:rPr>
        <w:t>section presents the results of the various content analysis criteria applied to the sampled publications. The discussion is organized by document, and within each document, by criteria regarding the presence of gender considerations in its content</w:t>
      </w:r>
      <w:r w:rsidR="00C028D4">
        <w:rPr>
          <w:rFonts w:cs="Arial"/>
          <w:bCs/>
          <w:color w:val="000000"/>
          <w:sz w:val="22"/>
          <w:szCs w:val="22"/>
        </w:rPr>
        <w:t>s</w:t>
      </w:r>
      <w:r w:rsidRPr="000A26F2">
        <w:rPr>
          <w:rFonts w:cs="Arial"/>
          <w:bCs/>
          <w:color w:val="000000"/>
          <w:sz w:val="22"/>
          <w:szCs w:val="22"/>
        </w:rPr>
        <w:t>.  (See Word Search and Content Analysis Tables in Appendix 5).</w:t>
      </w:r>
    </w:p>
    <w:p w:rsidR="00DD0211" w:rsidRDefault="009571FA" w:rsidP="001452C5">
      <w:pPr>
        <w:pStyle w:val="ListParagraph"/>
        <w:ind w:left="0" w:right="720"/>
        <w:rPr>
          <w:b/>
          <w:sz w:val="28"/>
          <w:szCs w:val="22"/>
          <w:shd w:val="clear" w:color="auto" w:fill="C6D9F1"/>
        </w:rPr>
      </w:pPr>
      <w:r w:rsidRPr="00DD0211">
        <w:rPr>
          <w:b/>
          <w:sz w:val="2"/>
          <w:szCs w:val="22"/>
        </w:rPr>
        <w:t xml:space="preserve">   </w:t>
      </w:r>
      <w:r w:rsidRPr="00CA04DF">
        <w:rPr>
          <w:b/>
          <w:sz w:val="14"/>
          <w:szCs w:val="22"/>
        </w:rPr>
        <w:t xml:space="preserve">     </w:t>
      </w:r>
      <w:r w:rsidRPr="000A26F2">
        <w:rPr>
          <w:b/>
          <w:sz w:val="28"/>
          <w:szCs w:val="22"/>
        </w:rPr>
        <w:t xml:space="preserve">  </w:t>
      </w:r>
    </w:p>
    <w:p w:rsidR="009571FA" w:rsidRPr="00DD0211" w:rsidRDefault="00C5205F" w:rsidP="001452C5">
      <w:pPr>
        <w:pStyle w:val="ListParagraph"/>
        <w:ind w:left="0" w:right="720"/>
        <w:rPr>
          <w:b/>
          <w:sz w:val="28"/>
          <w:szCs w:val="22"/>
          <w:shd w:val="clear" w:color="auto" w:fill="C6D9F1"/>
        </w:rPr>
      </w:pPr>
      <w:r>
        <w:rPr>
          <w:rFonts w:cs="Arial"/>
          <w:sz w:val="22"/>
          <w:szCs w:val="22"/>
        </w:rPr>
        <w:t>3.</w:t>
      </w:r>
      <w:r w:rsidR="009571FA">
        <w:rPr>
          <w:rFonts w:cs="Arial"/>
          <w:b/>
          <w:sz w:val="22"/>
          <w:szCs w:val="22"/>
        </w:rPr>
        <w:t xml:space="preserve">1. </w:t>
      </w:r>
      <w:r w:rsidR="009571FA" w:rsidRPr="006A3994">
        <w:rPr>
          <w:rStyle w:val="Heading2Char"/>
          <w:rFonts w:ascii="Arial" w:hAnsi="Arial" w:cs="Arial"/>
          <w:color w:val="auto"/>
          <w:sz w:val="22"/>
          <w:szCs w:val="22"/>
        </w:rPr>
        <w:t xml:space="preserve">Seminal Institution-Wide </w:t>
      </w:r>
      <w:r w:rsidR="00C028D4">
        <w:rPr>
          <w:rStyle w:val="Heading2Char"/>
          <w:rFonts w:ascii="Arial" w:hAnsi="Arial" w:cs="Arial"/>
          <w:color w:val="auto"/>
          <w:sz w:val="22"/>
          <w:szCs w:val="22"/>
        </w:rPr>
        <w:t xml:space="preserve">(Flagship) </w:t>
      </w:r>
      <w:r w:rsidR="009571FA" w:rsidRPr="006A3994">
        <w:rPr>
          <w:rStyle w:val="Heading2Char"/>
          <w:rFonts w:ascii="Arial" w:hAnsi="Arial" w:cs="Arial"/>
          <w:color w:val="auto"/>
          <w:sz w:val="22"/>
          <w:szCs w:val="22"/>
        </w:rPr>
        <w:t>Publication</w:t>
      </w:r>
    </w:p>
    <w:p w:rsidR="009571FA" w:rsidRPr="00FA5DC6" w:rsidRDefault="009571FA" w:rsidP="001452C5">
      <w:pPr>
        <w:pStyle w:val="ListParagraph"/>
        <w:tabs>
          <w:tab w:val="left" w:pos="8820"/>
          <w:tab w:val="left" w:pos="8910"/>
          <w:tab w:val="left" w:pos="9180"/>
          <w:tab w:val="left" w:pos="9360"/>
        </w:tabs>
        <w:ind w:right="720"/>
        <w:rPr>
          <w:b/>
          <w:i/>
          <w:sz w:val="6"/>
          <w:szCs w:val="22"/>
        </w:rPr>
      </w:pPr>
    </w:p>
    <w:p w:rsidR="009571FA" w:rsidRPr="00E8132A" w:rsidRDefault="009571FA" w:rsidP="001452C5">
      <w:pPr>
        <w:pStyle w:val="ListParagraph"/>
        <w:tabs>
          <w:tab w:val="left" w:pos="8820"/>
          <w:tab w:val="left" w:pos="8910"/>
          <w:tab w:val="left" w:pos="9180"/>
          <w:tab w:val="left" w:pos="9360"/>
        </w:tabs>
        <w:ind w:right="720"/>
        <w:rPr>
          <w:color w:val="1F497D"/>
          <w:sz w:val="22"/>
          <w:szCs w:val="22"/>
        </w:rPr>
      </w:pPr>
      <w:r w:rsidRPr="00E8132A">
        <w:rPr>
          <w:b/>
          <w:i/>
          <w:color w:val="1F497D"/>
          <w:sz w:val="22"/>
          <w:szCs w:val="22"/>
        </w:rPr>
        <w:t>Health in the Americas 2007</w:t>
      </w:r>
      <w:r w:rsidRPr="00E8132A">
        <w:rPr>
          <w:i/>
          <w:color w:val="1F497D"/>
          <w:sz w:val="22"/>
          <w:szCs w:val="22"/>
        </w:rPr>
        <w:t xml:space="preserve">. </w:t>
      </w:r>
      <w:r w:rsidRPr="00E8132A">
        <w:rPr>
          <w:color w:val="1F497D"/>
          <w:sz w:val="22"/>
          <w:szCs w:val="22"/>
        </w:rPr>
        <w:t>Scientific and Technical Publication No. 622</w:t>
      </w:r>
      <w:r w:rsidRPr="00E8132A">
        <w:rPr>
          <w:i/>
          <w:color w:val="1F497D"/>
          <w:sz w:val="22"/>
          <w:szCs w:val="22"/>
        </w:rPr>
        <w:t>.</w:t>
      </w:r>
      <w:r w:rsidRPr="00E8132A">
        <w:rPr>
          <w:color w:val="1F497D"/>
          <w:sz w:val="22"/>
          <w:szCs w:val="22"/>
        </w:rPr>
        <w:t xml:space="preserve"> Volumes I and II.  Washington DC, PAHO, 2007 (1172  pages). Prepared by the Unit of Health Analysis and Statistics (HA)</w:t>
      </w:r>
    </w:p>
    <w:p w:rsidR="009571FA" w:rsidRPr="00FA5DC6" w:rsidRDefault="009571FA" w:rsidP="007B5A2C">
      <w:pPr>
        <w:ind w:left="1080" w:right="720"/>
        <w:rPr>
          <w:sz w:val="14"/>
          <w:szCs w:val="22"/>
        </w:rPr>
      </w:pPr>
    </w:p>
    <w:p w:rsidR="009571FA" w:rsidRPr="00C5205F" w:rsidRDefault="009571FA" w:rsidP="00C5205F">
      <w:pPr>
        <w:ind w:right="-90"/>
        <w:rPr>
          <w:sz w:val="22"/>
          <w:szCs w:val="22"/>
        </w:rPr>
      </w:pPr>
      <w:r w:rsidRPr="00C5205F">
        <w:rPr>
          <w:sz w:val="22"/>
          <w:szCs w:val="22"/>
        </w:rPr>
        <w:t xml:space="preserve">This PAHO’s most important official publication is the latest in the series of five-year reports that offer an updated, comprehensive presentation of the health situation throughout the Americas, generally and specifically in their 46 countries and territories. It describes and analyzes the progress, constraints, and challenges of PAHO Member States in their efforts to improve the health of the peoples of the Region. This publication was directed and coordinated by </w:t>
      </w:r>
      <w:r w:rsidRPr="003129FD">
        <w:rPr>
          <w:i/>
          <w:sz w:val="22"/>
          <w:szCs w:val="22"/>
        </w:rPr>
        <w:t>the Health Analysis and Statistics Unit</w:t>
      </w:r>
      <w:r w:rsidRPr="00C5205F">
        <w:rPr>
          <w:sz w:val="22"/>
          <w:szCs w:val="22"/>
        </w:rPr>
        <w:t xml:space="preserve"> but involved the participation of each and all technical offices in HQ and the countries. Because of the wide organizational range of its contributions, it constitutes in itself a mini sample of PAHO’s technical production during the period. It is important to note that the Gender Unit had a steady role in the preparation and development of this publication, through participation in its steering and review committees. </w:t>
      </w:r>
    </w:p>
    <w:p w:rsidR="002A3BC0" w:rsidRDefault="002A3BC0" w:rsidP="00C5205F">
      <w:pPr>
        <w:ind w:right="720"/>
        <w:rPr>
          <w:szCs w:val="22"/>
        </w:rPr>
      </w:pPr>
    </w:p>
    <w:p w:rsidR="009571FA" w:rsidRPr="000A26F2" w:rsidRDefault="009571FA" w:rsidP="004426EF">
      <w:pPr>
        <w:ind w:right="720"/>
        <w:rPr>
          <w:sz w:val="22"/>
          <w:szCs w:val="22"/>
        </w:rPr>
      </w:pPr>
      <w:r>
        <w:rPr>
          <w:b/>
          <w:i/>
          <w:sz w:val="22"/>
          <w:szCs w:val="22"/>
        </w:rPr>
        <w:t xml:space="preserve"> </w:t>
      </w:r>
      <w:r w:rsidR="002A3BC0" w:rsidRPr="004426EF">
        <w:rPr>
          <w:b/>
          <w:i/>
          <w:sz w:val="22"/>
          <w:szCs w:val="22"/>
          <w:u w:val="single"/>
        </w:rPr>
        <w:t>Volume I:</w:t>
      </w:r>
      <w:r w:rsidR="002A3BC0" w:rsidRPr="004426EF">
        <w:rPr>
          <w:sz w:val="22"/>
          <w:szCs w:val="22"/>
          <w:u w:val="single"/>
        </w:rPr>
        <w:t xml:space="preserve"> </w:t>
      </w:r>
      <w:r w:rsidR="002A3BC0" w:rsidRPr="004426EF">
        <w:rPr>
          <w:b/>
          <w:i/>
          <w:sz w:val="22"/>
          <w:szCs w:val="22"/>
          <w:u w:val="single"/>
        </w:rPr>
        <w:t>Regional</w:t>
      </w:r>
      <w:r w:rsidR="002A3BC0">
        <w:rPr>
          <w:sz w:val="22"/>
          <w:szCs w:val="22"/>
        </w:rPr>
        <w:t xml:space="preserve">. </w:t>
      </w:r>
      <w:r w:rsidRPr="004426EF">
        <w:rPr>
          <w:b/>
          <w:i/>
          <w:sz w:val="22"/>
          <w:szCs w:val="22"/>
          <w:u w:val="single"/>
        </w:rPr>
        <w:t>Health in the Americas 2007</w:t>
      </w:r>
      <w:r w:rsidRPr="004426EF">
        <w:rPr>
          <w:i/>
          <w:sz w:val="22"/>
          <w:szCs w:val="22"/>
          <w:u w:val="single"/>
        </w:rPr>
        <w:t xml:space="preserve">. </w:t>
      </w:r>
      <w:r w:rsidRPr="004426EF">
        <w:rPr>
          <w:sz w:val="22"/>
          <w:szCs w:val="22"/>
          <w:u w:val="single"/>
        </w:rPr>
        <w:t xml:space="preserve"> </w:t>
      </w:r>
      <w:r w:rsidRPr="000A26F2">
        <w:rPr>
          <w:sz w:val="22"/>
          <w:szCs w:val="22"/>
        </w:rPr>
        <w:t>(425 pages)</w:t>
      </w:r>
    </w:p>
    <w:p w:rsidR="009571FA" w:rsidRPr="000A26F2" w:rsidRDefault="009571FA" w:rsidP="00940E43">
      <w:pPr>
        <w:ind w:right="-180"/>
        <w:rPr>
          <w:sz w:val="22"/>
          <w:szCs w:val="22"/>
        </w:rPr>
      </w:pPr>
      <w:r w:rsidRPr="000A26F2">
        <w:rPr>
          <w:sz w:val="22"/>
          <w:szCs w:val="22"/>
        </w:rPr>
        <w:t xml:space="preserve"> </w:t>
      </w:r>
    </w:p>
    <w:p w:rsidR="009571FA" w:rsidRDefault="009571FA" w:rsidP="00940E43">
      <w:pPr>
        <w:ind w:right="-180"/>
        <w:rPr>
          <w:b/>
          <w:i/>
          <w:sz w:val="22"/>
          <w:szCs w:val="22"/>
        </w:rPr>
      </w:pPr>
      <w:r w:rsidRPr="0016346E">
        <w:rPr>
          <w:i/>
          <w:sz w:val="22"/>
          <w:szCs w:val="22"/>
        </w:rPr>
        <w:t>Health in the Americas, Volume 1</w:t>
      </w:r>
      <w:r w:rsidRPr="000A26F2">
        <w:rPr>
          <w:sz w:val="22"/>
          <w:szCs w:val="22"/>
        </w:rPr>
        <w:t xml:space="preserve"> </w:t>
      </w:r>
      <w:r>
        <w:rPr>
          <w:sz w:val="22"/>
          <w:szCs w:val="22"/>
        </w:rPr>
        <w:t xml:space="preserve">(HA I) </w:t>
      </w:r>
      <w:r w:rsidRPr="000A26F2">
        <w:rPr>
          <w:sz w:val="22"/>
          <w:szCs w:val="22"/>
        </w:rPr>
        <w:t xml:space="preserve">contains a </w:t>
      </w:r>
      <w:r w:rsidRPr="000A26F2">
        <w:rPr>
          <w:b/>
          <w:sz w:val="22"/>
          <w:szCs w:val="22"/>
        </w:rPr>
        <w:t xml:space="preserve">Preface </w:t>
      </w:r>
      <w:r w:rsidRPr="000A26F2">
        <w:rPr>
          <w:sz w:val="22"/>
          <w:szCs w:val="22"/>
        </w:rPr>
        <w:t>by the Director, a Regional Health</w:t>
      </w:r>
      <w:r w:rsidRPr="000A26F2">
        <w:rPr>
          <w:b/>
          <w:sz w:val="22"/>
          <w:szCs w:val="22"/>
        </w:rPr>
        <w:t xml:space="preserve"> Overview, </w:t>
      </w:r>
      <w:r w:rsidRPr="000A26F2">
        <w:rPr>
          <w:sz w:val="22"/>
          <w:szCs w:val="22"/>
        </w:rPr>
        <w:t xml:space="preserve">and six chapters </w:t>
      </w:r>
      <w:r w:rsidR="003129FD">
        <w:rPr>
          <w:sz w:val="22"/>
          <w:szCs w:val="22"/>
        </w:rPr>
        <w:t>that</w:t>
      </w:r>
      <w:r>
        <w:rPr>
          <w:sz w:val="22"/>
          <w:szCs w:val="22"/>
        </w:rPr>
        <w:t xml:space="preserve"> are </w:t>
      </w:r>
      <w:r w:rsidRPr="000A26F2">
        <w:rPr>
          <w:sz w:val="22"/>
          <w:szCs w:val="22"/>
        </w:rPr>
        <w:t xml:space="preserve">fairly representative of </w:t>
      </w:r>
      <w:r w:rsidR="003129FD">
        <w:rPr>
          <w:sz w:val="22"/>
          <w:szCs w:val="22"/>
        </w:rPr>
        <w:t xml:space="preserve">PAHO’s </w:t>
      </w:r>
      <w:r w:rsidRPr="000A26F2">
        <w:rPr>
          <w:sz w:val="22"/>
          <w:szCs w:val="22"/>
        </w:rPr>
        <w:t>major technical areas of work</w:t>
      </w:r>
      <w:r w:rsidR="00940E43">
        <w:rPr>
          <w:sz w:val="22"/>
          <w:szCs w:val="22"/>
        </w:rPr>
        <w:t xml:space="preserve">: </w:t>
      </w:r>
      <w:r w:rsidRPr="000A26F2">
        <w:rPr>
          <w:sz w:val="22"/>
          <w:szCs w:val="22"/>
        </w:rPr>
        <w:t xml:space="preserve"> </w:t>
      </w:r>
      <w:r w:rsidRPr="000A26F2">
        <w:rPr>
          <w:i/>
          <w:sz w:val="22"/>
          <w:szCs w:val="22"/>
        </w:rPr>
        <w:t xml:space="preserve">Chapter </w:t>
      </w:r>
      <w:r w:rsidRPr="000A26F2">
        <w:rPr>
          <w:b/>
          <w:i/>
          <w:sz w:val="22"/>
          <w:szCs w:val="22"/>
        </w:rPr>
        <w:t>1</w:t>
      </w:r>
      <w:r w:rsidRPr="000A26F2">
        <w:rPr>
          <w:sz w:val="22"/>
          <w:szCs w:val="22"/>
        </w:rPr>
        <w:t xml:space="preserve">: </w:t>
      </w:r>
      <w:r>
        <w:rPr>
          <w:sz w:val="22"/>
          <w:szCs w:val="22"/>
        </w:rPr>
        <w:t xml:space="preserve">Health in the context of development; </w:t>
      </w:r>
      <w:r w:rsidRPr="000A26F2">
        <w:rPr>
          <w:i/>
          <w:sz w:val="22"/>
          <w:szCs w:val="22"/>
        </w:rPr>
        <w:t>Chapter</w:t>
      </w:r>
      <w:r w:rsidR="00940E43">
        <w:rPr>
          <w:i/>
          <w:sz w:val="22"/>
          <w:szCs w:val="22"/>
        </w:rPr>
        <w:t xml:space="preserve"> </w:t>
      </w:r>
      <w:r w:rsidRPr="000A26F2">
        <w:rPr>
          <w:i/>
          <w:sz w:val="22"/>
          <w:szCs w:val="22"/>
        </w:rPr>
        <w:t>2:</w:t>
      </w:r>
      <w:r w:rsidRPr="000A26F2">
        <w:rPr>
          <w:sz w:val="22"/>
          <w:szCs w:val="22"/>
        </w:rPr>
        <w:t xml:space="preserve"> Health conditions and trends;-- </w:t>
      </w:r>
      <w:r w:rsidRPr="000A26F2">
        <w:rPr>
          <w:i/>
          <w:sz w:val="22"/>
          <w:szCs w:val="22"/>
        </w:rPr>
        <w:t xml:space="preserve">Chapter </w:t>
      </w:r>
      <w:r w:rsidRPr="000A26F2">
        <w:rPr>
          <w:b/>
          <w:i/>
          <w:sz w:val="22"/>
          <w:szCs w:val="22"/>
        </w:rPr>
        <w:t>3</w:t>
      </w:r>
      <w:r w:rsidRPr="000A26F2">
        <w:rPr>
          <w:i/>
          <w:sz w:val="22"/>
          <w:szCs w:val="22"/>
        </w:rPr>
        <w:t>:</w:t>
      </w:r>
      <w:r w:rsidRPr="000A26F2">
        <w:rPr>
          <w:sz w:val="22"/>
          <w:szCs w:val="22"/>
        </w:rPr>
        <w:t xml:space="preserve"> Sustainable development and environmental health;-- </w:t>
      </w:r>
      <w:r w:rsidRPr="000A26F2">
        <w:rPr>
          <w:i/>
          <w:sz w:val="22"/>
          <w:szCs w:val="22"/>
        </w:rPr>
        <w:t>Chapter</w:t>
      </w:r>
      <w:r w:rsidRPr="000A26F2">
        <w:rPr>
          <w:b/>
          <w:i/>
          <w:sz w:val="22"/>
          <w:szCs w:val="22"/>
        </w:rPr>
        <w:t xml:space="preserve"> 4</w:t>
      </w:r>
      <w:r w:rsidRPr="000A26F2">
        <w:rPr>
          <w:i/>
          <w:sz w:val="22"/>
          <w:szCs w:val="22"/>
        </w:rPr>
        <w:t>:</w:t>
      </w:r>
      <w:r w:rsidRPr="000A26F2">
        <w:rPr>
          <w:sz w:val="22"/>
          <w:szCs w:val="22"/>
        </w:rPr>
        <w:t xml:space="preserve"> Public policies and health systems and services;-- </w:t>
      </w:r>
      <w:r w:rsidRPr="000A26F2">
        <w:rPr>
          <w:i/>
          <w:sz w:val="22"/>
          <w:szCs w:val="22"/>
        </w:rPr>
        <w:t xml:space="preserve">Chapter </w:t>
      </w:r>
      <w:r w:rsidRPr="000A26F2">
        <w:rPr>
          <w:b/>
          <w:i/>
          <w:sz w:val="22"/>
          <w:szCs w:val="22"/>
        </w:rPr>
        <w:t>5:</w:t>
      </w:r>
      <w:r w:rsidRPr="000A26F2">
        <w:rPr>
          <w:sz w:val="22"/>
          <w:szCs w:val="22"/>
        </w:rPr>
        <w:t xml:space="preserve"> Health and international cooperation--. </w:t>
      </w:r>
      <w:r w:rsidRPr="000A26F2">
        <w:rPr>
          <w:i/>
          <w:sz w:val="22"/>
          <w:szCs w:val="22"/>
        </w:rPr>
        <w:t xml:space="preserve">Chapter </w:t>
      </w:r>
      <w:r w:rsidRPr="000A26F2">
        <w:rPr>
          <w:b/>
          <w:i/>
          <w:sz w:val="22"/>
          <w:szCs w:val="22"/>
        </w:rPr>
        <w:t>6:</w:t>
      </w:r>
      <w:r>
        <w:rPr>
          <w:b/>
          <w:i/>
          <w:sz w:val="22"/>
          <w:szCs w:val="22"/>
        </w:rPr>
        <w:t xml:space="preserve"> </w:t>
      </w:r>
      <w:r w:rsidRPr="00ED7A14">
        <w:rPr>
          <w:sz w:val="22"/>
          <w:szCs w:val="22"/>
        </w:rPr>
        <w:t>Prospects for Regional health</w:t>
      </w:r>
      <w:r>
        <w:rPr>
          <w:b/>
          <w:i/>
          <w:sz w:val="22"/>
          <w:szCs w:val="22"/>
        </w:rPr>
        <w:t>.</w:t>
      </w:r>
    </w:p>
    <w:p w:rsidR="009571FA" w:rsidRDefault="009571FA" w:rsidP="001452C5">
      <w:pPr>
        <w:rPr>
          <w:b/>
          <w:i/>
          <w:sz w:val="22"/>
          <w:szCs w:val="22"/>
        </w:rPr>
      </w:pPr>
    </w:p>
    <w:p w:rsidR="009571FA" w:rsidRPr="00A5314F" w:rsidRDefault="009571FA" w:rsidP="001452C5">
      <w:pPr>
        <w:rPr>
          <w:sz w:val="22"/>
          <w:szCs w:val="22"/>
        </w:rPr>
      </w:pPr>
      <w:r w:rsidRPr="00A5314F">
        <w:rPr>
          <w:sz w:val="22"/>
          <w:szCs w:val="22"/>
        </w:rPr>
        <w:t xml:space="preserve">The content analysis criteria </w:t>
      </w:r>
      <w:r>
        <w:rPr>
          <w:sz w:val="22"/>
          <w:szCs w:val="22"/>
        </w:rPr>
        <w:t xml:space="preserve">(in bold italics) </w:t>
      </w:r>
      <w:r w:rsidRPr="00A5314F">
        <w:rPr>
          <w:sz w:val="22"/>
          <w:szCs w:val="22"/>
        </w:rPr>
        <w:t>yielded the fo</w:t>
      </w:r>
      <w:r>
        <w:rPr>
          <w:sz w:val="22"/>
          <w:szCs w:val="22"/>
        </w:rPr>
        <w:t>llowing characterization of this volume:</w:t>
      </w:r>
    </w:p>
    <w:p w:rsidR="009571FA" w:rsidRPr="00861B0E" w:rsidRDefault="009571FA" w:rsidP="00940E43">
      <w:pPr>
        <w:ind w:left="360" w:right="-180"/>
        <w:rPr>
          <w:sz w:val="14"/>
          <w:szCs w:val="22"/>
        </w:rPr>
      </w:pPr>
    </w:p>
    <w:p w:rsidR="009571FA" w:rsidRDefault="009571FA" w:rsidP="00940E43">
      <w:pPr>
        <w:ind w:right="-180"/>
        <w:rPr>
          <w:sz w:val="22"/>
          <w:szCs w:val="22"/>
        </w:rPr>
      </w:pPr>
      <w:r w:rsidRPr="004426EF">
        <w:rPr>
          <w:rFonts w:cs="Arial"/>
          <w:b/>
          <w:bCs/>
          <w:sz w:val="22"/>
          <w:szCs w:val="22"/>
        </w:rPr>
        <w:t>a.</w:t>
      </w:r>
      <w:r>
        <w:rPr>
          <w:rFonts w:cs="Arial"/>
          <w:b/>
          <w:bCs/>
          <w:sz w:val="22"/>
          <w:szCs w:val="22"/>
        </w:rPr>
        <w:t xml:space="preserve">  </w:t>
      </w:r>
      <w:r>
        <w:rPr>
          <w:rFonts w:cs="Arial"/>
          <w:bCs/>
          <w:sz w:val="22"/>
          <w:szCs w:val="22"/>
        </w:rPr>
        <w:t xml:space="preserve"> </w:t>
      </w:r>
      <w:r w:rsidR="0016346E">
        <w:rPr>
          <w:rFonts w:cs="Arial"/>
          <w:bCs/>
          <w:sz w:val="22"/>
          <w:szCs w:val="22"/>
        </w:rPr>
        <w:t xml:space="preserve">It </w:t>
      </w:r>
      <w:r w:rsidR="0016346E" w:rsidRPr="00567B82">
        <w:rPr>
          <w:rFonts w:cs="Arial"/>
          <w:bCs/>
          <w:sz w:val="22"/>
          <w:szCs w:val="22"/>
        </w:rPr>
        <w:t xml:space="preserve"> </w:t>
      </w:r>
      <w:r w:rsidRPr="002E0AE9">
        <w:rPr>
          <w:rFonts w:cs="Arial"/>
          <w:bCs/>
          <w:sz w:val="22"/>
          <w:szCs w:val="22"/>
        </w:rPr>
        <w:t>includes</w:t>
      </w:r>
      <w:r w:rsidRPr="000A26F2">
        <w:rPr>
          <w:rFonts w:cs="Arial"/>
          <w:b/>
          <w:bCs/>
          <w:i/>
          <w:sz w:val="22"/>
          <w:szCs w:val="22"/>
        </w:rPr>
        <w:t xml:space="preserve"> </w:t>
      </w:r>
      <w:r>
        <w:rPr>
          <w:rFonts w:cs="Arial"/>
          <w:b/>
          <w:bCs/>
          <w:i/>
          <w:sz w:val="22"/>
          <w:szCs w:val="22"/>
        </w:rPr>
        <w:t>“</w:t>
      </w:r>
      <w:r w:rsidRPr="000A26F2">
        <w:rPr>
          <w:rFonts w:cs="Arial"/>
          <w:b/>
          <w:bCs/>
          <w:i/>
          <w:sz w:val="22"/>
          <w:szCs w:val="22"/>
        </w:rPr>
        <w:t>one or more explicit statements/references to gender equality or gender equity</w:t>
      </w:r>
      <w:r>
        <w:rPr>
          <w:rFonts w:cs="Arial"/>
          <w:b/>
          <w:bCs/>
          <w:i/>
          <w:sz w:val="22"/>
          <w:szCs w:val="22"/>
        </w:rPr>
        <w:t xml:space="preserve">” </w:t>
      </w:r>
      <w:r w:rsidRPr="000A26F2">
        <w:rPr>
          <w:rFonts w:cs="Arial"/>
          <w:b/>
          <w:bCs/>
          <w:i/>
          <w:sz w:val="22"/>
          <w:szCs w:val="22"/>
        </w:rPr>
        <w:t>:</w:t>
      </w:r>
      <w:r w:rsidRPr="002E0AE9">
        <w:rPr>
          <w:rFonts w:cs="Arial"/>
          <w:bCs/>
          <w:sz w:val="22"/>
          <w:szCs w:val="22"/>
        </w:rPr>
        <w:t xml:space="preserve"> about </w:t>
      </w:r>
      <w:r w:rsidRPr="000A26F2">
        <w:rPr>
          <w:rFonts w:cs="Arial"/>
          <w:bCs/>
          <w:sz w:val="22"/>
          <w:szCs w:val="22"/>
        </w:rPr>
        <w:t xml:space="preserve">30 explicit references to gender equality and gender equity, and </w:t>
      </w:r>
      <w:r w:rsidRPr="000A26F2">
        <w:rPr>
          <w:sz w:val="22"/>
          <w:szCs w:val="22"/>
        </w:rPr>
        <w:t xml:space="preserve">92 specific and appropriate mentions of the term </w:t>
      </w:r>
      <w:r w:rsidRPr="000A26F2">
        <w:rPr>
          <w:i/>
          <w:sz w:val="22"/>
          <w:szCs w:val="22"/>
        </w:rPr>
        <w:t>gender.</w:t>
      </w:r>
      <w:r w:rsidRPr="000A26F2">
        <w:rPr>
          <w:rFonts w:cs="Arial"/>
          <w:bCs/>
          <w:sz w:val="22"/>
          <w:szCs w:val="22"/>
        </w:rPr>
        <w:t xml:space="preserve"> It is important to note that these references are not restricted to a particular section of the volume but that they are in </w:t>
      </w:r>
      <w:r w:rsidRPr="000A26F2">
        <w:rPr>
          <w:sz w:val="22"/>
          <w:szCs w:val="22"/>
        </w:rPr>
        <w:t xml:space="preserve">7 of the 8 main sections of the book, including the </w:t>
      </w:r>
      <w:r w:rsidRPr="000A26F2">
        <w:rPr>
          <w:i/>
          <w:sz w:val="22"/>
          <w:szCs w:val="22"/>
        </w:rPr>
        <w:t>Preface</w:t>
      </w:r>
      <w:r w:rsidRPr="000A26F2">
        <w:rPr>
          <w:sz w:val="22"/>
          <w:szCs w:val="22"/>
        </w:rPr>
        <w:t xml:space="preserve"> by the Director. </w:t>
      </w:r>
      <w:r w:rsidRPr="005251C5">
        <w:rPr>
          <w:i/>
          <w:sz w:val="22"/>
          <w:szCs w:val="22"/>
        </w:rPr>
        <w:t>The only section not including gender referencing was Chapter 5: Health and international cooperation.</w:t>
      </w:r>
      <w:r w:rsidRPr="000A26F2">
        <w:rPr>
          <w:i/>
          <w:sz w:val="22"/>
          <w:szCs w:val="22"/>
        </w:rPr>
        <w:t xml:space="preserve"> </w:t>
      </w:r>
      <w:r w:rsidRPr="000A26F2">
        <w:rPr>
          <w:sz w:val="22"/>
          <w:szCs w:val="22"/>
        </w:rPr>
        <w:t>This ample thematic spread of gender citations is certainly an indicator of a wide range of gender awareness existing across HQ technical units.</w:t>
      </w:r>
      <w:r>
        <w:rPr>
          <w:sz w:val="22"/>
          <w:szCs w:val="22"/>
        </w:rPr>
        <w:t xml:space="preserve"> In the same vein, it is important to note that the </w:t>
      </w:r>
      <w:r w:rsidRPr="000A26F2">
        <w:rPr>
          <w:sz w:val="22"/>
          <w:szCs w:val="22"/>
        </w:rPr>
        <w:t>MDG 3, “</w:t>
      </w:r>
      <w:r>
        <w:rPr>
          <w:sz w:val="22"/>
          <w:szCs w:val="22"/>
        </w:rPr>
        <w:t xml:space="preserve">Promoting </w:t>
      </w:r>
      <w:r w:rsidRPr="000A26F2">
        <w:rPr>
          <w:sz w:val="22"/>
          <w:szCs w:val="22"/>
        </w:rPr>
        <w:t xml:space="preserve">Gender Equality and Women’s Empowerment”, </w:t>
      </w:r>
      <w:r>
        <w:rPr>
          <w:sz w:val="22"/>
          <w:szCs w:val="22"/>
        </w:rPr>
        <w:t>was cited throughout the volume, except in two chapters</w:t>
      </w:r>
      <w:r w:rsidRPr="005251C5">
        <w:rPr>
          <w:i/>
          <w:sz w:val="22"/>
          <w:szCs w:val="22"/>
        </w:rPr>
        <w:t>:  ‘Public Policies &amp; Health Systems</w:t>
      </w:r>
      <w:r w:rsidRPr="00AF471D">
        <w:rPr>
          <w:b/>
          <w:sz w:val="22"/>
          <w:szCs w:val="22"/>
        </w:rPr>
        <w:t xml:space="preserve">’, and </w:t>
      </w:r>
      <w:r w:rsidRPr="005251C5">
        <w:rPr>
          <w:i/>
          <w:sz w:val="22"/>
          <w:szCs w:val="22"/>
        </w:rPr>
        <w:t>’Health and International Cooperation’</w:t>
      </w:r>
      <w:r w:rsidRPr="00AF471D">
        <w:rPr>
          <w:b/>
          <w:sz w:val="22"/>
          <w:szCs w:val="22"/>
        </w:rPr>
        <w:t>.</w:t>
      </w:r>
      <w:r w:rsidRPr="000A26F2">
        <w:rPr>
          <w:sz w:val="22"/>
          <w:szCs w:val="22"/>
        </w:rPr>
        <w:t xml:space="preserve"> </w:t>
      </w:r>
      <w:r>
        <w:rPr>
          <w:sz w:val="22"/>
          <w:szCs w:val="22"/>
        </w:rPr>
        <w:t xml:space="preserve">Interestingly, the MDG 3 component of </w:t>
      </w:r>
      <w:r w:rsidRPr="000A26F2">
        <w:rPr>
          <w:i/>
          <w:sz w:val="22"/>
          <w:szCs w:val="22"/>
        </w:rPr>
        <w:t>Women’s Empowerment</w:t>
      </w:r>
      <w:r w:rsidRPr="000A26F2">
        <w:rPr>
          <w:sz w:val="22"/>
          <w:szCs w:val="22"/>
        </w:rPr>
        <w:t xml:space="preserve"> </w:t>
      </w:r>
      <w:r>
        <w:rPr>
          <w:sz w:val="22"/>
          <w:szCs w:val="22"/>
        </w:rPr>
        <w:t>received much fewer mentions tha</w:t>
      </w:r>
      <w:r w:rsidR="00C028D4">
        <w:rPr>
          <w:sz w:val="22"/>
          <w:szCs w:val="22"/>
        </w:rPr>
        <w:t>n</w:t>
      </w:r>
      <w:r>
        <w:rPr>
          <w:sz w:val="22"/>
          <w:szCs w:val="22"/>
        </w:rPr>
        <w:t xml:space="preserve"> the one on </w:t>
      </w:r>
      <w:r w:rsidRPr="00A401B0">
        <w:rPr>
          <w:i/>
          <w:sz w:val="22"/>
          <w:szCs w:val="22"/>
        </w:rPr>
        <w:t>Gender Equality</w:t>
      </w:r>
      <w:r>
        <w:rPr>
          <w:sz w:val="22"/>
          <w:szCs w:val="22"/>
        </w:rPr>
        <w:t xml:space="preserve">. </w:t>
      </w:r>
    </w:p>
    <w:p w:rsidR="009571FA" w:rsidRPr="00DD0211" w:rsidRDefault="009571FA" w:rsidP="00940E43">
      <w:pPr>
        <w:ind w:right="-180"/>
        <w:rPr>
          <w:sz w:val="18"/>
          <w:szCs w:val="22"/>
        </w:rPr>
      </w:pPr>
    </w:p>
    <w:p w:rsidR="009571FA" w:rsidRPr="000A26F2" w:rsidRDefault="009571FA" w:rsidP="00940E43">
      <w:pPr>
        <w:ind w:right="-180"/>
        <w:rPr>
          <w:rFonts w:cs="Arial"/>
          <w:bCs/>
          <w:sz w:val="22"/>
          <w:szCs w:val="22"/>
        </w:rPr>
      </w:pPr>
      <w:r w:rsidRPr="00B302F8">
        <w:rPr>
          <w:b/>
          <w:sz w:val="22"/>
          <w:szCs w:val="22"/>
        </w:rPr>
        <w:t>b</w:t>
      </w:r>
      <w:r>
        <w:rPr>
          <w:b/>
          <w:sz w:val="22"/>
          <w:szCs w:val="22"/>
        </w:rPr>
        <w:t xml:space="preserve">. </w:t>
      </w:r>
      <w:r w:rsidR="0016346E">
        <w:rPr>
          <w:sz w:val="22"/>
          <w:szCs w:val="22"/>
        </w:rPr>
        <w:t xml:space="preserve"> It </w:t>
      </w:r>
      <w:r>
        <w:rPr>
          <w:sz w:val="22"/>
          <w:szCs w:val="22"/>
        </w:rPr>
        <w:t>fully complies with the criterion of including “</w:t>
      </w:r>
      <w:r w:rsidRPr="000A26F2">
        <w:rPr>
          <w:rFonts w:cs="Arial"/>
          <w:b/>
          <w:bCs/>
          <w:i/>
          <w:sz w:val="22"/>
          <w:szCs w:val="22"/>
        </w:rPr>
        <w:t>one or more "implicit" or indirect references to gender</w:t>
      </w:r>
      <w:r>
        <w:rPr>
          <w:rFonts w:cs="Arial"/>
          <w:b/>
          <w:bCs/>
          <w:i/>
          <w:sz w:val="22"/>
          <w:szCs w:val="22"/>
        </w:rPr>
        <w:t xml:space="preserve">”. </w:t>
      </w:r>
      <w:r w:rsidRPr="00A401B0">
        <w:rPr>
          <w:rFonts w:cs="Arial"/>
          <w:bCs/>
          <w:sz w:val="22"/>
          <w:szCs w:val="22"/>
        </w:rPr>
        <w:t>In fact there were more than 200 references (in text and tables)</w:t>
      </w:r>
      <w:r>
        <w:rPr>
          <w:rFonts w:cs="Arial"/>
          <w:bCs/>
          <w:sz w:val="22"/>
          <w:szCs w:val="22"/>
        </w:rPr>
        <w:t xml:space="preserve"> related to inequalities </w:t>
      </w:r>
      <w:r w:rsidRPr="000A26F2">
        <w:rPr>
          <w:rFonts w:cs="Arial"/>
          <w:bCs/>
          <w:sz w:val="22"/>
          <w:szCs w:val="22"/>
        </w:rPr>
        <w:t xml:space="preserve">between women and men in access to resources and power, and </w:t>
      </w:r>
      <w:r>
        <w:rPr>
          <w:rFonts w:cs="Arial"/>
          <w:bCs/>
          <w:sz w:val="22"/>
          <w:szCs w:val="22"/>
        </w:rPr>
        <w:t xml:space="preserve">to </w:t>
      </w:r>
      <w:r w:rsidRPr="000A26F2">
        <w:rPr>
          <w:rFonts w:cs="Arial"/>
          <w:bCs/>
          <w:sz w:val="22"/>
          <w:szCs w:val="22"/>
        </w:rPr>
        <w:t>health</w:t>
      </w:r>
      <w:r>
        <w:rPr>
          <w:rFonts w:cs="Arial"/>
          <w:bCs/>
          <w:sz w:val="22"/>
          <w:szCs w:val="22"/>
        </w:rPr>
        <w:t xml:space="preserve"> opportunities and outcomes. Gend</w:t>
      </w:r>
      <w:r w:rsidRPr="000A26F2">
        <w:rPr>
          <w:sz w:val="22"/>
          <w:szCs w:val="22"/>
        </w:rPr>
        <w:t xml:space="preserve">er-based violence was alluded to throughout the whole volume (25 times), </w:t>
      </w:r>
      <w:r>
        <w:rPr>
          <w:sz w:val="22"/>
          <w:szCs w:val="22"/>
        </w:rPr>
        <w:t xml:space="preserve">with the </w:t>
      </w:r>
      <w:r w:rsidRPr="000A26F2">
        <w:rPr>
          <w:sz w:val="22"/>
          <w:szCs w:val="22"/>
        </w:rPr>
        <w:t>except</w:t>
      </w:r>
      <w:r>
        <w:rPr>
          <w:sz w:val="22"/>
          <w:szCs w:val="22"/>
        </w:rPr>
        <w:t xml:space="preserve">ion of </w:t>
      </w:r>
      <w:r w:rsidRPr="000A26F2">
        <w:rPr>
          <w:sz w:val="22"/>
          <w:szCs w:val="22"/>
        </w:rPr>
        <w:t xml:space="preserve">Chapters 4 on </w:t>
      </w:r>
      <w:r w:rsidRPr="005251C5">
        <w:rPr>
          <w:i/>
          <w:sz w:val="22"/>
          <w:szCs w:val="22"/>
        </w:rPr>
        <w:t>‘Public Policies &amp; Systems’</w:t>
      </w:r>
      <w:r w:rsidRPr="000A26F2">
        <w:rPr>
          <w:sz w:val="22"/>
          <w:szCs w:val="22"/>
        </w:rPr>
        <w:t xml:space="preserve">, and Chapter 5 on </w:t>
      </w:r>
      <w:r w:rsidRPr="005251C5">
        <w:rPr>
          <w:i/>
          <w:sz w:val="22"/>
          <w:szCs w:val="22"/>
        </w:rPr>
        <w:t>‘International Cooperation’</w:t>
      </w:r>
      <w:r w:rsidRPr="00567B82">
        <w:rPr>
          <w:b/>
          <w:sz w:val="22"/>
          <w:szCs w:val="22"/>
        </w:rPr>
        <w:t>.</w:t>
      </w:r>
      <w:r>
        <w:rPr>
          <w:b/>
          <w:sz w:val="22"/>
          <w:szCs w:val="22"/>
        </w:rPr>
        <w:t xml:space="preserve"> </w:t>
      </w:r>
      <w:r w:rsidRPr="00567B82">
        <w:rPr>
          <w:rFonts w:cs="Arial"/>
          <w:bCs/>
          <w:sz w:val="22"/>
          <w:szCs w:val="22"/>
        </w:rPr>
        <w:t>There were not references</w:t>
      </w:r>
      <w:r w:rsidR="0016346E">
        <w:rPr>
          <w:rFonts w:cs="Arial"/>
          <w:bCs/>
          <w:sz w:val="22"/>
          <w:szCs w:val="22"/>
        </w:rPr>
        <w:t xml:space="preserve"> in this volume </w:t>
      </w:r>
      <w:r w:rsidRPr="00567B82">
        <w:rPr>
          <w:rFonts w:cs="Arial"/>
          <w:bCs/>
          <w:sz w:val="22"/>
          <w:szCs w:val="22"/>
        </w:rPr>
        <w:t>to</w:t>
      </w:r>
      <w:r w:rsidRPr="000A26F2">
        <w:rPr>
          <w:rFonts w:cs="Arial"/>
          <w:b/>
          <w:bCs/>
          <w:i/>
          <w:sz w:val="22"/>
          <w:szCs w:val="22"/>
        </w:rPr>
        <w:t xml:space="preserve"> </w:t>
      </w:r>
      <w:r>
        <w:rPr>
          <w:rFonts w:cs="Arial"/>
          <w:b/>
          <w:bCs/>
          <w:i/>
          <w:sz w:val="22"/>
          <w:szCs w:val="22"/>
        </w:rPr>
        <w:t>“</w:t>
      </w:r>
      <w:r w:rsidRPr="000A26F2">
        <w:rPr>
          <w:rFonts w:cs="Arial"/>
          <w:b/>
          <w:bCs/>
          <w:i/>
          <w:sz w:val="22"/>
          <w:szCs w:val="22"/>
        </w:rPr>
        <w:t>consultation/ partnerships with women's groups</w:t>
      </w:r>
      <w:r>
        <w:rPr>
          <w:rFonts w:cs="Arial"/>
          <w:b/>
          <w:bCs/>
          <w:i/>
          <w:sz w:val="22"/>
          <w:szCs w:val="22"/>
        </w:rPr>
        <w:t>”</w:t>
      </w:r>
      <w:r w:rsidR="0016346E">
        <w:rPr>
          <w:rFonts w:cs="Arial"/>
          <w:b/>
          <w:bCs/>
          <w:sz w:val="22"/>
          <w:szCs w:val="22"/>
        </w:rPr>
        <w:t xml:space="preserve">. </w:t>
      </w:r>
      <w:r w:rsidR="0016346E" w:rsidRPr="0016346E">
        <w:rPr>
          <w:rFonts w:cs="Arial"/>
          <w:bCs/>
          <w:sz w:val="22"/>
          <w:szCs w:val="22"/>
        </w:rPr>
        <w:t>However,</w:t>
      </w:r>
      <w:r w:rsidR="0016346E">
        <w:rPr>
          <w:rFonts w:cs="Arial"/>
          <w:b/>
          <w:bCs/>
          <w:sz w:val="22"/>
          <w:szCs w:val="22"/>
        </w:rPr>
        <w:t xml:space="preserve"> </w:t>
      </w:r>
      <w:r w:rsidRPr="000A26F2">
        <w:rPr>
          <w:rFonts w:cs="Arial"/>
          <w:bCs/>
          <w:sz w:val="22"/>
          <w:szCs w:val="22"/>
        </w:rPr>
        <w:t xml:space="preserve">the final version </w:t>
      </w:r>
      <w:r>
        <w:rPr>
          <w:rFonts w:cs="Arial"/>
          <w:bCs/>
          <w:sz w:val="22"/>
          <w:szCs w:val="22"/>
        </w:rPr>
        <w:t xml:space="preserve">of the book </w:t>
      </w:r>
      <w:r w:rsidRPr="000A26F2">
        <w:rPr>
          <w:rFonts w:cs="Arial"/>
          <w:bCs/>
          <w:sz w:val="22"/>
          <w:szCs w:val="22"/>
        </w:rPr>
        <w:t>received the inputs of other agencies, UNIFEM among them.</w:t>
      </w:r>
    </w:p>
    <w:p w:rsidR="009571FA" w:rsidRPr="00DD0211" w:rsidRDefault="009571FA" w:rsidP="00940E43">
      <w:pPr>
        <w:ind w:right="-180"/>
        <w:rPr>
          <w:rFonts w:cs="Arial"/>
          <w:bCs/>
          <w:sz w:val="18"/>
          <w:szCs w:val="22"/>
        </w:rPr>
      </w:pPr>
    </w:p>
    <w:p w:rsidR="009571FA" w:rsidRPr="000A26F2" w:rsidRDefault="009571FA" w:rsidP="00940E43">
      <w:pPr>
        <w:ind w:right="-180"/>
        <w:rPr>
          <w:rFonts w:cs="Arial"/>
          <w:bCs/>
          <w:i/>
          <w:sz w:val="22"/>
          <w:szCs w:val="22"/>
        </w:rPr>
      </w:pPr>
      <w:r w:rsidRPr="00B302F8">
        <w:rPr>
          <w:rFonts w:cs="Arial"/>
          <w:b/>
          <w:bCs/>
          <w:sz w:val="22"/>
          <w:szCs w:val="22"/>
        </w:rPr>
        <w:t>c</w:t>
      </w:r>
      <w:r>
        <w:rPr>
          <w:rFonts w:cs="Arial"/>
          <w:b/>
          <w:bCs/>
          <w:sz w:val="22"/>
          <w:szCs w:val="22"/>
        </w:rPr>
        <w:t>.</w:t>
      </w:r>
      <w:r>
        <w:rPr>
          <w:rFonts w:cs="Arial"/>
          <w:bCs/>
          <w:sz w:val="22"/>
          <w:szCs w:val="22"/>
        </w:rPr>
        <w:t xml:space="preserve">  </w:t>
      </w:r>
      <w:r w:rsidR="006F643D">
        <w:rPr>
          <w:rFonts w:cs="Arial"/>
          <w:bCs/>
          <w:sz w:val="22"/>
          <w:szCs w:val="22"/>
        </w:rPr>
        <w:t xml:space="preserve">It </w:t>
      </w:r>
      <w:r w:rsidR="006F643D" w:rsidRPr="00567B82">
        <w:rPr>
          <w:rFonts w:cs="Arial"/>
          <w:bCs/>
          <w:sz w:val="22"/>
          <w:szCs w:val="22"/>
        </w:rPr>
        <w:t>widely</w:t>
      </w:r>
      <w:r>
        <w:rPr>
          <w:rFonts w:cs="Arial"/>
          <w:b/>
          <w:bCs/>
          <w:i/>
          <w:sz w:val="22"/>
          <w:szCs w:val="22"/>
        </w:rPr>
        <w:t xml:space="preserve"> “u</w:t>
      </w:r>
      <w:r w:rsidRPr="000A26F2">
        <w:rPr>
          <w:rFonts w:cs="Arial"/>
          <w:b/>
          <w:bCs/>
          <w:i/>
          <w:sz w:val="22"/>
          <w:szCs w:val="22"/>
          <w:u w:val="single"/>
        </w:rPr>
        <w:t>ses/present</w:t>
      </w:r>
      <w:r>
        <w:rPr>
          <w:rFonts w:cs="Arial"/>
          <w:b/>
          <w:bCs/>
          <w:i/>
          <w:sz w:val="22"/>
          <w:szCs w:val="22"/>
          <w:u w:val="single"/>
        </w:rPr>
        <w:t>s</w:t>
      </w:r>
      <w:r w:rsidRPr="000A26F2">
        <w:rPr>
          <w:rFonts w:cs="Arial"/>
          <w:b/>
          <w:bCs/>
          <w:i/>
          <w:sz w:val="22"/>
          <w:szCs w:val="22"/>
        </w:rPr>
        <w:t xml:space="preserve"> </w:t>
      </w:r>
      <w:r w:rsidRPr="005251C5">
        <w:rPr>
          <w:rFonts w:cs="Arial"/>
          <w:b/>
          <w:bCs/>
          <w:i/>
          <w:sz w:val="22"/>
          <w:szCs w:val="22"/>
        </w:rPr>
        <w:t>sex-disaggregated data</w:t>
      </w:r>
      <w:r>
        <w:rPr>
          <w:rFonts w:cs="Arial"/>
          <w:bCs/>
          <w:sz w:val="22"/>
          <w:szCs w:val="22"/>
        </w:rPr>
        <w:t xml:space="preserve"> (SDD)</w:t>
      </w:r>
      <w:r>
        <w:rPr>
          <w:rFonts w:cs="Arial"/>
          <w:b/>
          <w:bCs/>
          <w:i/>
          <w:sz w:val="22"/>
          <w:szCs w:val="22"/>
        </w:rPr>
        <w:t xml:space="preserve">, </w:t>
      </w:r>
      <w:r w:rsidRPr="000A26F2">
        <w:rPr>
          <w:rFonts w:cs="Arial"/>
          <w:bCs/>
          <w:sz w:val="22"/>
          <w:szCs w:val="22"/>
        </w:rPr>
        <w:t>although not consistently in all areas where it was relevant. There were about 163 references to SDD throughout the book, which appeared in all but one chapter (</w:t>
      </w:r>
      <w:r w:rsidRPr="005251C5">
        <w:rPr>
          <w:rFonts w:cs="Arial"/>
          <w:bCs/>
          <w:i/>
          <w:sz w:val="22"/>
          <w:szCs w:val="22"/>
        </w:rPr>
        <w:t>Health &amp; International Cooperation</w:t>
      </w:r>
      <w:r w:rsidRPr="005251C5">
        <w:rPr>
          <w:rFonts w:cs="Arial"/>
          <w:bCs/>
          <w:sz w:val="22"/>
          <w:szCs w:val="22"/>
        </w:rPr>
        <w:t>). On the other hand,</w:t>
      </w:r>
      <w:r>
        <w:rPr>
          <w:rFonts w:cs="Arial"/>
          <w:bCs/>
          <w:i/>
          <w:sz w:val="22"/>
          <w:szCs w:val="22"/>
        </w:rPr>
        <w:t xml:space="preserve">  </w:t>
      </w:r>
      <w:r w:rsidRPr="00567B82">
        <w:rPr>
          <w:rFonts w:cs="Arial"/>
          <w:bCs/>
          <w:sz w:val="22"/>
          <w:szCs w:val="22"/>
        </w:rPr>
        <w:t>HA I</w:t>
      </w:r>
      <w:r>
        <w:rPr>
          <w:rFonts w:cs="Arial"/>
          <w:b/>
          <w:bCs/>
          <w:i/>
          <w:sz w:val="22"/>
          <w:szCs w:val="22"/>
        </w:rPr>
        <w:t xml:space="preserve"> </w:t>
      </w:r>
      <w:r w:rsidRPr="00567B82">
        <w:rPr>
          <w:rFonts w:cs="Arial"/>
          <w:bCs/>
          <w:sz w:val="22"/>
          <w:szCs w:val="22"/>
        </w:rPr>
        <w:t>does not</w:t>
      </w:r>
      <w:r>
        <w:rPr>
          <w:rFonts w:cs="Arial"/>
          <w:bCs/>
          <w:sz w:val="22"/>
          <w:szCs w:val="22"/>
        </w:rPr>
        <w:t xml:space="preserve"> “</w:t>
      </w:r>
      <w:r>
        <w:rPr>
          <w:rFonts w:cs="Arial"/>
          <w:b/>
          <w:bCs/>
          <w:i/>
          <w:sz w:val="22"/>
          <w:szCs w:val="22"/>
        </w:rPr>
        <w:t>r</w:t>
      </w:r>
      <w:r w:rsidRPr="000A26F2">
        <w:rPr>
          <w:rFonts w:cs="Arial"/>
          <w:b/>
          <w:bCs/>
          <w:i/>
          <w:sz w:val="22"/>
          <w:szCs w:val="22"/>
          <w:u w:val="single"/>
        </w:rPr>
        <w:t>ecommend</w:t>
      </w:r>
      <w:r>
        <w:rPr>
          <w:rFonts w:cs="Arial"/>
          <w:b/>
          <w:bCs/>
          <w:i/>
          <w:sz w:val="22"/>
          <w:szCs w:val="22"/>
          <w:u w:val="single"/>
        </w:rPr>
        <w:t xml:space="preserve"> </w:t>
      </w:r>
      <w:r w:rsidRPr="00567B82">
        <w:rPr>
          <w:rFonts w:cs="Arial"/>
          <w:b/>
          <w:bCs/>
          <w:i/>
          <w:sz w:val="22"/>
          <w:szCs w:val="22"/>
        </w:rPr>
        <w:t xml:space="preserve">the </w:t>
      </w:r>
      <w:r w:rsidRPr="000A26F2">
        <w:rPr>
          <w:rFonts w:cs="Arial"/>
          <w:b/>
          <w:bCs/>
          <w:i/>
          <w:sz w:val="22"/>
          <w:szCs w:val="22"/>
        </w:rPr>
        <w:t xml:space="preserve">use of </w:t>
      </w:r>
      <w:r>
        <w:rPr>
          <w:rFonts w:cs="Arial"/>
          <w:b/>
          <w:bCs/>
          <w:i/>
          <w:sz w:val="22"/>
          <w:szCs w:val="22"/>
        </w:rPr>
        <w:t>SDD”</w:t>
      </w:r>
      <w:r w:rsidRPr="008D5A0A">
        <w:rPr>
          <w:rFonts w:cs="Arial"/>
          <w:bCs/>
          <w:sz w:val="22"/>
          <w:szCs w:val="22"/>
        </w:rPr>
        <w:t>, except</w:t>
      </w:r>
      <w:r>
        <w:rPr>
          <w:rFonts w:cs="Arial"/>
          <w:b/>
          <w:bCs/>
          <w:i/>
          <w:sz w:val="22"/>
          <w:szCs w:val="22"/>
        </w:rPr>
        <w:t xml:space="preserve"> </w:t>
      </w:r>
      <w:r w:rsidRPr="000A26F2">
        <w:rPr>
          <w:rFonts w:cs="Arial"/>
          <w:bCs/>
          <w:sz w:val="22"/>
          <w:szCs w:val="22"/>
        </w:rPr>
        <w:t>in one isolated instance</w:t>
      </w:r>
      <w:r>
        <w:rPr>
          <w:rFonts w:cs="Arial"/>
          <w:bCs/>
          <w:sz w:val="22"/>
          <w:szCs w:val="22"/>
        </w:rPr>
        <w:t xml:space="preserve">: </w:t>
      </w:r>
      <w:r w:rsidRPr="000A26F2">
        <w:rPr>
          <w:rFonts w:cs="Arial"/>
          <w:bCs/>
          <w:sz w:val="22"/>
          <w:szCs w:val="22"/>
        </w:rPr>
        <w:t xml:space="preserve">the </w:t>
      </w:r>
      <w:r w:rsidRPr="00A5314F">
        <w:rPr>
          <w:rFonts w:cs="Arial"/>
          <w:bCs/>
          <w:i/>
          <w:sz w:val="22"/>
          <w:szCs w:val="22"/>
        </w:rPr>
        <w:t xml:space="preserve">Adolescent </w:t>
      </w:r>
      <w:r>
        <w:rPr>
          <w:rFonts w:cs="Arial"/>
          <w:bCs/>
          <w:i/>
          <w:sz w:val="22"/>
          <w:szCs w:val="22"/>
        </w:rPr>
        <w:t xml:space="preserve">and Youths </w:t>
      </w:r>
      <w:r w:rsidRPr="00A5314F">
        <w:rPr>
          <w:rFonts w:cs="Arial"/>
          <w:bCs/>
          <w:i/>
          <w:sz w:val="22"/>
          <w:szCs w:val="22"/>
        </w:rPr>
        <w:t>Health</w:t>
      </w:r>
      <w:r w:rsidRPr="000A26F2">
        <w:rPr>
          <w:rFonts w:cs="Arial"/>
          <w:bCs/>
          <w:sz w:val="22"/>
          <w:szCs w:val="22"/>
        </w:rPr>
        <w:t xml:space="preserve"> section. No mention of </w:t>
      </w:r>
      <w:r>
        <w:rPr>
          <w:rFonts w:cs="Arial"/>
          <w:bCs/>
          <w:sz w:val="22"/>
          <w:szCs w:val="22"/>
        </w:rPr>
        <w:t>SDD</w:t>
      </w:r>
      <w:r w:rsidRPr="000A26F2">
        <w:rPr>
          <w:rFonts w:cs="Arial"/>
          <w:bCs/>
          <w:sz w:val="22"/>
          <w:szCs w:val="22"/>
        </w:rPr>
        <w:t xml:space="preserve"> was made in the most pertinent sections referring to requirements and challenges for strengthening health systems</w:t>
      </w:r>
      <w:r w:rsidRPr="008D5A0A">
        <w:rPr>
          <w:rFonts w:cs="Arial"/>
          <w:bCs/>
          <w:sz w:val="22"/>
          <w:szCs w:val="22"/>
        </w:rPr>
        <w:t xml:space="preserve"> </w:t>
      </w:r>
      <w:r w:rsidRPr="000A26F2">
        <w:rPr>
          <w:rFonts w:cs="Arial"/>
          <w:bCs/>
          <w:sz w:val="22"/>
          <w:szCs w:val="22"/>
        </w:rPr>
        <w:t>information.</w:t>
      </w:r>
    </w:p>
    <w:p w:rsidR="009571FA" w:rsidRPr="00DD0211" w:rsidRDefault="009571FA" w:rsidP="00940E43">
      <w:pPr>
        <w:pStyle w:val="ListParagraph"/>
        <w:ind w:left="0" w:right="-180"/>
        <w:rPr>
          <w:rFonts w:cs="Arial"/>
          <w:b/>
          <w:bCs/>
          <w:i/>
          <w:sz w:val="18"/>
          <w:szCs w:val="22"/>
        </w:rPr>
      </w:pPr>
    </w:p>
    <w:p w:rsidR="009571FA" w:rsidRDefault="009571FA" w:rsidP="00940E43">
      <w:pPr>
        <w:ind w:right="-180"/>
        <w:rPr>
          <w:rFonts w:cs="Arial"/>
          <w:bCs/>
          <w:sz w:val="22"/>
          <w:szCs w:val="22"/>
        </w:rPr>
      </w:pPr>
      <w:r w:rsidRPr="00B302F8">
        <w:rPr>
          <w:rFonts w:cs="Arial"/>
          <w:b/>
          <w:bCs/>
          <w:sz w:val="22"/>
          <w:szCs w:val="22"/>
        </w:rPr>
        <w:t>d</w:t>
      </w:r>
      <w:r>
        <w:rPr>
          <w:rFonts w:cs="Arial"/>
          <w:b/>
          <w:bCs/>
          <w:sz w:val="22"/>
          <w:szCs w:val="22"/>
        </w:rPr>
        <w:t>.</w:t>
      </w:r>
      <w:r>
        <w:rPr>
          <w:rFonts w:cs="Arial"/>
          <w:bCs/>
          <w:sz w:val="22"/>
          <w:szCs w:val="22"/>
        </w:rPr>
        <w:t xml:space="preserve">   </w:t>
      </w:r>
      <w:r w:rsidR="0016346E">
        <w:rPr>
          <w:rFonts w:cs="Arial"/>
          <w:bCs/>
          <w:sz w:val="22"/>
          <w:szCs w:val="22"/>
        </w:rPr>
        <w:t>It</w:t>
      </w:r>
      <w:r w:rsidR="0016346E" w:rsidRPr="00567B82">
        <w:rPr>
          <w:rFonts w:cs="Arial"/>
          <w:bCs/>
          <w:sz w:val="22"/>
          <w:szCs w:val="22"/>
        </w:rPr>
        <w:t xml:space="preserve"> </w:t>
      </w:r>
      <w:r>
        <w:rPr>
          <w:rFonts w:cs="Arial"/>
          <w:bCs/>
          <w:sz w:val="22"/>
          <w:szCs w:val="22"/>
        </w:rPr>
        <w:t>“</w:t>
      </w:r>
      <w:r w:rsidRPr="005251C5">
        <w:rPr>
          <w:rFonts w:cs="Arial"/>
          <w:b/>
          <w:bCs/>
          <w:i/>
          <w:sz w:val="22"/>
          <w:szCs w:val="22"/>
        </w:rPr>
        <w:t>uses gender analysis</w:t>
      </w:r>
      <w:r>
        <w:rPr>
          <w:rFonts w:cs="Arial"/>
          <w:b/>
          <w:bCs/>
          <w:sz w:val="22"/>
          <w:szCs w:val="22"/>
        </w:rPr>
        <w:t>”</w:t>
      </w:r>
      <w:r w:rsidRPr="000A26F2">
        <w:rPr>
          <w:rFonts w:cs="Arial"/>
          <w:bCs/>
          <w:sz w:val="22"/>
          <w:szCs w:val="22"/>
        </w:rPr>
        <w:t xml:space="preserve"> </w:t>
      </w:r>
      <w:r>
        <w:rPr>
          <w:rFonts w:cs="Arial"/>
          <w:bCs/>
          <w:sz w:val="22"/>
          <w:szCs w:val="22"/>
        </w:rPr>
        <w:t xml:space="preserve">and </w:t>
      </w:r>
      <w:r w:rsidRPr="000A26F2">
        <w:rPr>
          <w:rFonts w:cs="Arial"/>
          <w:bCs/>
          <w:sz w:val="22"/>
          <w:szCs w:val="22"/>
        </w:rPr>
        <w:t xml:space="preserve">not only in the </w:t>
      </w:r>
      <w:r>
        <w:rPr>
          <w:rFonts w:cs="Arial"/>
          <w:bCs/>
          <w:sz w:val="22"/>
          <w:szCs w:val="22"/>
        </w:rPr>
        <w:t xml:space="preserve">gender-specific </w:t>
      </w:r>
      <w:r w:rsidRPr="000A26F2">
        <w:rPr>
          <w:rFonts w:cs="Arial"/>
          <w:bCs/>
          <w:sz w:val="22"/>
          <w:szCs w:val="22"/>
        </w:rPr>
        <w:t>section</w:t>
      </w:r>
      <w:r>
        <w:rPr>
          <w:rFonts w:cs="Arial"/>
          <w:bCs/>
          <w:sz w:val="22"/>
          <w:szCs w:val="22"/>
        </w:rPr>
        <w:t>.</w:t>
      </w:r>
      <w:r w:rsidRPr="000A26F2">
        <w:rPr>
          <w:rFonts w:cs="Arial"/>
          <w:bCs/>
          <w:sz w:val="22"/>
          <w:szCs w:val="22"/>
        </w:rPr>
        <w:t xml:space="preserve"> Aside from </w:t>
      </w:r>
      <w:r w:rsidRPr="0016346E">
        <w:rPr>
          <w:rFonts w:cs="Arial"/>
          <w:bCs/>
          <w:i/>
          <w:sz w:val="22"/>
          <w:szCs w:val="22"/>
        </w:rPr>
        <w:t>Chapter 1,</w:t>
      </w:r>
      <w:r w:rsidRPr="000A26F2">
        <w:rPr>
          <w:rFonts w:cs="Arial"/>
          <w:bCs/>
          <w:sz w:val="22"/>
          <w:szCs w:val="22"/>
        </w:rPr>
        <w:t xml:space="preserve"> </w:t>
      </w:r>
      <w:r w:rsidRPr="000A26F2">
        <w:rPr>
          <w:rFonts w:cs="Arial"/>
          <w:bCs/>
          <w:i/>
          <w:sz w:val="22"/>
          <w:szCs w:val="22"/>
        </w:rPr>
        <w:t>Health in the context of development</w:t>
      </w:r>
      <w:r w:rsidRPr="000A26F2">
        <w:rPr>
          <w:rFonts w:cs="Arial"/>
          <w:bCs/>
          <w:sz w:val="22"/>
          <w:szCs w:val="22"/>
        </w:rPr>
        <w:t xml:space="preserve">, two subsections in Chapter 2 were particularly rich in this respect: </w:t>
      </w:r>
      <w:r w:rsidRPr="00A5314F">
        <w:rPr>
          <w:rFonts w:cs="Arial"/>
          <w:bCs/>
          <w:i/>
          <w:sz w:val="22"/>
          <w:szCs w:val="22"/>
        </w:rPr>
        <w:t>‘Health of Adolescents and Youths’</w:t>
      </w:r>
      <w:r w:rsidRPr="00A5314F">
        <w:rPr>
          <w:rFonts w:cs="Arial"/>
          <w:bCs/>
          <w:sz w:val="22"/>
          <w:szCs w:val="22"/>
        </w:rPr>
        <w:t xml:space="preserve"> and</w:t>
      </w:r>
      <w:r w:rsidRPr="00A5314F">
        <w:rPr>
          <w:rFonts w:cs="Arial"/>
          <w:bCs/>
          <w:i/>
          <w:sz w:val="22"/>
          <w:szCs w:val="22"/>
        </w:rPr>
        <w:t xml:space="preserve"> ‘HIV/AIDS’.</w:t>
      </w:r>
      <w:r w:rsidRPr="000A26F2">
        <w:rPr>
          <w:rFonts w:cs="Arial"/>
          <w:bCs/>
          <w:sz w:val="22"/>
          <w:szCs w:val="22"/>
        </w:rPr>
        <w:t xml:space="preserve"> </w:t>
      </w:r>
      <w:r>
        <w:rPr>
          <w:rFonts w:cs="Arial"/>
          <w:bCs/>
          <w:sz w:val="22"/>
          <w:szCs w:val="22"/>
        </w:rPr>
        <w:t>T</w:t>
      </w:r>
      <w:r w:rsidRPr="000A26F2">
        <w:rPr>
          <w:rFonts w:cs="Arial"/>
          <w:bCs/>
          <w:sz w:val="22"/>
          <w:szCs w:val="22"/>
        </w:rPr>
        <w:t xml:space="preserve">here were </w:t>
      </w:r>
      <w:r>
        <w:rPr>
          <w:rFonts w:cs="Arial"/>
          <w:bCs/>
          <w:sz w:val="22"/>
          <w:szCs w:val="22"/>
        </w:rPr>
        <w:t xml:space="preserve">however, </w:t>
      </w:r>
      <w:r w:rsidRPr="000A26F2">
        <w:rPr>
          <w:rFonts w:cs="Arial"/>
          <w:bCs/>
          <w:sz w:val="22"/>
          <w:szCs w:val="22"/>
        </w:rPr>
        <w:t>numerous missed opportunities to quote and discuss relevant data</w:t>
      </w:r>
      <w:r>
        <w:rPr>
          <w:rFonts w:cs="Arial"/>
          <w:bCs/>
          <w:sz w:val="22"/>
          <w:szCs w:val="22"/>
        </w:rPr>
        <w:t xml:space="preserve"> </w:t>
      </w:r>
      <w:r w:rsidRPr="000A26F2">
        <w:rPr>
          <w:rFonts w:cs="Arial"/>
          <w:bCs/>
          <w:sz w:val="22"/>
          <w:szCs w:val="22"/>
        </w:rPr>
        <w:t>throughout the volume</w:t>
      </w:r>
      <w:r w:rsidR="0016346E">
        <w:rPr>
          <w:rFonts w:cs="Arial"/>
          <w:bCs/>
          <w:sz w:val="22"/>
          <w:szCs w:val="22"/>
        </w:rPr>
        <w:t>.</w:t>
      </w:r>
      <w:r w:rsidRPr="000A26F2">
        <w:rPr>
          <w:rFonts w:cs="Arial"/>
          <w:bCs/>
          <w:sz w:val="22"/>
          <w:szCs w:val="22"/>
        </w:rPr>
        <w:t xml:space="preserve"> </w:t>
      </w:r>
    </w:p>
    <w:p w:rsidR="009571FA" w:rsidRPr="00DD0211" w:rsidRDefault="009571FA" w:rsidP="00940E43">
      <w:pPr>
        <w:ind w:right="-180"/>
        <w:rPr>
          <w:rFonts w:cs="Arial"/>
          <w:bCs/>
          <w:sz w:val="16"/>
          <w:szCs w:val="22"/>
        </w:rPr>
      </w:pPr>
    </w:p>
    <w:p w:rsidR="009571FA" w:rsidRPr="000A26F2" w:rsidRDefault="009571FA" w:rsidP="00940E43">
      <w:pPr>
        <w:ind w:right="-180"/>
        <w:rPr>
          <w:rFonts w:cs="Arial"/>
          <w:bCs/>
          <w:sz w:val="22"/>
          <w:szCs w:val="22"/>
        </w:rPr>
      </w:pPr>
      <w:r w:rsidRPr="004426EF">
        <w:rPr>
          <w:rFonts w:cs="Arial"/>
          <w:b/>
          <w:bCs/>
          <w:sz w:val="22"/>
          <w:szCs w:val="22"/>
        </w:rPr>
        <w:t>e</w:t>
      </w:r>
      <w:r>
        <w:rPr>
          <w:rFonts w:cs="Arial"/>
          <w:b/>
          <w:bCs/>
          <w:sz w:val="22"/>
          <w:szCs w:val="22"/>
        </w:rPr>
        <w:t>.</w:t>
      </w:r>
      <w:r w:rsidRPr="004426EF">
        <w:rPr>
          <w:rFonts w:cs="Arial"/>
          <w:bCs/>
          <w:sz w:val="22"/>
          <w:szCs w:val="22"/>
        </w:rPr>
        <w:t xml:space="preserve">   </w:t>
      </w:r>
      <w:r w:rsidR="0016346E">
        <w:rPr>
          <w:rFonts w:cs="Arial"/>
          <w:bCs/>
          <w:sz w:val="22"/>
          <w:szCs w:val="22"/>
        </w:rPr>
        <w:t xml:space="preserve">It </w:t>
      </w:r>
      <w:r w:rsidR="0016346E" w:rsidRPr="00567B82">
        <w:rPr>
          <w:rFonts w:cs="Arial"/>
          <w:bCs/>
          <w:sz w:val="22"/>
          <w:szCs w:val="22"/>
        </w:rPr>
        <w:t xml:space="preserve"> </w:t>
      </w:r>
      <w:r>
        <w:rPr>
          <w:rFonts w:cs="Arial"/>
          <w:bCs/>
          <w:sz w:val="22"/>
          <w:szCs w:val="22"/>
        </w:rPr>
        <w:t>“</w:t>
      </w:r>
      <w:r>
        <w:rPr>
          <w:rFonts w:cs="Arial"/>
          <w:b/>
          <w:bCs/>
          <w:i/>
          <w:sz w:val="22"/>
          <w:szCs w:val="22"/>
        </w:rPr>
        <w:t>s</w:t>
      </w:r>
      <w:r w:rsidRPr="000A26F2">
        <w:rPr>
          <w:rFonts w:cs="Arial"/>
          <w:b/>
          <w:bCs/>
          <w:i/>
          <w:sz w:val="22"/>
          <w:szCs w:val="22"/>
        </w:rPr>
        <w:t>pecifies at least one action/ recommendation to address gender</w:t>
      </w:r>
      <w:r>
        <w:rPr>
          <w:rFonts w:cs="Arial"/>
          <w:b/>
          <w:bCs/>
          <w:i/>
          <w:sz w:val="22"/>
          <w:szCs w:val="22"/>
        </w:rPr>
        <w:t xml:space="preserve">”, </w:t>
      </w:r>
      <w:r w:rsidRPr="005251C5">
        <w:rPr>
          <w:rFonts w:cs="Arial"/>
          <w:bCs/>
          <w:sz w:val="22"/>
          <w:szCs w:val="22"/>
        </w:rPr>
        <w:t>and in</w:t>
      </w:r>
      <w:r w:rsidRPr="000A26F2">
        <w:rPr>
          <w:rFonts w:cs="Arial"/>
          <w:bCs/>
          <w:sz w:val="22"/>
          <w:szCs w:val="22"/>
        </w:rPr>
        <w:t xml:space="preserve"> a direct way</w:t>
      </w:r>
      <w:r>
        <w:rPr>
          <w:rFonts w:cs="Arial"/>
          <w:bCs/>
          <w:sz w:val="22"/>
          <w:szCs w:val="22"/>
        </w:rPr>
        <w:t>. It underscores</w:t>
      </w:r>
      <w:r w:rsidRPr="000A26F2">
        <w:rPr>
          <w:rFonts w:cs="Arial"/>
          <w:bCs/>
          <w:sz w:val="22"/>
          <w:szCs w:val="22"/>
        </w:rPr>
        <w:t xml:space="preserve"> the need to address gender</w:t>
      </w:r>
      <w:r>
        <w:rPr>
          <w:rFonts w:cs="Arial"/>
          <w:bCs/>
          <w:sz w:val="22"/>
          <w:szCs w:val="22"/>
        </w:rPr>
        <w:t>-</w:t>
      </w:r>
      <w:r w:rsidRPr="000A26F2">
        <w:rPr>
          <w:rFonts w:cs="Arial"/>
          <w:bCs/>
          <w:sz w:val="22"/>
          <w:szCs w:val="22"/>
        </w:rPr>
        <w:t xml:space="preserve"> based violence, involve men in reproductive health programs, and create conditions that empower women, particularly adolescents in the context of HIV and other health problems.  In an indirect way, </w:t>
      </w:r>
      <w:r>
        <w:rPr>
          <w:rFonts w:cs="Arial"/>
          <w:bCs/>
          <w:sz w:val="22"/>
          <w:szCs w:val="22"/>
        </w:rPr>
        <w:t xml:space="preserve">it does so </w:t>
      </w:r>
      <w:r w:rsidRPr="000A26F2">
        <w:rPr>
          <w:rFonts w:cs="Arial"/>
          <w:bCs/>
          <w:sz w:val="22"/>
          <w:szCs w:val="22"/>
        </w:rPr>
        <w:t xml:space="preserve">by bringing attention to unjust gender inequities that demand intervention: e.g., unfair differences in terms of access to health services, avoidable health outcomes, power to control one’s life, access to decision making positions within the health sector, etc.  </w:t>
      </w:r>
      <w:r w:rsidRPr="005251C5">
        <w:rPr>
          <w:rFonts w:cs="Arial"/>
          <w:bCs/>
          <w:sz w:val="22"/>
          <w:szCs w:val="22"/>
        </w:rPr>
        <w:t xml:space="preserve">Finally, </w:t>
      </w:r>
      <w:r w:rsidR="0016346E">
        <w:rPr>
          <w:rFonts w:cs="Arial"/>
          <w:bCs/>
          <w:sz w:val="22"/>
          <w:szCs w:val="22"/>
        </w:rPr>
        <w:t xml:space="preserve">it </w:t>
      </w:r>
      <w:r>
        <w:rPr>
          <w:rFonts w:cs="Arial"/>
          <w:bCs/>
          <w:sz w:val="22"/>
          <w:szCs w:val="22"/>
        </w:rPr>
        <w:t xml:space="preserve"> </w:t>
      </w:r>
      <w:r>
        <w:rPr>
          <w:rFonts w:cs="Arial"/>
          <w:b/>
          <w:bCs/>
          <w:i/>
          <w:sz w:val="22"/>
          <w:szCs w:val="22"/>
        </w:rPr>
        <w:t>u</w:t>
      </w:r>
      <w:r w:rsidRPr="000A26F2">
        <w:rPr>
          <w:rFonts w:cs="Arial"/>
          <w:b/>
          <w:bCs/>
          <w:i/>
          <w:sz w:val="22"/>
          <w:szCs w:val="22"/>
        </w:rPr>
        <w:t>ses inclusive, non-sexist language</w:t>
      </w:r>
      <w:r w:rsidRPr="000A26F2">
        <w:rPr>
          <w:rFonts w:cs="Arial"/>
          <w:bCs/>
          <w:sz w:val="22"/>
          <w:szCs w:val="22"/>
        </w:rPr>
        <w:t>.</w:t>
      </w:r>
    </w:p>
    <w:p w:rsidR="009571FA" w:rsidRPr="000A26F2" w:rsidRDefault="009571FA" w:rsidP="001722FA">
      <w:pPr>
        <w:pStyle w:val="ListParagraph"/>
        <w:ind w:left="270" w:right="900"/>
        <w:jc w:val="both"/>
        <w:rPr>
          <w:sz w:val="22"/>
          <w:szCs w:val="22"/>
        </w:rPr>
      </w:pPr>
    </w:p>
    <w:p w:rsidR="008520B1" w:rsidRDefault="008520B1" w:rsidP="004426EF">
      <w:pPr>
        <w:pStyle w:val="ListParagraph"/>
        <w:ind w:left="0" w:right="900"/>
        <w:jc w:val="both"/>
        <w:rPr>
          <w:b/>
          <w:i/>
          <w:sz w:val="22"/>
          <w:szCs w:val="22"/>
          <w:u w:val="single"/>
        </w:rPr>
      </w:pPr>
    </w:p>
    <w:p w:rsidR="009571FA" w:rsidRPr="000A26F2" w:rsidRDefault="009571FA" w:rsidP="004426EF">
      <w:pPr>
        <w:pStyle w:val="ListParagraph"/>
        <w:ind w:left="0" w:right="900"/>
        <w:jc w:val="both"/>
        <w:rPr>
          <w:sz w:val="22"/>
          <w:szCs w:val="22"/>
        </w:rPr>
      </w:pPr>
      <w:r w:rsidRPr="004426EF">
        <w:rPr>
          <w:b/>
          <w:i/>
          <w:sz w:val="22"/>
          <w:szCs w:val="22"/>
          <w:u w:val="single"/>
        </w:rPr>
        <w:t>Health in the Americas 2007</w:t>
      </w:r>
      <w:r w:rsidRPr="004426EF">
        <w:rPr>
          <w:i/>
          <w:sz w:val="22"/>
          <w:szCs w:val="22"/>
          <w:u w:val="single"/>
        </w:rPr>
        <w:t xml:space="preserve">. </w:t>
      </w:r>
      <w:r w:rsidRPr="004426EF">
        <w:rPr>
          <w:sz w:val="22"/>
          <w:szCs w:val="22"/>
          <w:u w:val="single"/>
        </w:rPr>
        <w:t xml:space="preserve"> </w:t>
      </w:r>
      <w:r w:rsidRPr="004426EF">
        <w:rPr>
          <w:b/>
          <w:i/>
          <w:sz w:val="22"/>
          <w:szCs w:val="22"/>
          <w:u w:val="single"/>
        </w:rPr>
        <w:t>Volume II—Countries</w:t>
      </w:r>
      <w:r w:rsidRPr="000A26F2">
        <w:rPr>
          <w:sz w:val="22"/>
          <w:szCs w:val="22"/>
        </w:rPr>
        <w:t xml:space="preserve">  (747 pages)</w:t>
      </w:r>
    </w:p>
    <w:p w:rsidR="009571FA" w:rsidRPr="00DD0211" w:rsidRDefault="009571FA" w:rsidP="001452C5">
      <w:pPr>
        <w:pStyle w:val="ListParagraph"/>
        <w:tabs>
          <w:tab w:val="left" w:pos="9360"/>
        </w:tabs>
        <w:ind w:right="-90"/>
        <w:rPr>
          <w:sz w:val="14"/>
          <w:szCs w:val="22"/>
        </w:rPr>
      </w:pPr>
    </w:p>
    <w:p w:rsidR="009571FA" w:rsidRPr="000A26F2" w:rsidRDefault="009571FA" w:rsidP="004426EF">
      <w:pPr>
        <w:pStyle w:val="ListParagraph"/>
        <w:tabs>
          <w:tab w:val="left" w:pos="9270"/>
          <w:tab w:val="left" w:pos="9360"/>
        </w:tabs>
        <w:ind w:left="0" w:right="-180"/>
        <w:rPr>
          <w:sz w:val="22"/>
          <w:szCs w:val="22"/>
        </w:rPr>
      </w:pPr>
      <w:r w:rsidRPr="000A26F2">
        <w:rPr>
          <w:sz w:val="22"/>
          <w:szCs w:val="22"/>
        </w:rPr>
        <w:t>A random sample of the country profiles included in this second volume, 14 out of 46, was analyzed. These countries were: Antigua &amp; Barbuda, Argentina, Aruba, Barbados, Bolivia, Canada, Costa Rica, Ecuador, Honduras, Nicaragua, Suriname, Uruguay, El Salvador, and Trinidad &amp; Tobago (222 out of the 747 pages in this volume).  The following are the results of the analysis of this second volume</w:t>
      </w:r>
      <w:r w:rsidR="00940E43">
        <w:rPr>
          <w:sz w:val="22"/>
          <w:szCs w:val="22"/>
        </w:rPr>
        <w:t xml:space="preserve"> of </w:t>
      </w:r>
      <w:r w:rsidR="00940E43" w:rsidRPr="00940E43">
        <w:rPr>
          <w:i/>
          <w:sz w:val="22"/>
          <w:szCs w:val="22"/>
        </w:rPr>
        <w:t>Health in the Americas 2007</w:t>
      </w:r>
      <w:r>
        <w:rPr>
          <w:sz w:val="22"/>
          <w:szCs w:val="22"/>
        </w:rPr>
        <w:t xml:space="preserve"> (HA 2)</w:t>
      </w:r>
      <w:r w:rsidRPr="000A26F2">
        <w:rPr>
          <w:sz w:val="22"/>
          <w:szCs w:val="22"/>
        </w:rPr>
        <w:t xml:space="preserve">:   </w:t>
      </w:r>
    </w:p>
    <w:p w:rsidR="009571FA" w:rsidRPr="00DD0211" w:rsidRDefault="009571FA" w:rsidP="001452C5">
      <w:pPr>
        <w:ind w:left="360"/>
        <w:rPr>
          <w:rFonts w:cs="Arial"/>
          <w:bCs/>
          <w:i/>
          <w:sz w:val="10"/>
          <w:szCs w:val="22"/>
        </w:rPr>
      </w:pPr>
    </w:p>
    <w:p w:rsidR="009571FA" w:rsidRDefault="009571FA" w:rsidP="00E4378A">
      <w:pPr>
        <w:rPr>
          <w:sz w:val="22"/>
          <w:szCs w:val="22"/>
        </w:rPr>
      </w:pPr>
      <w:r w:rsidRPr="00DD0211">
        <w:rPr>
          <w:rFonts w:cs="Arial"/>
          <w:b/>
          <w:bCs/>
          <w:sz w:val="22"/>
          <w:szCs w:val="22"/>
        </w:rPr>
        <w:t>a.</w:t>
      </w:r>
      <w:r w:rsidRPr="00DD0211">
        <w:rPr>
          <w:rFonts w:cs="Arial"/>
          <w:bCs/>
          <w:sz w:val="36"/>
          <w:szCs w:val="22"/>
        </w:rPr>
        <w:t xml:space="preserve">    </w:t>
      </w:r>
      <w:r w:rsidRPr="00E4378A">
        <w:rPr>
          <w:rFonts w:cs="Arial"/>
          <w:bCs/>
          <w:sz w:val="22"/>
          <w:szCs w:val="22"/>
        </w:rPr>
        <w:t>In terms on the inclusion of</w:t>
      </w:r>
      <w:r>
        <w:rPr>
          <w:rFonts w:cs="Arial"/>
          <w:b/>
          <w:bCs/>
          <w:i/>
          <w:sz w:val="22"/>
          <w:szCs w:val="22"/>
        </w:rPr>
        <w:t xml:space="preserve"> “ one or more ‘</w:t>
      </w:r>
      <w:r w:rsidRPr="000A26F2">
        <w:rPr>
          <w:rFonts w:cs="Arial"/>
          <w:b/>
          <w:bCs/>
          <w:i/>
          <w:sz w:val="22"/>
          <w:szCs w:val="22"/>
        </w:rPr>
        <w:t>explicit</w:t>
      </w:r>
      <w:r>
        <w:rPr>
          <w:rFonts w:cs="Arial"/>
          <w:b/>
          <w:bCs/>
          <w:i/>
          <w:sz w:val="22"/>
          <w:szCs w:val="22"/>
        </w:rPr>
        <w:t>’</w:t>
      </w:r>
      <w:r w:rsidRPr="000A26F2">
        <w:rPr>
          <w:rFonts w:cs="Arial"/>
          <w:b/>
          <w:bCs/>
          <w:i/>
          <w:sz w:val="22"/>
          <w:szCs w:val="22"/>
        </w:rPr>
        <w:t xml:space="preserve"> statements/references to gender equality or gender equity</w:t>
      </w:r>
      <w:r>
        <w:rPr>
          <w:rFonts w:cs="Arial"/>
          <w:b/>
          <w:bCs/>
          <w:i/>
          <w:sz w:val="22"/>
          <w:szCs w:val="22"/>
        </w:rPr>
        <w:t xml:space="preserve">”, </w:t>
      </w:r>
      <w:r w:rsidRPr="00E4378A">
        <w:rPr>
          <w:rFonts w:cs="Arial"/>
          <w:bCs/>
          <w:sz w:val="22"/>
          <w:szCs w:val="22"/>
        </w:rPr>
        <w:t>HA</w:t>
      </w:r>
      <w:r w:rsidR="00940E43">
        <w:rPr>
          <w:rFonts w:cs="Arial"/>
          <w:bCs/>
          <w:sz w:val="22"/>
          <w:szCs w:val="22"/>
        </w:rPr>
        <w:t xml:space="preserve"> </w:t>
      </w:r>
      <w:r w:rsidRPr="00E4378A">
        <w:rPr>
          <w:rFonts w:cs="Arial"/>
          <w:bCs/>
          <w:sz w:val="22"/>
          <w:szCs w:val="22"/>
        </w:rPr>
        <w:t>2 barely qualified</w:t>
      </w:r>
      <w:r>
        <w:rPr>
          <w:rFonts w:cs="Arial"/>
          <w:b/>
          <w:bCs/>
          <w:i/>
          <w:sz w:val="22"/>
          <w:szCs w:val="22"/>
        </w:rPr>
        <w:t xml:space="preserve">. </w:t>
      </w:r>
      <w:r w:rsidRPr="000A26F2">
        <w:rPr>
          <w:rFonts w:cs="Arial"/>
          <w:b/>
          <w:bCs/>
          <w:i/>
          <w:sz w:val="22"/>
          <w:szCs w:val="22"/>
        </w:rPr>
        <w:t xml:space="preserve">:  </w:t>
      </w:r>
      <w:r w:rsidRPr="000A26F2">
        <w:rPr>
          <w:i/>
          <w:sz w:val="22"/>
          <w:szCs w:val="22"/>
        </w:rPr>
        <w:t xml:space="preserve">Gender equality </w:t>
      </w:r>
      <w:r w:rsidRPr="000A26F2">
        <w:rPr>
          <w:sz w:val="22"/>
          <w:szCs w:val="22"/>
        </w:rPr>
        <w:t xml:space="preserve">was explicitly mentioned only once and in one country profile: Argentina. Gender equity was not explicitly alluded to in any country. </w:t>
      </w:r>
      <w:r>
        <w:rPr>
          <w:sz w:val="22"/>
          <w:szCs w:val="22"/>
        </w:rPr>
        <w:t>Furthermore, t</w:t>
      </w:r>
      <w:r w:rsidRPr="000A26F2">
        <w:rPr>
          <w:rFonts w:cs="Arial"/>
          <w:bCs/>
          <w:sz w:val="22"/>
          <w:szCs w:val="22"/>
        </w:rPr>
        <w:t xml:space="preserve">he utilization of the </w:t>
      </w:r>
      <w:r w:rsidRPr="000A26F2">
        <w:rPr>
          <w:rFonts w:cs="Arial"/>
          <w:bCs/>
          <w:i/>
          <w:sz w:val="22"/>
          <w:szCs w:val="22"/>
        </w:rPr>
        <w:t>gender</w:t>
      </w:r>
      <w:r w:rsidRPr="000A26F2">
        <w:rPr>
          <w:rFonts w:cs="Arial"/>
          <w:bCs/>
          <w:sz w:val="22"/>
          <w:szCs w:val="22"/>
        </w:rPr>
        <w:t xml:space="preserve"> </w:t>
      </w:r>
      <w:r>
        <w:rPr>
          <w:rFonts w:cs="Arial"/>
          <w:bCs/>
          <w:sz w:val="22"/>
          <w:szCs w:val="22"/>
        </w:rPr>
        <w:t xml:space="preserve">term </w:t>
      </w:r>
      <w:r w:rsidRPr="000A26F2">
        <w:rPr>
          <w:rFonts w:cs="Arial"/>
          <w:bCs/>
          <w:sz w:val="22"/>
          <w:szCs w:val="22"/>
        </w:rPr>
        <w:t xml:space="preserve">was not </w:t>
      </w:r>
      <w:r w:rsidR="00940E43" w:rsidRPr="000A26F2">
        <w:rPr>
          <w:rFonts w:cs="Arial"/>
          <w:bCs/>
          <w:sz w:val="22"/>
          <w:szCs w:val="22"/>
        </w:rPr>
        <w:t xml:space="preserve">either </w:t>
      </w:r>
      <w:r w:rsidRPr="000A26F2">
        <w:rPr>
          <w:rFonts w:cs="Arial"/>
          <w:bCs/>
          <w:sz w:val="22"/>
          <w:szCs w:val="22"/>
        </w:rPr>
        <w:t xml:space="preserve">widely widespread: only 9 out of 14 country profiles contained this concept. </w:t>
      </w:r>
      <w:r w:rsidRPr="000A26F2">
        <w:rPr>
          <w:sz w:val="22"/>
          <w:szCs w:val="22"/>
        </w:rPr>
        <w:t xml:space="preserve">Most references came from Trinidad &amp; Tobago (14), and El Salvador (7). With the exception of Trinidad &amp; Tobago that referred to sex-parity in education, no other mentions were made to MDG 3 although the MDG framework was frequently alluded to in most countries. </w:t>
      </w:r>
      <w:r>
        <w:rPr>
          <w:sz w:val="22"/>
          <w:szCs w:val="22"/>
        </w:rPr>
        <w:t xml:space="preserve"> </w:t>
      </w:r>
    </w:p>
    <w:p w:rsidR="009571FA" w:rsidRPr="00DD0211" w:rsidRDefault="009571FA" w:rsidP="00E4378A">
      <w:pPr>
        <w:rPr>
          <w:sz w:val="18"/>
          <w:szCs w:val="22"/>
        </w:rPr>
      </w:pPr>
    </w:p>
    <w:p w:rsidR="009571FA" w:rsidRPr="006A7978" w:rsidRDefault="009571FA" w:rsidP="00E4378A">
      <w:pPr>
        <w:rPr>
          <w:i/>
          <w:sz w:val="22"/>
          <w:szCs w:val="22"/>
        </w:rPr>
      </w:pPr>
      <w:r w:rsidRPr="00500C2A">
        <w:rPr>
          <w:b/>
          <w:sz w:val="22"/>
          <w:szCs w:val="22"/>
        </w:rPr>
        <w:t>b</w:t>
      </w:r>
      <w:r>
        <w:rPr>
          <w:b/>
          <w:sz w:val="22"/>
          <w:szCs w:val="22"/>
        </w:rPr>
        <w:t xml:space="preserve">. </w:t>
      </w:r>
      <w:r>
        <w:rPr>
          <w:sz w:val="22"/>
          <w:szCs w:val="22"/>
        </w:rPr>
        <w:t xml:space="preserve"> When it came to including </w:t>
      </w:r>
      <w:r>
        <w:rPr>
          <w:rFonts w:cs="Arial"/>
          <w:b/>
          <w:bCs/>
          <w:i/>
          <w:sz w:val="22"/>
          <w:szCs w:val="22"/>
        </w:rPr>
        <w:t>“</w:t>
      </w:r>
      <w:r w:rsidRPr="000A26F2">
        <w:rPr>
          <w:rFonts w:cs="Arial"/>
          <w:b/>
          <w:bCs/>
          <w:i/>
          <w:sz w:val="22"/>
          <w:szCs w:val="22"/>
        </w:rPr>
        <w:t>one or more "implicit" or indirect references to gender</w:t>
      </w:r>
      <w:r>
        <w:rPr>
          <w:rFonts w:cs="Arial"/>
          <w:b/>
          <w:bCs/>
          <w:i/>
          <w:sz w:val="22"/>
          <w:szCs w:val="22"/>
        </w:rPr>
        <w:t xml:space="preserve">”,  </w:t>
      </w:r>
      <w:r>
        <w:rPr>
          <w:rFonts w:cs="Arial"/>
          <w:bCs/>
          <w:sz w:val="22"/>
          <w:szCs w:val="22"/>
        </w:rPr>
        <w:t xml:space="preserve">HA2 contained more </w:t>
      </w:r>
      <w:r w:rsidRPr="000A26F2">
        <w:rPr>
          <w:rFonts w:cs="Arial"/>
          <w:bCs/>
          <w:sz w:val="22"/>
          <w:szCs w:val="22"/>
        </w:rPr>
        <w:t>than 150</w:t>
      </w:r>
      <w:r>
        <w:rPr>
          <w:rFonts w:cs="Arial"/>
          <w:bCs/>
          <w:sz w:val="22"/>
          <w:szCs w:val="22"/>
        </w:rPr>
        <w:t xml:space="preserve">. They dealt with </w:t>
      </w:r>
      <w:r w:rsidRPr="000A26F2">
        <w:rPr>
          <w:rFonts w:cs="Arial"/>
          <w:bCs/>
          <w:sz w:val="22"/>
          <w:szCs w:val="22"/>
        </w:rPr>
        <w:t>gaps and inequalities between</w:t>
      </w:r>
      <w:r>
        <w:rPr>
          <w:rFonts w:cs="Arial"/>
          <w:bCs/>
          <w:sz w:val="22"/>
          <w:szCs w:val="22"/>
        </w:rPr>
        <w:t xml:space="preserve"> women and men in terms of </w:t>
      </w:r>
      <w:r w:rsidRPr="000A26F2">
        <w:rPr>
          <w:rFonts w:cs="Arial"/>
          <w:bCs/>
          <w:sz w:val="22"/>
          <w:szCs w:val="22"/>
        </w:rPr>
        <w:t>access to resources and power</w:t>
      </w:r>
      <w:r>
        <w:rPr>
          <w:rFonts w:cs="Arial"/>
          <w:bCs/>
          <w:sz w:val="22"/>
          <w:szCs w:val="22"/>
        </w:rPr>
        <w:t>, and with</w:t>
      </w:r>
      <w:r w:rsidR="00940E43">
        <w:rPr>
          <w:rFonts w:cs="Arial"/>
          <w:bCs/>
          <w:sz w:val="22"/>
          <w:szCs w:val="22"/>
        </w:rPr>
        <w:t xml:space="preserve"> special issues affecting women</w:t>
      </w:r>
      <w:r w:rsidRPr="000A26F2">
        <w:rPr>
          <w:sz w:val="22"/>
          <w:szCs w:val="22"/>
        </w:rPr>
        <w:t>:</w:t>
      </w:r>
      <w:r w:rsidRPr="000A26F2">
        <w:rPr>
          <w:b/>
          <w:sz w:val="22"/>
          <w:szCs w:val="22"/>
        </w:rPr>
        <w:t xml:space="preserve"> ‘</w:t>
      </w:r>
      <w:r w:rsidRPr="000A26F2">
        <w:rPr>
          <w:b/>
          <w:i/>
          <w:sz w:val="22"/>
          <w:szCs w:val="22"/>
        </w:rPr>
        <w:t>Gender-based violence’</w:t>
      </w:r>
      <w:r w:rsidRPr="000A26F2">
        <w:rPr>
          <w:sz w:val="22"/>
          <w:szCs w:val="22"/>
        </w:rPr>
        <w:t xml:space="preserve"> or ‘violence against women’ was probably the single most mentioned gendered health issue (32 references). It was highlighted in all but two </w:t>
      </w:r>
      <w:r w:rsidR="00940E43">
        <w:rPr>
          <w:sz w:val="22"/>
          <w:szCs w:val="22"/>
        </w:rPr>
        <w:t xml:space="preserve">of the </w:t>
      </w:r>
      <w:r w:rsidRPr="000A26F2">
        <w:rPr>
          <w:sz w:val="22"/>
          <w:szCs w:val="22"/>
        </w:rPr>
        <w:t>sampled countries: Uruguay and Argentina</w:t>
      </w:r>
      <w:r w:rsidRPr="000A26F2">
        <w:rPr>
          <w:b/>
          <w:sz w:val="22"/>
          <w:szCs w:val="22"/>
        </w:rPr>
        <w:t>.</w:t>
      </w:r>
      <w:r w:rsidRPr="000A26F2">
        <w:rPr>
          <w:sz w:val="22"/>
          <w:szCs w:val="22"/>
        </w:rPr>
        <w:t xml:space="preserve"> </w:t>
      </w:r>
      <w:r w:rsidRPr="006A7978">
        <w:rPr>
          <w:i/>
          <w:sz w:val="22"/>
          <w:szCs w:val="22"/>
        </w:rPr>
        <w:t>It must be noted, h</w:t>
      </w:r>
      <w:r w:rsidRPr="006A7978">
        <w:rPr>
          <w:rFonts w:cs="Arial"/>
          <w:bCs/>
          <w:i/>
          <w:sz w:val="22"/>
          <w:szCs w:val="22"/>
        </w:rPr>
        <w:t xml:space="preserve">owever, that </w:t>
      </w:r>
      <w:r w:rsidRPr="006A7978">
        <w:rPr>
          <w:i/>
          <w:sz w:val="22"/>
          <w:szCs w:val="22"/>
        </w:rPr>
        <w:t>5 of the 14 countries did not contain any gender-related reference</w:t>
      </w:r>
      <w:r>
        <w:rPr>
          <w:i/>
          <w:sz w:val="22"/>
          <w:szCs w:val="22"/>
        </w:rPr>
        <w:t>s.</w:t>
      </w:r>
    </w:p>
    <w:p w:rsidR="009571FA" w:rsidRPr="00DD0211" w:rsidRDefault="009571FA" w:rsidP="001452C5">
      <w:pPr>
        <w:rPr>
          <w:i/>
          <w:sz w:val="18"/>
          <w:szCs w:val="22"/>
        </w:rPr>
      </w:pPr>
    </w:p>
    <w:p w:rsidR="009571FA" w:rsidRPr="000A26F2" w:rsidRDefault="009571FA" w:rsidP="00737FF5">
      <w:pPr>
        <w:rPr>
          <w:rFonts w:cs="Arial"/>
          <w:bCs/>
          <w:sz w:val="22"/>
          <w:szCs w:val="22"/>
        </w:rPr>
      </w:pPr>
      <w:r>
        <w:rPr>
          <w:rFonts w:cs="Arial"/>
          <w:b/>
          <w:bCs/>
          <w:sz w:val="22"/>
          <w:szCs w:val="22"/>
        </w:rPr>
        <w:t>c.</w:t>
      </w:r>
      <w:r>
        <w:rPr>
          <w:rFonts w:cs="Arial"/>
          <w:bCs/>
          <w:sz w:val="22"/>
          <w:szCs w:val="22"/>
        </w:rPr>
        <w:t xml:space="preserve">   </w:t>
      </w:r>
      <w:r w:rsidRPr="006A7978">
        <w:rPr>
          <w:rFonts w:cs="Arial"/>
          <w:bCs/>
          <w:sz w:val="22"/>
          <w:szCs w:val="22"/>
        </w:rPr>
        <w:t>HA 2 does not specifically</w:t>
      </w:r>
      <w:r>
        <w:rPr>
          <w:rFonts w:cs="Arial"/>
          <w:b/>
          <w:bCs/>
          <w:i/>
          <w:sz w:val="22"/>
          <w:szCs w:val="22"/>
        </w:rPr>
        <w:t xml:space="preserve"> “r</w:t>
      </w:r>
      <w:r w:rsidRPr="000A26F2">
        <w:rPr>
          <w:rFonts w:cs="Arial"/>
          <w:b/>
          <w:bCs/>
          <w:i/>
          <w:sz w:val="22"/>
          <w:szCs w:val="22"/>
          <w:u w:val="single"/>
        </w:rPr>
        <w:t>ecommend</w:t>
      </w:r>
      <w:r w:rsidRPr="00940E43">
        <w:rPr>
          <w:rFonts w:cs="Arial"/>
          <w:b/>
          <w:bCs/>
          <w:i/>
          <w:sz w:val="22"/>
          <w:szCs w:val="22"/>
        </w:rPr>
        <w:t xml:space="preserve"> </w:t>
      </w:r>
      <w:r w:rsidRPr="006A7978">
        <w:rPr>
          <w:rFonts w:cs="Arial"/>
          <w:b/>
          <w:bCs/>
          <w:i/>
          <w:sz w:val="22"/>
          <w:szCs w:val="22"/>
        </w:rPr>
        <w:t>the use</w:t>
      </w:r>
      <w:r w:rsidRPr="000A26F2">
        <w:rPr>
          <w:rFonts w:cs="Arial"/>
          <w:b/>
          <w:bCs/>
          <w:i/>
          <w:sz w:val="22"/>
          <w:szCs w:val="22"/>
        </w:rPr>
        <w:t xml:space="preserve"> of </w:t>
      </w:r>
      <w:r>
        <w:rPr>
          <w:rFonts w:cs="Arial"/>
          <w:b/>
          <w:bCs/>
          <w:i/>
          <w:sz w:val="22"/>
          <w:szCs w:val="22"/>
        </w:rPr>
        <w:t xml:space="preserve">SDD”, </w:t>
      </w:r>
      <w:r w:rsidRPr="00940E43">
        <w:rPr>
          <w:rFonts w:cs="Arial"/>
          <w:bCs/>
          <w:sz w:val="22"/>
          <w:szCs w:val="22"/>
        </w:rPr>
        <w:t>however it</w:t>
      </w:r>
      <w:r w:rsidRPr="00737FF5">
        <w:rPr>
          <w:rFonts w:cs="Arial"/>
          <w:bCs/>
          <w:sz w:val="22"/>
          <w:szCs w:val="22"/>
        </w:rPr>
        <w:t xml:space="preserve"> does</w:t>
      </w:r>
      <w:r>
        <w:rPr>
          <w:rFonts w:cs="Arial"/>
          <w:b/>
          <w:bCs/>
          <w:i/>
          <w:sz w:val="22"/>
          <w:szCs w:val="22"/>
        </w:rPr>
        <w:t xml:space="preserve"> “u</w:t>
      </w:r>
      <w:r w:rsidRPr="000A26F2">
        <w:rPr>
          <w:rFonts w:cs="Arial"/>
          <w:b/>
          <w:bCs/>
          <w:i/>
          <w:sz w:val="22"/>
          <w:szCs w:val="22"/>
          <w:u w:val="single"/>
        </w:rPr>
        <w:t>se/present</w:t>
      </w:r>
      <w:r w:rsidRPr="000A26F2">
        <w:rPr>
          <w:rFonts w:cs="Arial"/>
          <w:b/>
          <w:bCs/>
          <w:i/>
          <w:sz w:val="22"/>
          <w:szCs w:val="22"/>
        </w:rPr>
        <w:t xml:space="preserve"> </w:t>
      </w:r>
      <w:r>
        <w:rPr>
          <w:rFonts w:cs="Arial"/>
          <w:b/>
          <w:bCs/>
          <w:i/>
          <w:sz w:val="22"/>
          <w:szCs w:val="22"/>
        </w:rPr>
        <w:t xml:space="preserve">SDD”. </w:t>
      </w:r>
      <w:r w:rsidRPr="000A26F2">
        <w:rPr>
          <w:rFonts w:cs="Arial"/>
          <w:bCs/>
          <w:sz w:val="22"/>
          <w:szCs w:val="22"/>
        </w:rPr>
        <w:t xml:space="preserve">There are approximately 465 references in text, tables and graphs to SDD covering social, demographic and health issues. These references </w:t>
      </w:r>
      <w:r w:rsidRPr="000A26F2">
        <w:rPr>
          <w:sz w:val="22"/>
          <w:szCs w:val="22"/>
        </w:rPr>
        <w:t>were fairly w</w:t>
      </w:r>
      <w:r>
        <w:rPr>
          <w:sz w:val="22"/>
          <w:szCs w:val="22"/>
        </w:rPr>
        <w:t xml:space="preserve">idespread throughout the </w:t>
      </w:r>
      <w:r w:rsidRPr="000A26F2">
        <w:rPr>
          <w:sz w:val="22"/>
          <w:szCs w:val="22"/>
        </w:rPr>
        <w:t>sample of countries</w:t>
      </w:r>
      <w:r>
        <w:rPr>
          <w:sz w:val="22"/>
          <w:szCs w:val="22"/>
        </w:rPr>
        <w:t>, being more frequent in some countries</w:t>
      </w:r>
      <w:r w:rsidR="00940E43">
        <w:rPr>
          <w:sz w:val="22"/>
          <w:szCs w:val="22"/>
        </w:rPr>
        <w:t>.</w:t>
      </w:r>
      <w:r w:rsidRPr="000A26F2">
        <w:rPr>
          <w:rFonts w:cs="Arial"/>
          <w:bCs/>
          <w:sz w:val="22"/>
          <w:szCs w:val="22"/>
          <w:lang w:val="en-US"/>
        </w:rPr>
        <w:t xml:space="preserve"> In the preface to the book, the Director expresses clear concern about this issue:  </w:t>
      </w:r>
      <w:r w:rsidRPr="000A26F2">
        <w:rPr>
          <w:i/>
          <w:sz w:val="22"/>
          <w:szCs w:val="22"/>
        </w:rPr>
        <w:t>“It bears noting, that the quality of information from the countries varies considerably and that it was impossible to obtain from some of them within-country disaggregation of data that would enable measurement of disparities in the health status of specific population groups”</w:t>
      </w:r>
      <w:r>
        <w:rPr>
          <w:i/>
          <w:sz w:val="22"/>
          <w:szCs w:val="22"/>
        </w:rPr>
        <w:t xml:space="preserve">. </w:t>
      </w:r>
      <w:r w:rsidRPr="00737FF5">
        <w:rPr>
          <w:rFonts w:cs="Arial"/>
          <w:bCs/>
          <w:sz w:val="22"/>
          <w:szCs w:val="22"/>
        </w:rPr>
        <w:t>The use of</w:t>
      </w:r>
      <w:r>
        <w:rPr>
          <w:rFonts w:cs="Arial"/>
          <w:b/>
          <w:bCs/>
          <w:i/>
          <w:sz w:val="22"/>
          <w:szCs w:val="22"/>
        </w:rPr>
        <w:t xml:space="preserve"> “</w:t>
      </w:r>
      <w:r w:rsidRPr="00737FF5">
        <w:rPr>
          <w:rFonts w:cs="Arial"/>
          <w:b/>
          <w:bCs/>
          <w:i/>
          <w:sz w:val="22"/>
          <w:szCs w:val="22"/>
        </w:rPr>
        <w:t>Gender analysis</w:t>
      </w:r>
      <w:r>
        <w:rPr>
          <w:rFonts w:cs="Arial"/>
          <w:b/>
          <w:bCs/>
          <w:i/>
          <w:sz w:val="22"/>
          <w:szCs w:val="22"/>
        </w:rPr>
        <w:t>”</w:t>
      </w:r>
      <w:r w:rsidRPr="000A26F2">
        <w:rPr>
          <w:rFonts w:cs="Arial"/>
          <w:bCs/>
          <w:sz w:val="22"/>
          <w:szCs w:val="22"/>
        </w:rPr>
        <w:t xml:space="preserve"> is mostly restricted to the social context</w:t>
      </w:r>
      <w:r>
        <w:rPr>
          <w:rFonts w:cs="Arial"/>
          <w:bCs/>
          <w:sz w:val="22"/>
          <w:szCs w:val="22"/>
        </w:rPr>
        <w:t xml:space="preserve"> and </w:t>
      </w:r>
      <w:r w:rsidRPr="000A26F2">
        <w:rPr>
          <w:rFonts w:cs="Arial"/>
          <w:bCs/>
          <w:sz w:val="22"/>
          <w:szCs w:val="22"/>
        </w:rPr>
        <w:t>seldom applied to health themes except in reference to HIV, GBV, and other SRH issues.</w:t>
      </w:r>
    </w:p>
    <w:p w:rsidR="009571FA" w:rsidRPr="00DD0211" w:rsidRDefault="009571FA" w:rsidP="001452C5">
      <w:pPr>
        <w:ind w:left="360"/>
        <w:rPr>
          <w:rFonts w:cs="Arial"/>
          <w:bCs/>
          <w:sz w:val="18"/>
          <w:szCs w:val="22"/>
        </w:rPr>
      </w:pPr>
    </w:p>
    <w:p w:rsidR="009571FA" w:rsidRDefault="009571FA" w:rsidP="00737FF5">
      <w:pPr>
        <w:rPr>
          <w:rFonts w:cs="Arial"/>
          <w:bCs/>
          <w:sz w:val="22"/>
          <w:szCs w:val="22"/>
        </w:rPr>
      </w:pPr>
      <w:r>
        <w:rPr>
          <w:rFonts w:cs="Arial"/>
          <w:b/>
          <w:bCs/>
          <w:sz w:val="22"/>
          <w:szCs w:val="22"/>
        </w:rPr>
        <w:t>d.</w:t>
      </w:r>
      <w:r>
        <w:rPr>
          <w:rFonts w:cs="Arial"/>
          <w:bCs/>
          <w:sz w:val="22"/>
          <w:szCs w:val="22"/>
        </w:rPr>
        <w:t xml:space="preserve">    Regarding “</w:t>
      </w:r>
      <w:r w:rsidRPr="000A26F2">
        <w:rPr>
          <w:rFonts w:cs="Arial"/>
          <w:b/>
          <w:bCs/>
          <w:i/>
          <w:sz w:val="22"/>
          <w:szCs w:val="22"/>
        </w:rPr>
        <w:t>specifi</w:t>
      </w:r>
      <w:r>
        <w:rPr>
          <w:rFonts w:cs="Arial"/>
          <w:b/>
          <w:bCs/>
          <w:i/>
          <w:sz w:val="22"/>
          <w:szCs w:val="22"/>
        </w:rPr>
        <w:t xml:space="preserve">cation of </w:t>
      </w:r>
      <w:r w:rsidRPr="000A26F2">
        <w:rPr>
          <w:rFonts w:cs="Arial"/>
          <w:b/>
          <w:bCs/>
          <w:i/>
          <w:sz w:val="22"/>
          <w:szCs w:val="22"/>
        </w:rPr>
        <w:t>at least one action/ recommendation to address gender</w:t>
      </w:r>
      <w:r>
        <w:rPr>
          <w:rFonts w:cs="Arial"/>
          <w:b/>
          <w:bCs/>
          <w:i/>
          <w:sz w:val="22"/>
          <w:szCs w:val="22"/>
        </w:rPr>
        <w:t>”</w:t>
      </w:r>
      <w:r w:rsidR="00940E43">
        <w:rPr>
          <w:rFonts w:cs="Arial"/>
          <w:b/>
          <w:bCs/>
          <w:i/>
          <w:sz w:val="22"/>
          <w:szCs w:val="22"/>
        </w:rPr>
        <w:t>,</w:t>
      </w:r>
      <w:r>
        <w:rPr>
          <w:rFonts w:cs="Arial"/>
          <w:b/>
          <w:bCs/>
          <w:i/>
          <w:sz w:val="22"/>
          <w:szCs w:val="22"/>
        </w:rPr>
        <w:t xml:space="preserve"> </w:t>
      </w:r>
      <w:r w:rsidRPr="00737FF5">
        <w:rPr>
          <w:rFonts w:cs="Arial"/>
          <w:bCs/>
          <w:sz w:val="22"/>
          <w:szCs w:val="22"/>
        </w:rPr>
        <w:t xml:space="preserve">HA2 </w:t>
      </w:r>
      <w:r>
        <w:rPr>
          <w:rFonts w:cs="Arial"/>
          <w:bCs/>
          <w:sz w:val="22"/>
          <w:szCs w:val="22"/>
        </w:rPr>
        <w:t>m</w:t>
      </w:r>
      <w:r w:rsidRPr="000A26F2">
        <w:rPr>
          <w:rFonts w:cs="Arial"/>
          <w:bCs/>
          <w:sz w:val="22"/>
          <w:szCs w:val="22"/>
        </w:rPr>
        <w:t xml:space="preserve">ost often </w:t>
      </w:r>
      <w:r>
        <w:rPr>
          <w:rFonts w:cs="Arial"/>
          <w:bCs/>
          <w:sz w:val="22"/>
          <w:szCs w:val="22"/>
        </w:rPr>
        <w:t xml:space="preserve">limits itself to pinpoint </w:t>
      </w:r>
      <w:r w:rsidRPr="000A26F2">
        <w:rPr>
          <w:rFonts w:cs="Arial"/>
          <w:bCs/>
          <w:sz w:val="22"/>
          <w:szCs w:val="22"/>
        </w:rPr>
        <w:t xml:space="preserve">gender inequities </w:t>
      </w:r>
      <w:r>
        <w:rPr>
          <w:rFonts w:cs="Arial"/>
          <w:bCs/>
          <w:sz w:val="22"/>
          <w:szCs w:val="22"/>
        </w:rPr>
        <w:t xml:space="preserve">but </w:t>
      </w:r>
      <w:r w:rsidRPr="000A26F2">
        <w:rPr>
          <w:rFonts w:cs="Arial"/>
          <w:bCs/>
          <w:sz w:val="22"/>
          <w:szCs w:val="22"/>
        </w:rPr>
        <w:t xml:space="preserve">without reference to actions to address them. There </w:t>
      </w:r>
      <w:r>
        <w:rPr>
          <w:rFonts w:cs="Arial"/>
          <w:bCs/>
          <w:sz w:val="22"/>
          <w:szCs w:val="22"/>
        </w:rPr>
        <w:t>were</w:t>
      </w:r>
      <w:r w:rsidRPr="000A26F2">
        <w:rPr>
          <w:rFonts w:cs="Arial"/>
          <w:bCs/>
          <w:sz w:val="22"/>
          <w:szCs w:val="22"/>
        </w:rPr>
        <w:t xml:space="preserve"> some exceptions, such as the ‘Program of Healthy Sexuality and Responsible Procreation’ in Argentina.</w:t>
      </w:r>
      <w:r>
        <w:rPr>
          <w:rFonts w:cs="Arial"/>
          <w:bCs/>
          <w:sz w:val="22"/>
          <w:szCs w:val="22"/>
        </w:rPr>
        <w:t xml:space="preserve"> </w:t>
      </w:r>
    </w:p>
    <w:p w:rsidR="009571FA" w:rsidRPr="00DD0211" w:rsidRDefault="009571FA" w:rsidP="00737FF5">
      <w:pPr>
        <w:rPr>
          <w:rFonts w:cs="Arial"/>
          <w:bCs/>
          <w:sz w:val="12"/>
          <w:szCs w:val="22"/>
        </w:rPr>
      </w:pPr>
    </w:p>
    <w:p w:rsidR="009571FA" w:rsidRPr="000A26F2" w:rsidRDefault="009571FA" w:rsidP="00737FF5">
      <w:pPr>
        <w:rPr>
          <w:i/>
          <w:sz w:val="22"/>
          <w:szCs w:val="22"/>
        </w:rPr>
      </w:pPr>
      <w:r>
        <w:rPr>
          <w:rFonts w:cs="Arial"/>
          <w:b/>
          <w:bCs/>
          <w:sz w:val="22"/>
          <w:szCs w:val="22"/>
        </w:rPr>
        <w:t xml:space="preserve">e. </w:t>
      </w:r>
      <w:r>
        <w:rPr>
          <w:rFonts w:cs="Arial"/>
          <w:bCs/>
          <w:sz w:val="22"/>
          <w:szCs w:val="22"/>
        </w:rPr>
        <w:t xml:space="preserve"> </w:t>
      </w:r>
      <w:r w:rsidRPr="000A26F2">
        <w:rPr>
          <w:rFonts w:cs="Arial"/>
          <w:bCs/>
          <w:sz w:val="22"/>
          <w:szCs w:val="22"/>
        </w:rPr>
        <w:t xml:space="preserve">There was no mention </w:t>
      </w:r>
      <w:r>
        <w:rPr>
          <w:rFonts w:cs="Arial"/>
          <w:bCs/>
          <w:sz w:val="22"/>
          <w:szCs w:val="22"/>
        </w:rPr>
        <w:t xml:space="preserve">in the volume </w:t>
      </w:r>
      <w:r w:rsidRPr="000A26F2">
        <w:rPr>
          <w:rFonts w:cs="Arial"/>
          <w:bCs/>
          <w:sz w:val="22"/>
          <w:szCs w:val="22"/>
        </w:rPr>
        <w:t xml:space="preserve">of </w:t>
      </w:r>
      <w:r>
        <w:rPr>
          <w:rFonts w:cs="Arial"/>
          <w:bCs/>
          <w:sz w:val="22"/>
          <w:szCs w:val="22"/>
        </w:rPr>
        <w:t>“</w:t>
      </w:r>
      <w:r w:rsidRPr="000A26F2">
        <w:rPr>
          <w:rFonts w:cs="Arial"/>
          <w:b/>
          <w:bCs/>
          <w:i/>
          <w:sz w:val="22"/>
          <w:szCs w:val="22"/>
        </w:rPr>
        <w:t>consultation/ partnerships with women's groups</w:t>
      </w:r>
      <w:r>
        <w:rPr>
          <w:rFonts w:cs="Arial"/>
          <w:b/>
          <w:bCs/>
          <w:i/>
          <w:sz w:val="22"/>
          <w:szCs w:val="22"/>
        </w:rPr>
        <w:t>” .</w:t>
      </w:r>
    </w:p>
    <w:p w:rsidR="009571FA" w:rsidRPr="00CA04DF" w:rsidRDefault="009571FA" w:rsidP="00316A04">
      <w:pPr>
        <w:rPr>
          <w:sz w:val="28"/>
          <w:szCs w:val="22"/>
        </w:rPr>
      </w:pPr>
    </w:p>
    <w:p w:rsidR="009571FA" w:rsidRPr="00DD0211" w:rsidRDefault="009571FA" w:rsidP="00316A04">
      <w:pPr>
        <w:rPr>
          <w:b/>
          <w:sz w:val="2"/>
          <w:szCs w:val="22"/>
        </w:rPr>
      </w:pPr>
    </w:p>
    <w:p w:rsidR="009571FA" w:rsidRPr="000A26F2" w:rsidRDefault="00C5205F" w:rsidP="00DD0211">
      <w:pPr>
        <w:rPr>
          <w:i/>
          <w:color w:val="1F497D"/>
          <w:sz w:val="22"/>
          <w:szCs w:val="22"/>
        </w:rPr>
      </w:pPr>
      <w:r>
        <w:rPr>
          <w:b/>
          <w:sz w:val="22"/>
          <w:szCs w:val="22"/>
        </w:rPr>
        <w:t>3.</w:t>
      </w:r>
      <w:r w:rsidR="009571FA" w:rsidRPr="00C5205F">
        <w:rPr>
          <w:b/>
          <w:sz w:val="22"/>
          <w:szCs w:val="22"/>
        </w:rPr>
        <w:t>2.</w:t>
      </w:r>
      <w:r>
        <w:rPr>
          <w:b/>
          <w:sz w:val="22"/>
          <w:szCs w:val="22"/>
        </w:rPr>
        <w:t xml:space="preserve">  </w:t>
      </w:r>
      <w:r w:rsidR="009571FA" w:rsidRPr="00C5205F">
        <w:rPr>
          <w:b/>
          <w:sz w:val="22"/>
          <w:szCs w:val="22"/>
        </w:rPr>
        <w:t>Policy/ Governing Bodies publication</w:t>
      </w:r>
    </w:p>
    <w:p w:rsidR="00DD0211" w:rsidRPr="00DD0211" w:rsidRDefault="00DD0211" w:rsidP="001452C5">
      <w:pPr>
        <w:ind w:left="720"/>
        <w:rPr>
          <w:b/>
          <w:i/>
          <w:color w:val="1F497D"/>
          <w:sz w:val="14"/>
          <w:szCs w:val="22"/>
        </w:rPr>
      </w:pPr>
    </w:p>
    <w:p w:rsidR="009571FA" w:rsidRPr="000A26F2" w:rsidRDefault="009571FA" w:rsidP="001452C5">
      <w:pPr>
        <w:ind w:left="720"/>
        <w:rPr>
          <w:color w:val="1F497D"/>
          <w:sz w:val="22"/>
          <w:szCs w:val="22"/>
        </w:rPr>
      </w:pPr>
      <w:r w:rsidRPr="000A26F2">
        <w:rPr>
          <w:b/>
          <w:i/>
          <w:color w:val="1F497D"/>
          <w:sz w:val="22"/>
          <w:szCs w:val="22"/>
        </w:rPr>
        <w:t>Renewing Primary Health Care in the Americas.</w:t>
      </w:r>
      <w:r w:rsidRPr="000A26F2">
        <w:rPr>
          <w:i/>
          <w:color w:val="1F497D"/>
          <w:sz w:val="22"/>
          <w:szCs w:val="22"/>
        </w:rPr>
        <w:t xml:space="preserve"> A Position Paper of the Pan American Health Organization/ World Health Organization.</w:t>
      </w:r>
      <w:r w:rsidRPr="000A26F2">
        <w:rPr>
          <w:color w:val="1F497D"/>
          <w:sz w:val="22"/>
          <w:szCs w:val="22"/>
        </w:rPr>
        <w:t xml:space="preserve"> Washington DC, PAHO, 2007 (48 pages). Prepared by the Unit of Health Services Organization (OS).</w:t>
      </w:r>
    </w:p>
    <w:p w:rsidR="009571FA" w:rsidRPr="000A26F2" w:rsidRDefault="009571FA" w:rsidP="001452C5">
      <w:pPr>
        <w:ind w:left="720"/>
        <w:rPr>
          <w:b/>
          <w:color w:val="4F81BD"/>
          <w:sz w:val="22"/>
          <w:szCs w:val="22"/>
        </w:rPr>
      </w:pPr>
    </w:p>
    <w:p w:rsidR="009571FA" w:rsidRPr="000A26F2" w:rsidRDefault="009571FA" w:rsidP="00C5205F">
      <w:pPr>
        <w:pStyle w:val="ListParagraph"/>
        <w:ind w:left="0"/>
        <w:rPr>
          <w:i/>
          <w:sz w:val="22"/>
          <w:szCs w:val="22"/>
        </w:rPr>
      </w:pPr>
      <w:r w:rsidRPr="000A26F2">
        <w:rPr>
          <w:sz w:val="22"/>
          <w:szCs w:val="22"/>
        </w:rPr>
        <w:t xml:space="preserve">Primary Health Care is one of PAHO’s six crosscutting themes. This document, approved by PAHO Governing Bodies, “ </w:t>
      </w:r>
      <w:r w:rsidRPr="000A26F2">
        <w:rPr>
          <w:i/>
          <w:sz w:val="22"/>
          <w:szCs w:val="22"/>
        </w:rPr>
        <w:t xml:space="preserve">is intended to be a reference for all countries moving forward to strengthen their health care systems, bringing health care to people living in urban and rural areas, regardless of their gender, age, ethnicity, social status, or religion “ </w:t>
      </w:r>
      <w:r w:rsidRPr="000A26F2">
        <w:rPr>
          <w:sz w:val="22"/>
          <w:szCs w:val="22"/>
        </w:rPr>
        <w:t xml:space="preserve">(From the preface by the PAHO Director). The results of the </w:t>
      </w:r>
      <w:r>
        <w:rPr>
          <w:sz w:val="22"/>
          <w:szCs w:val="22"/>
        </w:rPr>
        <w:t>c</w:t>
      </w:r>
      <w:r w:rsidRPr="000A26F2">
        <w:rPr>
          <w:sz w:val="22"/>
          <w:szCs w:val="22"/>
        </w:rPr>
        <w:t xml:space="preserve">ontent analysis were the following: </w:t>
      </w:r>
    </w:p>
    <w:p w:rsidR="009571FA" w:rsidRPr="000A26F2" w:rsidRDefault="009571FA" w:rsidP="001452C5">
      <w:pPr>
        <w:rPr>
          <w:i/>
          <w:sz w:val="22"/>
          <w:szCs w:val="22"/>
        </w:rPr>
      </w:pPr>
    </w:p>
    <w:p w:rsidR="009571FA" w:rsidRDefault="009571FA" w:rsidP="001452C5">
      <w:pPr>
        <w:rPr>
          <w:rFonts w:cs="Arial"/>
          <w:bCs/>
          <w:sz w:val="22"/>
          <w:szCs w:val="22"/>
        </w:rPr>
      </w:pPr>
      <w:r w:rsidRPr="006A3994">
        <w:rPr>
          <w:rFonts w:cs="Arial"/>
          <w:b/>
          <w:bCs/>
          <w:sz w:val="22"/>
          <w:szCs w:val="22"/>
        </w:rPr>
        <w:t>a</w:t>
      </w:r>
      <w:r>
        <w:rPr>
          <w:rFonts w:cs="Arial"/>
          <w:b/>
          <w:bCs/>
          <w:sz w:val="22"/>
          <w:szCs w:val="22"/>
        </w:rPr>
        <w:t>.</w:t>
      </w:r>
      <w:r>
        <w:rPr>
          <w:rFonts w:cs="Arial"/>
          <w:bCs/>
          <w:sz w:val="22"/>
          <w:szCs w:val="22"/>
        </w:rPr>
        <w:t xml:space="preserve">   </w:t>
      </w:r>
      <w:r w:rsidRPr="00B302F8">
        <w:rPr>
          <w:rFonts w:cs="Arial"/>
          <w:bCs/>
          <w:sz w:val="22"/>
          <w:szCs w:val="22"/>
        </w:rPr>
        <w:t>Regarding the inclusion of</w:t>
      </w:r>
      <w:r>
        <w:rPr>
          <w:rFonts w:cs="Arial"/>
          <w:b/>
          <w:bCs/>
          <w:i/>
          <w:sz w:val="22"/>
          <w:szCs w:val="22"/>
        </w:rPr>
        <w:t xml:space="preserve"> “</w:t>
      </w:r>
      <w:r w:rsidRPr="000A26F2">
        <w:rPr>
          <w:rFonts w:cs="Arial"/>
          <w:b/>
          <w:bCs/>
          <w:i/>
          <w:sz w:val="22"/>
          <w:szCs w:val="22"/>
        </w:rPr>
        <w:t xml:space="preserve">one or more </w:t>
      </w:r>
      <w:r w:rsidRPr="009250B4">
        <w:rPr>
          <w:rFonts w:cs="Arial"/>
          <w:b/>
          <w:bCs/>
          <w:i/>
          <w:sz w:val="22"/>
          <w:szCs w:val="22"/>
          <w:u w:val="single"/>
        </w:rPr>
        <w:t>"explicit"</w:t>
      </w:r>
      <w:r w:rsidRPr="000A26F2">
        <w:rPr>
          <w:rFonts w:cs="Arial"/>
          <w:b/>
          <w:bCs/>
          <w:i/>
          <w:sz w:val="22"/>
          <w:szCs w:val="22"/>
        </w:rPr>
        <w:t xml:space="preserve"> statements/references to gender equality or gender equity</w:t>
      </w:r>
      <w:r>
        <w:rPr>
          <w:rFonts w:cs="Arial"/>
          <w:b/>
          <w:bCs/>
          <w:i/>
          <w:sz w:val="22"/>
          <w:szCs w:val="22"/>
        </w:rPr>
        <w:t xml:space="preserve">”: </w:t>
      </w:r>
      <w:r w:rsidRPr="000A26F2">
        <w:rPr>
          <w:rFonts w:cs="Arial"/>
          <w:bCs/>
          <w:sz w:val="22"/>
          <w:szCs w:val="22"/>
        </w:rPr>
        <w:t xml:space="preserve"> </w:t>
      </w:r>
      <w:r w:rsidR="00BF456E" w:rsidRPr="000A26F2">
        <w:rPr>
          <w:rFonts w:cs="Arial"/>
          <w:bCs/>
          <w:sz w:val="22"/>
          <w:szCs w:val="22"/>
        </w:rPr>
        <w:t>Th</w:t>
      </w:r>
      <w:r w:rsidR="00BF456E">
        <w:rPr>
          <w:rFonts w:cs="Arial"/>
          <w:bCs/>
          <w:sz w:val="22"/>
          <w:szCs w:val="22"/>
        </w:rPr>
        <w:t>e only</w:t>
      </w:r>
      <w:r w:rsidR="00BF456E" w:rsidRPr="000A26F2">
        <w:rPr>
          <w:rFonts w:cs="Arial"/>
          <w:bCs/>
          <w:sz w:val="22"/>
          <w:szCs w:val="22"/>
        </w:rPr>
        <w:t xml:space="preserve"> time </w:t>
      </w:r>
      <w:r w:rsidR="00EE6B94">
        <w:rPr>
          <w:rFonts w:cs="Arial"/>
          <w:bCs/>
          <w:sz w:val="22"/>
          <w:szCs w:val="22"/>
        </w:rPr>
        <w:t>at</w:t>
      </w:r>
      <w:r w:rsidR="00BF456E">
        <w:rPr>
          <w:rFonts w:cs="Arial"/>
          <w:bCs/>
          <w:sz w:val="22"/>
          <w:szCs w:val="22"/>
        </w:rPr>
        <w:t xml:space="preserve"> which </w:t>
      </w:r>
      <w:r w:rsidR="00BF456E" w:rsidRPr="000A26F2">
        <w:rPr>
          <w:rFonts w:cs="Arial"/>
          <w:bCs/>
          <w:i/>
          <w:sz w:val="22"/>
          <w:szCs w:val="22"/>
        </w:rPr>
        <w:t xml:space="preserve">gender equality </w:t>
      </w:r>
      <w:r w:rsidR="00BF456E" w:rsidRPr="000A26F2">
        <w:rPr>
          <w:rFonts w:cs="Arial"/>
          <w:bCs/>
          <w:sz w:val="22"/>
          <w:szCs w:val="22"/>
        </w:rPr>
        <w:t>w</w:t>
      </w:r>
      <w:r w:rsidR="003D6C96">
        <w:rPr>
          <w:rFonts w:cs="Arial"/>
          <w:bCs/>
          <w:sz w:val="22"/>
          <w:szCs w:val="22"/>
        </w:rPr>
        <w:t>as</w:t>
      </w:r>
      <w:r w:rsidR="00BF456E" w:rsidRPr="000A26F2">
        <w:rPr>
          <w:rFonts w:cs="Arial"/>
          <w:bCs/>
          <w:sz w:val="22"/>
          <w:szCs w:val="22"/>
        </w:rPr>
        <w:t xml:space="preserve"> </w:t>
      </w:r>
      <w:r w:rsidR="00EE6B94">
        <w:rPr>
          <w:rFonts w:cs="Arial"/>
          <w:bCs/>
          <w:sz w:val="22"/>
          <w:szCs w:val="22"/>
        </w:rPr>
        <w:t>explicitly</w:t>
      </w:r>
      <w:r w:rsidR="00BF456E">
        <w:rPr>
          <w:rFonts w:cs="Arial"/>
          <w:bCs/>
          <w:sz w:val="22"/>
          <w:szCs w:val="22"/>
        </w:rPr>
        <w:t xml:space="preserve"> </w:t>
      </w:r>
      <w:r w:rsidR="003D6C96">
        <w:rPr>
          <w:rFonts w:cs="Arial"/>
          <w:bCs/>
          <w:sz w:val="22"/>
          <w:szCs w:val="22"/>
        </w:rPr>
        <w:t xml:space="preserve">mentioned </w:t>
      </w:r>
      <w:r w:rsidR="00BF456E" w:rsidRPr="000A26F2">
        <w:rPr>
          <w:rFonts w:cs="Arial"/>
          <w:bCs/>
          <w:sz w:val="22"/>
          <w:szCs w:val="22"/>
        </w:rPr>
        <w:t xml:space="preserve">in the </w:t>
      </w:r>
      <w:r w:rsidR="00BF456E">
        <w:rPr>
          <w:rFonts w:cs="Arial"/>
          <w:bCs/>
          <w:sz w:val="22"/>
          <w:szCs w:val="22"/>
        </w:rPr>
        <w:t xml:space="preserve">entire </w:t>
      </w:r>
      <w:r w:rsidR="00BF456E" w:rsidRPr="000A26F2">
        <w:rPr>
          <w:rFonts w:cs="Arial"/>
          <w:bCs/>
          <w:sz w:val="22"/>
          <w:szCs w:val="22"/>
        </w:rPr>
        <w:t xml:space="preserve">document </w:t>
      </w:r>
      <w:r w:rsidR="003D6C96">
        <w:rPr>
          <w:rFonts w:cs="Arial"/>
          <w:bCs/>
          <w:sz w:val="22"/>
          <w:szCs w:val="22"/>
        </w:rPr>
        <w:t xml:space="preserve">was </w:t>
      </w:r>
      <w:r w:rsidRPr="000A26F2">
        <w:rPr>
          <w:rFonts w:cs="Arial"/>
          <w:bCs/>
          <w:sz w:val="22"/>
          <w:szCs w:val="22"/>
        </w:rPr>
        <w:t>within a</w:t>
      </w:r>
      <w:r w:rsidR="00940E43">
        <w:rPr>
          <w:rFonts w:cs="Arial"/>
          <w:bCs/>
          <w:sz w:val="22"/>
          <w:szCs w:val="22"/>
        </w:rPr>
        <w:t xml:space="preserve"> footnote </w:t>
      </w:r>
      <w:r w:rsidR="009250B4">
        <w:rPr>
          <w:rFonts w:cs="Arial"/>
          <w:bCs/>
          <w:sz w:val="22"/>
          <w:szCs w:val="22"/>
        </w:rPr>
        <w:t>list</w:t>
      </w:r>
      <w:r w:rsidR="00CE54C7">
        <w:rPr>
          <w:rFonts w:cs="Arial"/>
          <w:bCs/>
          <w:sz w:val="22"/>
          <w:szCs w:val="22"/>
        </w:rPr>
        <w:t>ing all the</w:t>
      </w:r>
      <w:r w:rsidR="009250B4">
        <w:rPr>
          <w:rFonts w:cs="Arial"/>
          <w:bCs/>
          <w:sz w:val="22"/>
          <w:szCs w:val="22"/>
        </w:rPr>
        <w:t xml:space="preserve"> </w:t>
      </w:r>
      <w:r w:rsidR="00940E43">
        <w:rPr>
          <w:rFonts w:cs="Arial"/>
          <w:bCs/>
          <w:sz w:val="22"/>
          <w:szCs w:val="22"/>
        </w:rPr>
        <w:t>MDGs.</w:t>
      </w:r>
      <w:r w:rsidRPr="000A26F2">
        <w:rPr>
          <w:rFonts w:cs="Arial"/>
          <w:bCs/>
          <w:sz w:val="22"/>
          <w:szCs w:val="22"/>
        </w:rPr>
        <w:t xml:space="preserve"> </w:t>
      </w:r>
      <w:r w:rsidR="00F02CEB">
        <w:rPr>
          <w:rFonts w:cs="Arial"/>
          <w:bCs/>
          <w:sz w:val="22"/>
          <w:szCs w:val="22"/>
        </w:rPr>
        <w:t xml:space="preserve">The concept of </w:t>
      </w:r>
      <w:r w:rsidRPr="000A26F2">
        <w:rPr>
          <w:rFonts w:cs="Arial"/>
          <w:bCs/>
          <w:i/>
          <w:sz w:val="22"/>
          <w:szCs w:val="22"/>
        </w:rPr>
        <w:t>Gender equity</w:t>
      </w:r>
      <w:r w:rsidR="00970D0B">
        <w:rPr>
          <w:rFonts w:cs="Arial"/>
          <w:bCs/>
          <w:sz w:val="22"/>
          <w:szCs w:val="22"/>
        </w:rPr>
        <w:t xml:space="preserve"> wa</w:t>
      </w:r>
      <w:r w:rsidRPr="000A26F2">
        <w:rPr>
          <w:rFonts w:cs="Arial"/>
          <w:bCs/>
          <w:sz w:val="22"/>
          <w:szCs w:val="22"/>
        </w:rPr>
        <w:t>s</w:t>
      </w:r>
      <w:r w:rsidRPr="000A26F2">
        <w:rPr>
          <w:rFonts w:cs="Arial"/>
          <w:b/>
          <w:bCs/>
          <w:sz w:val="22"/>
          <w:szCs w:val="22"/>
        </w:rPr>
        <w:t xml:space="preserve"> not</w:t>
      </w:r>
      <w:r w:rsidRPr="000A26F2">
        <w:rPr>
          <w:rFonts w:cs="Arial"/>
          <w:bCs/>
          <w:sz w:val="22"/>
          <w:szCs w:val="22"/>
        </w:rPr>
        <w:t xml:space="preserve"> </w:t>
      </w:r>
      <w:r w:rsidR="009250B4">
        <w:rPr>
          <w:rFonts w:cs="Arial"/>
          <w:bCs/>
          <w:sz w:val="22"/>
          <w:szCs w:val="22"/>
        </w:rPr>
        <w:t>directly</w:t>
      </w:r>
      <w:r w:rsidRPr="000A26F2">
        <w:rPr>
          <w:rFonts w:cs="Arial"/>
          <w:bCs/>
          <w:sz w:val="22"/>
          <w:szCs w:val="22"/>
        </w:rPr>
        <w:t xml:space="preserve"> mentioned </w:t>
      </w:r>
      <w:r w:rsidR="00CE54C7">
        <w:rPr>
          <w:rFonts w:cs="Arial"/>
          <w:bCs/>
          <w:sz w:val="22"/>
          <w:szCs w:val="22"/>
        </w:rPr>
        <w:t xml:space="preserve">either </w:t>
      </w:r>
      <w:r w:rsidR="00F02CEB">
        <w:rPr>
          <w:rFonts w:cs="Arial"/>
          <w:bCs/>
          <w:sz w:val="22"/>
          <w:szCs w:val="22"/>
        </w:rPr>
        <w:t xml:space="preserve">despite the fact that equity was </w:t>
      </w:r>
      <w:r w:rsidRPr="000A26F2">
        <w:rPr>
          <w:rFonts w:cs="Arial"/>
          <w:bCs/>
          <w:sz w:val="22"/>
          <w:szCs w:val="22"/>
        </w:rPr>
        <w:t xml:space="preserve">repeatedly </w:t>
      </w:r>
      <w:r w:rsidR="00F02CEB">
        <w:rPr>
          <w:rFonts w:cs="Arial"/>
          <w:bCs/>
          <w:sz w:val="22"/>
          <w:szCs w:val="22"/>
        </w:rPr>
        <w:t>acknowledged</w:t>
      </w:r>
      <w:r w:rsidRPr="000A26F2">
        <w:rPr>
          <w:rFonts w:cs="Arial"/>
          <w:bCs/>
          <w:sz w:val="22"/>
          <w:szCs w:val="22"/>
        </w:rPr>
        <w:t xml:space="preserve"> as a core value</w:t>
      </w:r>
      <w:r w:rsidR="00EE6B94">
        <w:rPr>
          <w:rFonts w:cs="Arial"/>
          <w:bCs/>
          <w:sz w:val="22"/>
          <w:szCs w:val="22"/>
        </w:rPr>
        <w:t xml:space="preserve">. Gender equity </w:t>
      </w:r>
      <w:r w:rsidR="00CE54C7">
        <w:rPr>
          <w:rFonts w:cs="Arial"/>
          <w:bCs/>
          <w:sz w:val="22"/>
          <w:szCs w:val="22"/>
        </w:rPr>
        <w:t xml:space="preserve">was indirectly alluded to in the following contexts: </w:t>
      </w:r>
      <w:r w:rsidRPr="000A26F2">
        <w:rPr>
          <w:rFonts w:cs="Arial"/>
          <w:bCs/>
          <w:sz w:val="22"/>
          <w:szCs w:val="22"/>
        </w:rPr>
        <w:t xml:space="preserve">(a) </w:t>
      </w:r>
      <w:r w:rsidR="00CE54C7">
        <w:rPr>
          <w:rFonts w:cs="Arial"/>
          <w:bCs/>
          <w:sz w:val="22"/>
          <w:szCs w:val="22"/>
        </w:rPr>
        <w:t xml:space="preserve">gender being one of several </w:t>
      </w:r>
      <w:r w:rsidRPr="000A26F2">
        <w:rPr>
          <w:rFonts w:cs="Arial"/>
          <w:bCs/>
          <w:sz w:val="22"/>
          <w:szCs w:val="22"/>
        </w:rPr>
        <w:t xml:space="preserve">distinctions to be recognized--or addressed— </w:t>
      </w:r>
      <w:r w:rsidR="00F02CEB">
        <w:rPr>
          <w:rFonts w:cs="Arial"/>
          <w:bCs/>
          <w:sz w:val="22"/>
          <w:szCs w:val="22"/>
        </w:rPr>
        <w:t xml:space="preserve">when considering </w:t>
      </w:r>
      <w:r w:rsidRPr="000A26F2">
        <w:rPr>
          <w:rFonts w:cs="Arial"/>
          <w:bCs/>
          <w:sz w:val="22"/>
          <w:szCs w:val="22"/>
        </w:rPr>
        <w:t>equity of acc</w:t>
      </w:r>
      <w:r w:rsidR="00CE54C7">
        <w:rPr>
          <w:rFonts w:cs="Arial"/>
          <w:bCs/>
          <w:sz w:val="22"/>
          <w:szCs w:val="22"/>
        </w:rPr>
        <w:t>ess to health care</w:t>
      </w:r>
      <w:r w:rsidR="00F02CEB">
        <w:rPr>
          <w:rFonts w:cs="Arial"/>
          <w:bCs/>
          <w:sz w:val="22"/>
          <w:szCs w:val="22"/>
        </w:rPr>
        <w:t xml:space="preserve">, for instance, </w:t>
      </w:r>
      <w:r w:rsidR="00CE54C7" w:rsidRPr="000A26F2">
        <w:rPr>
          <w:i/>
          <w:sz w:val="22"/>
          <w:szCs w:val="22"/>
        </w:rPr>
        <w:t>“...bringing health care to people  ... regardless of their gender, age, ethnicity, social status, or religion, political belief, or</w:t>
      </w:r>
      <w:r w:rsidR="00CE54C7">
        <w:rPr>
          <w:i/>
          <w:sz w:val="22"/>
          <w:szCs w:val="22"/>
        </w:rPr>
        <w:t xml:space="preserve"> economic or social condition” (Preface by the PAHO Director);</w:t>
      </w:r>
      <w:r w:rsidR="00CE54C7" w:rsidRPr="000A26F2">
        <w:rPr>
          <w:rFonts w:cs="Arial"/>
          <w:bCs/>
          <w:sz w:val="22"/>
          <w:szCs w:val="22"/>
        </w:rPr>
        <w:t xml:space="preserve"> </w:t>
      </w:r>
      <w:r w:rsidR="00F02CEB">
        <w:rPr>
          <w:rFonts w:cs="Arial"/>
          <w:bCs/>
          <w:sz w:val="22"/>
          <w:szCs w:val="22"/>
        </w:rPr>
        <w:t xml:space="preserve">and </w:t>
      </w:r>
      <w:r w:rsidRPr="000A26F2">
        <w:rPr>
          <w:rFonts w:cs="Arial"/>
          <w:bCs/>
          <w:sz w:val="22"/>
          <w:szCs w:val="22"/>
        </w:rPr>
        <w:t xml:space="preserve">(b) </w:t>
      </w:r>
      <w:r w:rsidR="009C26B9">
        <w:rPr>
          <w:rFonts w:cs="Arial"/>
          <w:bCs/>
          <w:sz w:val="22"/>
          <w:szCs w:val="22"/>
        </w:rPr>
        <w:t>health care models being gender and culturally sensitive</w:t>
      </w:r>
      <w:r w:rsidR="003D6C96">
        <w:rPr>
          <w:rFonts w:cs="Arial"/>
          <w:bCs/>
          <w:sz w:val="22"/>
          <w:szCs w:val="22"/>
        </w:rPr>
        <w:t xml:space="preserve">: </w:t>
      </w:r>
      <w:r w:rsidR="00BF456E" w:rsidRPr="000A26F2">
        <w:rPr>
          <w:rFonts w:cs="Arial"/>
          <w:bCs/>
          <w:sz w:val="22"/>
          <w:szCs w:val="22"/>
        </w:rPr>
        <w:t>“</w:t>
      </w:r>
      <w:r w:rsidR="00BF456E" w:rsidRPr="000A26F2">
        <w:rPr>
          <w:i/>
          <w:sz w:val="22"/>
          <w:szCs w:val="22"/>
        </w:rPr>
        <w:t xml:space="preserve">addressing the specific needs of particular populations such as </w:t>
      </w:r>
      <w:r w:rsidR="00BF456E" w:rsidRPr="000A26F2">
        <w:rPr>
          <w:b/>
          <w:i/>
          <w:sz w:val="22"/>
          <w:szCs w:val="22"/>
        </w:rPr>
        <w:t>women</w:t>
      </w:r>
      <w:r w:rsidR="00BF456E" w:rsidRPr="000A26F2">
        <w:rPr>
          <w:i/>
          <w:sz w:val="22"/>
          <w:szCs w:val="22"/>
        </w:rPr>
        <w:t>, the elderly, the disabled, indigenous, or afro–descendent populations who may not receive appropriate care”</w:t>
      </w:r>
      <w:r w:rsidR="009C26B9">
        <w:rPr>
          <w:i/>
          <w:sz w:val="22"/>
          <w:szCs w:val="22"/>
        </w:rPr>
        <w:t xml:space="preserve"> (p.14)</w:t>
      </w:r>
      <w:r w:rsidR="00BF456E" w:rsidRPr="000A26F2">
        <w:rPr>
          <w:i/>
          <w:sz w:val="22"/>
          <w:szCs w:val="22"/>
        </w:rPr>
        <w:t>.</w:t>
      </w:r>
      <w:r w:rsidR="003D6C96">
        <w:rPr>
          <w:rFonts w:cs="Arial"/>
          <w:bCs/>
          <w:sz w:val="22"/>
          <w:szCs w:val="22"/>
        </w:rPr>
        <w:t xml:space="preserve"> </w:t>
      </w:r>
    </w:p>
    <w:p w:rsidR="00BF456E" w:rsidRPr="000A26F2" w:rsidRDefault="00BF456E" w:rsidP="001452C5">
      <w:pPr>
        <w:rPr>
          <w:rFonts w:cs="Arial"/>
          <w:bCs/>
          <w:sz w:val="22"/>
          <w:szCs w:val="22"/>
        </w:rPr>
      </w:pPr>
    </w:p>
    <w:p w:rsidR="009571FA" w:rsidRPr="000A26F2" w:rsidRDefault="009571FA" w:rsidP="00BB1EB8">
      <w:pPr>
        <w:rPr>
          <w:rFonts w:cs="Arial"/>
          <w:bCs/>
          <w:sz w:val="22"/>
          <w:szCs w:val="22"/>
        </w:rPr>
      </w:pPr>
      <w:r w:rsidRPr="006A3994">
        <w:rPr>
          <w:rFonts w:cs="Arial"/>
          <w:b/>
          <w:bCs/>
          <w:sz w:val="22"/>
          <w:szCs w:val="22"/>
        </w:rPr>
        <w:t>b</w:t>
      </w:r>
      <w:r>
        <w:rPr>
          <w:rFonts w:cs="Arial"/>
          <w:b/>
          <w:bCs/>
          <w:sz w:val="22"/>
          <w:szCs w:val="22"/>
        </w:rPr>
        <w:t>.</w:t>
      </w:r>
      <w:r>
        <w:rPr>
          <w:rFonts w:cs="Arial"/>
          <w:bCs/>
          <w:sz w:val="22"/>
          <w:szCs w:val="22"/>
        </w:rPr>
        <w:t xml:space="preserve">  </w:t>
      </w:r>
      <w:r w:rsidRPr="000A26F2">
        <w:rPr>
          <w:rFonts w:cs="Arial"/>
          <w:bCs/>
          <w:sz w:val="22"/>
          <w:szCs w:val="22"/>
        </w:rPr>
        <w:t xml:space="preserve">No </w:t>
      </w:r>
      <w:r>
        <w:rPr>
          <w:rFonts w:cs="Arial"/>
          <w:bCs/>
          <w:sz w:val="22"/>
          <w:szCs w:val="22"/>
        </w:rPr>
        <w:t>“</w:t>
      </w:r>
      <w:r w:rsidRPr="00BB1EB8">
        <w:rPr>
          <w:rFonts w:cs="Arial"/>
          <w:b/>
          <w:bCs/>
          <w:i/>
          <w:sz w:val="22"/>
          <w:szCs w:val="22"/>
        </w:rPr>
        <w:t>consultation or partnerships with women’s groups</w:t>
      </w:r>
      <w:r>
        <w:rPr>
          <w:rFonts w:cs="Arial"/>
          <w:bCs/>
          <w:sz w:val="22"/>
          <w:szCs w:val="22"/>
        </w:rPr>
        <w:t xml:space="preserve"> </w:t>
      </w:r>
      <w:r w:rsidRPr="000A26F2">
        <w:rPr>
          <w:rFonts w:cs="Arial"/>
          <w:bCs/>
          <w:sz w:val="22"/>
          <w:szCs w:val="22"/>
        </w:rPr>
        <w:t>“</w:t>
      </w:r>
      <w:r w:rsidR="00EE6B94">
        <w:rPr>
          <w:rFonts w:cs="Arial"/>
          <w:bCs/>
          <w:sz w:val="22"/>
          <w:szCs w:val="22"/>
        </w:rPr>
        <w:t xml:space="preserve"> were</w:t>
      </w:r>
      <w:r w:rsidRPr="000A26F2">
        <w:rPr>
          <w:rFonts w:cs="Arial"/>
          <w:bCs/>
          <w:sz w:val="22"/>
          <w:szCs w:val="22"/>
        </w:rPr>
        <w:t xml:space="preserve"> </w:t>
      </w:r>
      <w:r w:rsidR="00970D0B">
        <w:rPr>
          <w:rFonts w:cs="Arial"/>
          <w:bCs/>
          <w:sz w:val="22"/>
          <w:szCs w:val="22"/>
        </w:rPr>
        <w:t>indicated</w:t>
      </w:r>
      <w:r w:rsidRPr="000A26F2">
        <w:rPr>
          <w:rFonts w:cs="Arial"/>
          <w:bCs/>
          <w:sz w:val="22"/>
          <w:szCs w:val="22"/>
        </w:rPr>
        <w:t>.  Regional and national consultations did take place in 2005. At a country level, the position paper was reviewed by representatives of ministries, academia, NGOs, professional associations, health service providers, decision makers, consumers and other social sectors. These consultations may or may have not included women’s groups.</w:t>
      </w:r>
    </w:p>
    <w:p w:rsidR="009571FA" w:rsidRPr="00BB1EB8" w:rsidRDefault="009571FA" w:rsidP="001452C5">
      <w:pPr>
        <w:rPr>
          <w:rFonts w:cs="Arial"/>
          <w:bCs/>
          <w:sz w:val="22"/>
          <w:szCs w:val="22"/>
        </w:rPr>
      </w:pPr>
    </w:p>
    <w:p w:rsidR="009571FA" w:rsidRPr="00BB1EB8" w:rsidRDefault="009571FA" w:rsidP="00BB1EB8">
      <w:pPr>
        <w:rPr>
          <w:rFonts w:cs="Arial"/>
          <w:b/>
          <w:bCs/>
          <w:sz w:val="22"/>
          <w:szCs w:val="22"/>
        </w:rPr>
      </w:pPr>
      <w:r w:rsidRPr="006A3994">
        <w:rPr>
          <w:rFonts w:cs="Arial"/>
          <w:b/>
          <w:bCs/>
          <w:sz w:val="22"/>
          <w:szCs w:val="22"/>
        </w:rPr>
        <w:t>c</w:t>
      </w:r>
      <w:r>
        <w:rPr>
          <w:rFonts w:cs="Arial"/>
          <w:b/>
          <w:bCs/>
          <w:sz w:val="22"/>
          <w:szCs w:val="22"/>
        </w:rPr>
        <w:t>.</w:t>
      </w:r>
      <w:r>
        <w:rPr>
          <w:rFonts w:cs="Arial"/>
          <w:bCs/>
          <w:sz w:val="22"/>
          <w:szCs w:val="22"/>
        </w:rPr>
        <w:t xml:space="preserve">   </w:t>
      </w:r>
      <w:r w:rsidRPr="00BB1EB8">
        <w:rPr>
          <w:rFonts w:cs="Arial"/>
          <w:bCs/>
          <w:sz w:val="22"/>
          <w:szCs w:val="22"/>
        </w:rPr>
        <w:t>The document</w:t>
      </w:r>
      <w:r>
        <w:rPr>
          <w:rFonts w:cs="Arial"/>
          <w:bCs/>
          <w:sz w:val="22"/>
          <w:szCs w:val="22"/>
        </w:rPr>
        <w:t xml:space="preserve"> does not</w:t>
      </w:r>
      <w:r w:rsidRPr="000A26F2">
        <w:rPr>
          <w:rFonts w:cs="Arial"/>
          <w:b/>
          <w:bCs/>
          <w:i/>
          <w:sz w:val="22"/>
          <w:szCs w:val="22"/>
        </w:rPr>
        <w:t xml:space="preserve"> </w:t>
      </w:r>
      <w:r>
        <w:rPr>
          <w:rFonts w:cs="Arial"/>
          <w:b/>
          <w:bCs/>
          <w:i/>
          <w:sz w:val="22"/>
          <w:szCs w:val="22"/>
        </w:rPr>
        <w:t>“</w:t>
      </w:r>
      <w:r w:rsidRPr="000A26F2">
        <w:rPr>
          <w:rFonts w:cs="Arial"/>
          <w:b/>
          <w:bCs/>
          <w:i/>
          <w:sz w:val="22"/>
          <w:szCs w:val="22"/>
          <w:u w:val="single"/>
        </w:rPr>
        <w:t xml:space="preserve">recommend </w:t>
      </w:r>
      <w:r w:rsidRPr="00BB1EB8">
        <w:rPr>
          <w:rFonts w:cs="Arial"/>
          <w:b/>
          <w:bCs/>
          <w:i/>
          <w:sz w:val="22"/>
          <w:szCs w:val="22"/>
        </w:rPr>
        <w:t xml:space="preserve">the </w:t>
      </w:r>
      <w:r w:rsidRPr="000A26F2">
        <w:rPr>
          <w:rFonts w:cs="Arial"/>
          <w:b/>
          <w:bCs/>
          <w:i/>
          <w:sz w:val="22"/>
          <w:szCs w:val="22"/>
        </w:rPr>
        <w:t xml:space="preserve">use of </w:t>
      </w:r>
      <w:r>
        <w:rPr>
          <w:rFonts w:cs="Arial"/>
          <w:b/>
          <w:bCs/>
          <w:i/>
          <w:sz w:val="22"/>
          <w:szCs w:val="22"/>
        </w:rPr>
        <w:t>SDD” despite the fact than a</w:t>
      </w:r>
      <w:r w:rsidRPr="000A26F2">
        <w:rPr>
          <w:rFonts w:cs="Arial"/>
          <w:bCs/>
          <w:sz w:val="22"/>
          <w:szCs w:val="22"/>
        </w:rPr>
        <w:t xml:space="preserve">mong the recommended actions to prioritize during </w:t>
      </w:r>
      <w:r>
        <w:rPr>
          <w:rFonts w:cs="Arial"/>
          <w:bCs/>
          <w:sz w:val="22"/>
          <w:szCs w:val="22"/>
        </w:rPr>
        <w:t xml:space="preserve">the </w:t>
      </w:r>
      <w:r w:rsidRPr="000A26F2">
        <w:rPr>
          <w:rFonts w:cs="Arial"/>
          <w:bCs/>
          <w:sz w:val="22"/>
          <w:szCs w:val="22"/>
        </w:rPr>
        <w:t>first two years</w:t>
      </w:r>
      <w:r>
        <w:rPr>
          <w:rFonts w:cs="Arial"/>
          <w:bCs/>
          <w:sz w:val="22"/>
          <w:szCs w:val="22"/>
        </w:rPr>
        <w:t xml:space="preserve"> is</w:t>
      </w:r>
      <w:r w:rsidRPr="000A26F2">
        <w:rPr>
          <w:rFonts w:cs="Arial"/>
          <w:bCs/>
          <w:sz w:val="22"/>
          <w:szCs w:val="22"/>
        </w:rPr>
        <w:t xml:space="preserve"> the development of situation analyses and diagnostics. No explicit mention was made to any type of data disaggregation in this context; neither was made in a subsequent recommendation to </w:t>
      </w:r>
      <w:r w:rsidRPr="000A26F2">
        <w:rPr>
          <w:rFonts w:cs="Arial"/>
          <w:bCs/>
          <w:i/>
          <w:sz w:val="22"/>
          <w:szCs w:val="22"/>
        </w:rPr>
        <w:t>“develop a methodology and indicators to monitor and evaluate the progress made by the countries and the Region as a whole in the implementation of PHC–based health systems”</w:t>
      </w:r>
      <w:r w:rsidR="009C26B9">
        <w:rPr>
          <w:rFonts w:cs="Arial"/>
          <w:bCs/>
          <w:i/>
          <w:sz w:val="22"/>
          <w:szCs w:val="22"/>
        </w:rPr>
        <w:t xml:space="preserve"> (p.22)</w:t>
      </w:r>
      <w:r w:rsidRPr="000A26F2">
        <w:rPr>
          <w:rFonts w:cs="Arial"/>
          <w:bCs/>
          <w:i/>
          <w:sz w:val="22"/>
          <w:szCs w:val="22"/>
        </w:rPr>
        <w:t>.</w:t>
      </w:r>
      <w:r>
        <w:rPr>
          <w:rFonts w:cs="Arial"/>
          <w:bCs/>
          <w:i/>
          <w:sz w:val="22"/>
          <w:szCs w:val="22"/>
        </w:rPr>
        <w:t xml:space="preserve"> </w:t>
      </w:r>
      <w:r w:rsidRPr="000A26F2">
        <w:rPr>
          <w:b/>
          <w:i/>
          <w:sz w:val="22"/>
          <w:szCs w:val="22"/>
        </w:rPr>
        <w:t xml:space="preserve"> </w:t>
      </w:r>
      <w:r w:rsidRPr="000A26F2">
        <w:rPr>
          <w:rFonts w:cs="Arial"/>
          <w:bCs/>
          <w:sz w:val="22"/>
          <w:szCs w:val="22"/>
        </w:rPr>
        <w:t>No quantitative data was presented in the document</w:t>
      </w:r>
      <w:r>
        <w:rPr>
          <w:rFonts w:cs="Arial"/>
          <w:bCs/>
          <w:sz w:val="22"/>
          <w:szCs w:val="22"/>
        </w:rPr>
        <w:t>, thus there was not “</w:t>
      </w:r>
      <w:r w:rsidRPr="006A3994">
        <w:rPr>
          <w:rFonts w:cs="Arial"/>
          <w:b/>
          <w:bCs/>
          <w:i/>
          <w:sz w:val="22"/>
          <w:szCs w:val="22"/>
        </w:rPr>
        <w:t>use/presentation of SDD”</w:t>
      </w:r>
    </w:p>
    <w:p w:rsidR="009571FA" w:rsidRPr="006A3994" w:rsidRDefault="009571FA" w:rsidP="001452C5">
      <w:pPr>
        <w:rPr>
          <w:sz w:val="22"/>
          <w:szCs w:val="22"/>
        </w:rPr>
      </w:pPr>
    </w:p>
    <w:p w:rsidR="0091174C" w:rsidRDefault="009571FA" w:rsidP="0091174C">
      <w:pPr>
        <w:rPr>
          <w:rFonts w:cs="Arial"/>
          <w:bCs/>
          <w:i/>
          <w:sz w:val="22"/>
          <w:szCs w:val="22"/>
        </w:rPr>
      </w:pPr>
      <w:r w:rsidRPr="006A3994">
        <w:rPr>
          <w:rFonts w:cs="Arial"/>
          <w:b/>
          <w:bCs/>
          <w:sz w:val="22"/>
          <w:szCs w:val="22"/>
        </w:rPr>
        <w:t>d</w:t>
      </w:r>
      <w:r>
        <w:rPr>
          <w:rFonts w:cs="Arial"/>
          <w:b/>
          <w:bCs/>
          <w:sz w:val="22"/>
          <w:szCs w:val="22"/>
        </w:rPr>
        <w:t xml:space="preserve">.  </w:t>
      </w:r>
      <w:r>
        <w:rPr>
          <w:rFonts w:cs="Arial"/>
          <w:bCs/>
          <w:sz w:val="22"/>
          <w:szCs w:val="22"/>
        </w:rPr>
        <w:t xml:space="preserve"> </w:t>
      </w:r>
      <w:r w:rsidRPr="006A3994">
        <w:rPr>
          <w:rFonts w:cs="Arial"/>
          <w:bCs/>
          <w:sz w:val="22"/>
          <w:szCs w:val="22"/>
        </w:rPr>
        <w:t xml:space="preserve">The publication does </w:t>
      </w:r>
      <w:r w:rsidRPr="00B1382B">
        <w:rPr>
          <w:rFonts w:cs="Arial"/>
          <w:bCs/>
          <w:sz w:val="22"/>
          <w:szCs w:val="22"/>
        </w:rPr>
        <w:t>not</w:t>
      </w:r>
      <w:r w:rsidRPr="00B1382B">
        <w:rPr>
          <w:rFonts w:cs="Arial"/>
          <w:b/>
          <w:bCs/>
          <w:i/>
          <w:sz w:val="22"/>
          <w:szCs w:val="22"/>
        </w:rPr>
        <w:t xml:space="preserve"> </w:t>
      </w:r>
      <w:r w:rsidR="00B1382B">
        <w:rPr>
          <w:rFonts w:cs="Arial"/>
          <w:b/>
          <w:bCs/>
          <w:i/>
          <w:sz w:val="22"/>
          <w:szCs w:val="22"/>
        </w:rPr>
        <w:t>“</w:t>
      </w:r>
      <w:r w:rsidR="00970D0B" w:rsidRPr="00B1382B">
        <w:rPr>
          <w:rFonts w:cs="Arial"/>
          <w:b/>
          <w:bCs/>
          <w:i/>
          <w:sz w:val="22"/>
          <w:szCs w:val="22"/>
        </w:rPr>
        <w:t xml:space="preserve">make use of </w:t>
      </w:r>
      <w:r w:rsidRPr="000A26F2">
        <w:rPr>
          <w:rFonts w:cs="Arial"/>
          <w:b/>
          <w:bCs/>
          <w:i/>
          <w:sz w:val="22"/>
          <w:szCs w:val="22"/>
        </w:rPr>
        <w:t>gender analysis</w:t>
      </w:r>
      <w:r>
        <w:rPr>
          <w:rFonts w:cs="Arial"/>
          <w:b/>
          <w:bCs/>
          <w:i/>
          <w:sz w:val="22"/>
          <w:szCs w:val="22"/>
        </w:rPr>
        <w:t xml:space="preserve">”, </w:t>
      </w:r>
      <w:r w:rsidRPr="000A26F2">
        <w:rPr>
          <w:rFonts w:cs="Arial"/>
          <w:bCs/>
          <w:sz w:val="22"/>
          <w:szCs w:val="22"/>
        </w:rPr>
        <w:t xml:space="preserve">except for </w:t>
      </w:r>
      <w:r w:rsidR="00B1382B">
        <w:rPr>
          <w:rFonts w:cs="Arial"/>
          <w:bCs/>
          <w:sz w:val="22"/>
          <w:szCs w:val="22"/>
        </w:rPr>
        <w:t xml:space="preserve">the above mentioned </w:t>
      </w:r>
      <w:r w:rsidRPr="000A26F2">
        <w:rPr>
          <w:rFonts w:cs="Arial"/>
          <w:bCs/>
          <w:sz w:val="22"/>
          <w:szCs w:val="22"/>
        </w:rPr>
        <w:t>broad</w:t>
      </w:r>
      <w:r w:rsidR="00B1382B">
        <w:rPr>
          <w:rFonts w:cs="Arial"/>
          <w:bCs/>
          <w:sz w:val="22"/>
          <w:szCs w:val="22"/>
        </w:rPr>
        <w:t xml:space="preserve"> </w:t>
      </w:r>
      <w:r>
        <w:rPr>
          <w:rFonts w:cs="Arial"/>
          <w:bCs/>
          <w:sz w:val="22"/>
          <w:szCs w:val="22"/>
        </w:rPr>
        <w:t xml:space="preserve">statements </w:t>
      </w:r>
      <w:r w:rsidRPr="000A26F2">
        <w:rPr>
          <w:rFonts w:cs="Arial"/>
          <w:bCs/>
          <w:sz w:val="22"/>
          <w:szCs w:val="22"/>
        </w:rPr>
        <w:t xml:space="preserve">alluding to the importance of </w:t>
      </w:r>
      <w:r w:rsidRPr="00B1382B">
        <w:rPr>
          <w:rFonts w:cs="Arial"/>
          <w:bCs/>
          <w:sz w:val="22"/>
          <w:szCs w:val="22"/>
        </w:rPr>
        <w:t>recognizing and addressing  differences in needs and preferences of various populations groups as defined by place of residence, gender</w:t>
      </w:r>
      <w:r w:rsidRPr="00B1382B">
        <w:rPr>
          <w:sz w:val="22"/>
          <w:szCs w:val="22"/>
        </w:rPr>
        <w:t>, age, ethnicity, social status, religion, political belief, or economic or social condition</w:t>
      </w:r>
      <w:r w:rsidRPr="00B1382B">
        <w:rPr>
          <w:rFonts w:cs="Arial"/>
          <w:bCs/>
          <w:sz w:val="22"/>
          <w:szCs w:val="22"/>
        </w:rPr>
        <w:t>.</w:t>
      </w:r>
      <w:r w:rsidR="00B1382B">
        <w:rPr>
          <w:rFonts w:cs="Arial"/>
          <w:bCs/>
          <w:sz w:val="22"/>
          <w:szCs w:val="22"/>
        </w:rPr>
        <w:t xml:space="preserve"> None of </w:t>
      </w:r>
      <w:r w:rsidR="00427636">
        <w:rPr>
          <w:rFonts w:cs="Arial"/>
          <w:bCs/>
          <w:sz w:val="22"/>
          <w:szCs w:val="22"/>
        </w:rPr>
        <w:t xml:space="preserve">such references to gender </w:t>
      </w:r>
      <w:r w:rsidR="00B1382B">
        <w:rPr>
          <w:rFonts w:cs="Arial"/>
          <w:bCs/>
          <w:sz w:val="22"/>
          <w:szCs w:val="22"/>
        </w:rPr>
        <w:t>was followed by any elaboration regarding the nature</w:t>
      </w:r>
      <w:r w:rsidR="00427636">
        <w:rPr>
          <w:rFonts w:cs="Arial"/>
          <w:bCs/>
          <w:sz w:val="22"/>
          <w:szCs w:val="22"/>
        </w:rPr>
        <w:t xml:space="preserve">, consequences </w:t>
      </w:r>
      <w:r w:rsidR="00B1382B">
        <w:rPr>
          <w:rFonts w:cs="Arial"/>
          <w:bCs/>
          <w:sz w:val="22"/>
          <w:szCs w:val="22"/>
        </w:rPr>
        <w:t xml:space="preserve"> and </w:t>
      </w:r>
      <w:r w:rsidR="00427636">
        <w:rPr>
          <w:rFonts w:cs="Arial"/>
          <w:bCs/>
          <w:sz w:val="22"/>
          <w:szCs w:val="22"/>
        </w:rPr>
        <w:t xml:space="preserve">policy </w:t>
      </w:r>
      <w:r w:rsidR="00B1382B">
        <w:rPr>
          <w:rFonts w:cs="Arial"/>
          <w:bCs/>
          <w:sz w:val="22"/>
          <w:szCs w:val="22"/>
        </w:rPr>
        <w:t>implications of gender differences</w:t>
      </w:r>
      <w:r w:rsidR="00427636">
        <w:rPr>
          <w:rFonts w:cs="Arial"/>
          <w:bCs/>
          <w:sz w:val="22"/>
          <w:szCs w:val="22"/>
        </w:rPr>
        <w:t xml:space="preserve">; consequently, </w:t>
      </w:r>
      <w:r w:rsidR="002641D5">
        <w:rPr>
          <w:rFonts w:cs="Arial"/>
          <w:bCs/>
          <w:sz w:val="22"/>
          <w:szCs w:val="22"/>
        </w:rPr>
        <w:t xml:space="preserve">no indication </w:t>
      </w:r>
      <w:r w:rsidR="00427636">
        <w:rPr>
          <w:rFonts w:cs="Arial"/>
          <w:bCs/>
          <w:sz w:val="22"/>
          <w:szCs w:val="22"/>
        </w:rPr>
        <w:t>was made with respect</w:t>
      </w:r>
      <w:r w:rsidR="002641D5">
        <w:rPr>
          <w:rFonts w:cs="Arial"/>
          <w:bCs/>
          <w:sz w:val="22"/>
          <w:szCs w:val="22"/>
        </w:rPr>
        <w:t xml:space="preserve"> to </w:t>
      </w:r>
      <w:r w:rsidR="00C1343F">
        <w:rPr>
          <w:rFonts w:cs="Arial"/>
          <w:bCs/>
          <w:sz w:val="22"/>
          <w:szCs w:val="22"/>
        </w:rPr>
        <w:t>“</w:t>
      </w:r>
      <w:r w:rsidRPr="000A26F2">
        <w:rPr>
          <w:rFonts w:cs="Arial"/>
          <w:b/>
          <w:bCs/>
          <w:i/>
          <w:sz w:val="22"/>
          <w:szCs w:val="22"/>
        </w:rPr>
        <w:t>action</w:t>
      </w:r>
      <w:r w:rsidR="002641D5">
        <w:rPr>
          <w:rFonts w:cs="Arial"/>
          <w:b/>
          <w:bCs/>
          <w:i/>
          <w:sz w:val="22"/>
          <w:szCs w:val="22"/>
        </w:rPr>
        <w:t>s</w:t>
      </w:r>
      <w:r w:rsidR="009C26B9">
        <w:rPr>
          <w:rFonts w:cs="Arial"/>
          <w:b/>
          <w:bCs/>
          <w:i/>
          <w:sz w:val="22"/>
          <w:szCs w:val="22"/>
        </w:rPr>
        <w:t>/r</w:t>
      </w:r>
      <w:r w:rsidRPr="000A26F2">
        <w:rPr>
          <w:rFonts w:cs="Arial"/>
          <w:b/>
          <w:bCs/>
          <w:i/>
          <w:sz w:val="22"/>
          <w:szCs w:val="22"/>
        </w:rPr>
        <w:t>ecommendation</w:t>
      </w:r>
      <w:r w:rsidR="002641D5">
        <w:rPr>
          <w:rFonts w:cs="Arial"/>
          <w:b/>
          <w:bCs/>
          <w:i/>
          <w:sz w:val="22"/>
          <w:szCs w:val="22"/>
        </w:rPr>
        <w:t>s</w:t>
      </w:r>
      <w:r w:rsidRPr="000A26F2">
        <w:rPr>
          <w:rFonts w:cs="Arial"/>
          <w:b/>
          <w:bCs/>
          <w:i/>
          <w:sz w:val="22"/>
          <w:szCs w:val="22"/>
        </w:rPr>
        <w:t xml:space="preserve"> to address gender</w:t>
      </w:r>
      <w:r>
        <w:rPr>
          <w:rFonts w:cs="Arial"/>
          <w:b/>
          <w:bCs/>
          <w:i/>
          <w:sz w:val="22"/>
          <w:szCs w:val="22"/>
        </w:rPr>
        <w:t xml:space="preserve">”. </w:t>
      </w:r>
      <w:r w:rsidR="0091174C">
        <w:rPr>
          <w:rFonts w:cs="Arial"/>
          <w:b/>
          <w:bCs/>
          <w:i/>
          <w:sz w:val="22"/>
          <w:szCs w:val="22"/>
        </w:rPr>
        <w:t xml:space="preserve"> </w:t>
      </w:r>
    </w:p>
    <w:p w:rsidR="0091174C" w:rsidRDefault="0091174C" w:rsidP="0091174C">
      <w:pPr>
        <w:rPr>
          <w:rFonts w:cs="Arial"/>
          <w:bCs/>
          <w:i/>
          <w:sz w:val="22"/>
          <w:szCs w:val="22"/>
        </w:rPr>
      </w:pPr>
    </w:p>
    <w:p w:rsidR="009571FA" w:rsidRPr="0091174C" w:rsidRDefault="0091174C" w:rsidP="0091174C">
      <w:pPr>
        <w:rPr>
          <w:rFonts w:cs="Arial"/>
          <w:b/>
          <w:bCs/>
          <w:i/>
          <w:sz w:val="22"/>
          <w:szCs w:val="22"/>
        </w:rPr>
      </w:pPr>
      <w:r>
        <w:rPr>
          <w:rFonts w:cs="Arial"/>
          <w:bCs/>
          <w:i/>
          <w:sz w:val="22"/>
          <w:szCs w:val="22"/>
        </w:rPr>
        <w:t xml:space="preserve"> </w:t>
      </w:r>
      <w:r w:rsidR="009571FA" w:rsidRPr="0091174C">
        <w:rPr>
          <w:rFonts w:cs="Arial"/>
          <w:b/>
          <w:sz w:val="22"/>
          <w:szCs w:val="22"/>
        </w:rPr>
        <w:t>3.3</w:t>
      </w:r>
      <w:r w:rsidR="004A755E" w:rsidRPr="0091174C">
        <w:rPr>
          <w:rFonts w:cs="Arial"/>
          <w:b/>
          <w:sz w:val="22"/>
          <w:szCs w:val="22"/>
        </w:rPr>
        <w:t>.</w:t>
      </w:r>
      <w:r w:rsidR="00C5205F" w:rsidRPr="0091174C">
        <w:rPr>
          <w:rFonts w:cs="Arial"/>
          <w:b/>
          <w:sz w:val="22"/>
          <w:szCs w:val="22"/>
        </w:rPr>
        <w:t xml:space="preserve"> </w:t>
      </w:r>
      <w:r w:rsidR="009571FA" w:rsidRPr="0091174C">
        <w:rPr>
          <w:rFonts w:cs="Arial"/>
          <w:b/>
          <w:sz w:val="22"/>
          <w:szCs w:val="22"/>
        </w:rPr>
        <w:t xml:space="preserve">Evidence </w:t>
      </w:r>
      <w:r w:rsidR="00A00817" w:rsidRPr="0091174C">
        <w:rPr>
          <w:rFonts w:cs="Arial"/>
          <w:b/>
          <w:sz w:val="22"/>
          <w:szCs w:val="22"/>
        </w:rPr>
        <w:t xml:space="preserve">( Research) </w:t>
      </w:r>
      <w:r w:rsidR="009571FA" w:rsidRPr="0091174C">
        <w:rPr>
          <w:rFonts w:cs="Arial"/>
          <w:b/>
          <w:sz w:val="22"/>
          <w:szCs w:val="22"/>
        </w:rPr>
        <w:t>Type publication</w:t>
      </w:r>
    </w:p>
    <w:p w:rsidR="009571FA" w:rsidRPr="00DD0211" w:rsidRDefault="009571FA" w:rsidP="001452C5">
      <w:pPr>
        <w:pStyle w:val="ListParagraph"/>
        <w:ind w:left="1080" w:right="-180"/>
        <w:rPr>
          <w:i/>
          <w:color w:val="1F497D"/>
          <w:sz w:val="12"/>
          <w:szCs w:val="22"/>
        </w:rPr>
      </w:pPr>
    </w:p>
    <w:p w:rsidR="009571FA" w:rsidRPr="000A26F2" w:rsidRDefault="009571FA" w:rsidP="001452C5">
      <w:pPr>
        <w:pStyle w:val="ListParagraph"/>
        <w:tabs>
          <w:tab w:val="left" w:pos="630"/>
        </w:tabs>
        <w:ind w:right="-270"/>
        <w:rPr>
          <w:color w:val="1F497D"/>
          <w:sz w:val="22"/>
          <w:szCs w:val="22"/>
        </w:rPr>
      </w:pPr>
      <w:r w:rsidRPr="000A26F2">
        <w:rPr>
          <w:b/>
          <w:i/>
          <w:color w:val="1F497D"/>
          <w:sz w:val="22"/>
          <w:szCs w:val="22"/>
        </w:rPr>
        <w:t>Social Protection in Health Schemes for Mother, Newborn and Child Populations: Lessons Learned from the Latin American Region.</w:t>
      </w:r>
      <w:r w:rsidRPr="000A26F2">
        <w:rPr>
          <w:color w:val="1F497D"/>
          <w:sz w:val="22"/>
          <w:szCs w:val="22"/>
        </w:rPr>
        <w:t xml:space="preserve"> Washington DC, PAHO, 2007 (60 pages). Prepared by the Unit of Health Systems and Policies (HP).</w:t>
      </w:r>
    </w:p>
    <w:p w:rsidR="009571FA" w:rsidRPr="00E8324F" w:rsidRDefault="009571FA" w:rsidP="001452C5">
      <w:pPr>
        <w:pStyle w:val="ListParagraph"/>
        <w:tabs>
          <w:tab w:val="left" w:pos="360"/>
        </w:tabs>
        <w:ind w:right="-180"/>
        <w:rPr>
          <w:b/>
          <w:color w:val="4F81BD"/>
          <w:sz w:val="14"/>
          <w:szCs w:val="22"/>
        </w:rPr>
      </w:pPr>
    </w:p>
    <w:p w:rsidR="0091174C" w:rsidRDefault="009571FA" w:rsidP="00C5205F">
      <w:pPr>
        <w:pStyle w:val="ListParagraph"/>
        <w:tabs>
          <w:tab w:val="left" w:pos="360"/>
        </w:tabs>
        <w:ind w:left="0" w:right="-180"/>
        <w:rPr>
          <w:sz w:val="22"/>
          <w:szCs w:val="22"/>
        </w:rPr>
      </w:pPr>
      <w:r w:rsidRPr="000A26F2">
        <w:rPr>
          <w:sz w:val="22"/>
          <w:szCs w:val="22"/>
        </w:rPr>
        <w:t xml:space="preserve">Social Protection in Health is another one of PAHO’s six crosscutting themes. This publication presents the </w:t>
      </w:r>
      <w:r w:rsidR="00E8324F">
        <w:rPr>
          <w:sz w:val="22"/>
          <w:szCs w:val="22"/>
        </w:rPr>
        <w:t xml:space="preserve">experiences and </w:t>
      </w:r>
      <w:r w:rsidRPr="000A26F2">
        <w:rPr>
          <w:sz w:val="22"/>
          <w:szCs w:val="22"/>
        </w:rPr>
        <w:t>lessons learned from seven Latin American country case</w:t>
      </w:r>
      <w:r>
        <w:rPr>
          <w:sz w:val="22"/>
          <w:szCs w:val="22"/>
        </w:rPr>
        <w:t>-</w:t>
      </w:r>
      <w:r w:rsidRPr="000A26F2">
        <w:rPr>
          <w:sz w:val="22"/>
          <w:szCs w:val="22"/>
        </w:rPr>
        <w:t xml:space="preserve"> studies on systems of social protection in health (SPHS) aimed at mothers, newborns, and children. </w:t>
      </w:r>
    </w:p>
    <w:p w:rsidR="009571FA" w:rsidRPr="000A26F2" w:rsidRDefault="009571FA" w:rsidP="00C5205F">
      <w:pPr>
        <w:pStyle w:val="ListParagraph"/>
        <w:tabs>
          <w:tab w:val="left" w:pos="360"/>
        </w:tabs>
        <w:ind w:left="0" w:right="-180"/>
        <w:rPr>
          <w:rFonts w:cs="Arial"/>
          <w:bCs/>
          <w:sz w:val="22"/>
          <w:szCs w:val="22"/>
        </w:rPr>
      </w:pPr>
      <w:r w:rsidRPr="000A26F2">
        <w:rPr>
          <w:rFonts w:cs="Arial"/>
          <w:bCs/>
          <w:sz w:val="22"/>
          <w:szCs w:val="22"/>
        </w:rPr>
        <w:t xml:space="preserve">The </w:t>
      </w:r>
      <w:r>
        <w:rPr>
          <w:rFonts w:cs="Arial"/>
          <w:bCs/>
          <w:sz w:val="22"/>
          <w:szCs w:val="22"/>
        </w:rPr>
        <w:t xml:space="preserve">results of the content analysis </w:t>
      </w:r>
      <w:r w:rsidRPr="000A26F2">
        <w:rPr>
          <w:rFonts w:cs="Arial"/>
          <w:bCs/>
          <w:sz w:val="22"/>
          <w:szCs w:val="22"/>
        </w:rPr>
        <w:t xml:space="preserve">were as follows: </w:t>
      </w:r>
    </w:p>
    <w:p w:rsidR="009571FA" w:rsidRPr="000A26F2" w:rsidRDefault="009571FA" w:rsidP="001452C5">
      <w:pPr>
        <w:jc w:val="both"/>
        <w:rPr>
          <w:rFonts w:cs="Arial"/>
          <w:bCs/>
          <w:sz w:val="22"/>
          <w:szCs w:val="22"/>
        </w:rPr>
      </w:pPr>
    </w:p>
    <w:p w:rsidR="009571FA" w:rsidRPr="00D84ACA" w:rsidRDefault="009571FA" w:rsidP="001C28B7">
      <w:pPr>
        <w:jc w:val="both"/>
        <w:rPr>
          <w:sz w:val="22"/>
          <w:szCs w:val="22"/>
        </w:rPr>
      </w:pPr>
      <w:r w:rsidRPr="007E6A9C">
        <w:rPr>
          <w:rFonts w:cs="Arial"/>
          <w:b/>
          <w:bCs/>
          <w:sz w:val="22"/>
          <w:szCs w:val="22"/>
        </w:rPr>
        <w:t>a</w:t>
      </w:r>
      <w:r>
        <w:rPr>
          <w:rFonts w:cs="Arial"/>
          <w:b/>
          <w:bCs/>
          <w:sz w:val="22"/>
          <w:szCs w:val="22"/>
        </w:rPr>
        <w:t>.</w:t>
      </w:r>
      <w:r>
        <w:rPr>
          <w:rFonts w:cs="Arial"/>
          <w:bCs/>
          <w:sz w:val="22"/>
          <w:szCs w:val="22"/>
        </w:rPr>
        <w:t xml:space="preserve">  </w:t>
      </w:r>
      <w:r w:rsidR="00E8324F" w:rsidRPr="00E8324F">
        <w:rPr>
          <w:rFonts w:cs="Arial"/>
          <w:bCs/>
          <w:sz w:val="22"/>
          <w:szCs w:val="22"/>
        </w:rPr>
        <w:t>I</w:t>
      </w:r>
      <w:r w:rsidRPr="00E8324F">
        <w:rPr>
          <w:rFonts w:cs="Arial"/>
          <w:bCs/>
          <w:sz w:val="22"/>
          <w:szCs w:val="22"/>
        </w:rPr>
        <w:t>nclusion of</w:t>
      </w:r>
      <w:r w:rsidRPr="00D84ACA">
        <w:rPr>
          <w:rFonts w:cs="Arial"/>
          <w:b/>
          <w:bCs/>
          <w:i/>
          <w:sz w:val="22"/>
          <w:szCs w:val="22"/>
        </w:rPr>
        <w:t xml:space="preserve"> “one or more "explicit" statements/references to ge</w:t>
      </w:r>
      <w:r w:rsidR="00714EE1">
        <w:rPr>
          <w:rFonts w:cs="Arial"/>
          <w:b/>
          <w:bCs/>
          <w:i/>
          <w:sz w:val="22"/>
          <w:szCs w:val="22"/>
        </w:rPr>
        <w:t>nder equality or gender equity”:</w:t>
      </w:r>
      <w:r w:rsidRPr="00D84ACA">
        <w:rPr>
          <w:rFonts w:cs="Arial"/>
          <w:b/>
          <w:bCs/>
          <w:i/>
          <w:sz w:val="22"/>
          <w:szCs w:val="22"/>
        </w:rPr>
        <w:t xml:space="preserve"> </w:t>
      </w:r>
      <w:r w:rsidRPr="00714EE1">
        <w:rPr>
          <w:rFonts w:cs="Arial"/>
          <w:bCs/>
          <w:sz w:val="22"/>
          <w:szCs w:val="22"/>
        </w:rPr>
        <w:t>the document</w:t>
      </w:r>
      <w:r w:rsidRPr="00D84ACA">
        <w:rPr>
          <w:rFonts w:cs="Arial"/>
          <w:b/>
          <w:bCs/>
          <w:i/>
          <w:sz w:val="22"/>
          <w:szCs w:val="22"/>
        </w:rPr>
        <w:t xml:space="preserve"> </w:t>
      </w:r>
      <w:r w:rsidRPr="00D84ACA">
        <w:rPr>
          <w:rFonts w:cs="Arial"/>
          <w:bCs/>
          <w:sz w:val="22"/>
          <w:szCs w:val="22"/>
        </w:rPr>
        <w:t xml:space="preserve">includes </w:t>
      </w:r>
      <w:r w:rsidRPr="00D84ACA">
        <w:rPr>
          <w:rFonts w:cs="Arial"/>
          <w:b/>
          <w:bCs/>
          <w:sz w:val="22"/>
          <w:szCs w:val="22"/>
        </w:rPr>
        <w:t xml:space="preserve">one </w:t>
      </w:r>
      <w:r w:rsidRPr="00D84ACA">
        <w:rPr>
          <w:rFonts w:cs="Arial"/>
          <w:bCs/>
          <w:sz w:val="22"/>
          <w:szCs w:val="22"/>
        </w:rPr>
        <w:t xml:space="preserve">explicit reference to </w:t>
      </w:r>
      <w:r w:rsidRPr="00D84ACA">
        <w:rPr>
          <w:rFonts w:cs="Arial"/>
          <w:bCs/>
          <w:i/>
          <w:sz w:val="22"/>
          <w:szCs w:val="22"/>
        </w:rPr>
        <w:t>gender equality</w:t>
      </w:r>
      <w:r w:rsidRPr="00D84ACA">
        <w:rPr>
          <w:rFonts w:cs="Arial"/>
          <w:bCs/>
          <w:sz w:val="22"/>
          <w:szCs w:val="22"/>
        </w:rPr>
        <w:t xml:space="preserve"> in the context of the MDG framework, and nine statements related to </w:t>
      </w:r>
      <w:r w:rsidRPr="00D84ACA">
        <w:rPr>
          <w:rFonts w:cs="Arial"/>
          <w:bCs/>
          <w:i/>
          <w:sz w:val="22"/>
          <w:szCs w:val="22"/>
        </w:rPr>
        <w:t>gender equity.</w:t>
      </w:r>
      <w:r w:rsidRPr="00D84ACA">
        <w:rPr>
          <w:rFonts w:cs="Arial"/>
          <w:bCs/>
          <w:sz w:val="22"/>
          <w:szCs w:val="22"/>
        </w:rPr>
        <w:t xml:space="preserve"> In also contains 25 explicit and appropriate mentions of </w:t>
      </w:r>
      <w:r w:rsidRPr="00D84ACA">
        <w:rPr>
          <w:rFonts w:cs="Arial"/>
          <w:bCs/>
          <w:i/>
          <w:sz w:val="22"/>
          <w:szCs w:val="22"/>
        </w:rPr>
        <w:t>gender</w:t>
      </w:r>
      <w:r w:rsidRPr="00D84ACA">
        <w:rPr>
          <w:rFonts w:cs="Arial"/>
          <w:bCs/>
          <w:sz w:val="22"/>
          <w:szCs w:val="22"/>
        </w:rPr>
        <w:t xml:space="preserve"> in relation to inequality, discrimination, partnerships and health determinants. From the very presentation of the document, </w:t>
      </w:r>
      <w:r w:rsidRPr="00D84ACA">
        <w:rPr>
          <w:rFonts w:cs="Arial"/>
          <w:bCs/>
          <w:i/>
          <w:sz w:val="22"/>
          <w:szCs w:val="22"/>
        </w:rPr>
        <w:t xml:space="preserve">gender </w:t>
      </w:r>
      <w:r w:rsidRPr="00D84ACA">
        <w:rPr>
          <w:rFonts w:cs="Arial"/>
          <w:bCs/>
          <w:sz w:val="22"/>
          <w:szCs w:val="22"/>
        </w:rPr>
        <w:t>is highlighted as a health determinant.</w:t>
      </w:r>
      <w:r w:rsidRPr="00D84ACA">
        <w:rPr>
          <w:i/>
          <w:sz w:val="22"/>
          <w:szCs w:val="22"/>
        </w:rPr>
        <w:t xml:space="preserve"> </w:t>
      </w:r>
      <w:r w:rsidRPr="00D84ACA">
        <w:rPr>
          <w:sz w:val="22"/>
          <w:szCs w:val="22"/>
        </w:rPr>
        <w:t xml:space="preserve">Most relevant </w:t>
      </w:r>
      <w:r w:rsidR="00970D0B">
        <w:rPr>
          <w:sz w:val="22"/>
          <w:szCs w:val="22"/>
        </w:rPr>
        <w:t xml:space="preserve">for this assessment </w:t>
      </w:r>
      <w:r w:rsidRPr="00D84ACA">
        <w:rPr>
          <w:sz w:val="22"/>
          <w:szCs w:val="22"/>
        </w:rPr>
        <w:t xml:space="preserve">are the references to </w:t>
      </w:r>
      <w:r w:rsidRPr="00D84ACA">
        <w:rPr>
          <w:i/>
          <w:sz w:val="22"/>
          <w:szCs w:val="22"/>
        </w:rPr>
        <w:t>women’s empowerment</w:t>
      </w:r>
      <w:r w:rsidRPr="00D84ACA">
        <w:rPr>
          <w:sz w:val="22"/>
          <w:szCs w:val="22"/>
        </w:rPr>
        <w:t xml:space="preserve"> in the context of the MDG 3. These references go beyond naming the MDG</w:t>
      </w:r>
      <w:r w:rsidR="00714EE1">
        <w:rPr>
          <w:sz w:val="22"/>
          <w:szCs w:val="22"/>
        </w:rPr>
        <w:t xml:space="preserve"> 3</w:t>
      </w:r>
      <w:r w:rsidRPr="00D84ACA">
        <w:rPr>
          <w:sz w:val="22"/>
          <w:szCs w:val="22"/>
        </w:rPr>
        <w:t xml:space="preserve">, to analyze the </w:t>
      </w:r>
      <w:r w:rsidR="00714EE1">
        <w:rPr>
          <w:sz w:val="22"/>
          <w:szCs w:val="22"/>
        </w:rPr>
        <w:t xml:space="preserve">health </w:t>
      </w:r>
      <w:r w:rsidRPr="00D84ACA">
        <w:rPr>
          <w:sz w:val="22"/>
          <w:szCs w:val="22"/>
        </w:rPr>
        <w:t xml:space="preserve">repercussions of </w:t>
      </w:r>
      <w:r>
        <w:rPr>
          <w:sz w:val="22"/>
          <w:szCs w:val="22"/>
        </w:rPr>
        <w:t xml:space="preserve">the </w:t>
      </w:r>
      <w:r w:rsidRPr="00D84ACA">
        <w:rPr>
          <w:sz w:val="22"/>
          <w:szCs w:val="22"/>
        </w:rPr>
        <w:t xml:space="preserve">power imbalance between women and men and </w:t>
      </w:r>
      <w:r>
        <w:rPr>
          <w:sz w:val="22"/>
          <w:szCs w:val="22"/>
        </w:rPr>
        <w:t xml:space="preserve">to </w:t>
      </w:r>
      <w:r w:rsidRPr="00D84ACA">
        <w:rPr>
          <w:sz w:val="22"/>
          <w:szCs w:val="22"/>
        </w:rPr>
        <w:t xml:space="preserve">emphasize women’s empowerment as a condition to achieve gender equality and other MDG objectives, such as maternal health. </w:t>
      </w:r>
    </w:p>
    <w:p w:rsidR="009571FA" w:rsidRPr="00FA5DC6" w:rsidRDefault="009571FA" w:rsidP="001452C5">
      <w:pPr>
        <w:rPr>
          <w:sz w:val="16"/>
          <w:szCs w:val="22"/>
        </w:rPr>
      </w:pPr>
    </w:p>
    <w:p w:rsidR="009571FA" w:rsidRPr="001C28B7" w:rsidRDefault="009571FA" w:rsidP="001C28B7">
      <w:pPr>
        <w:rPr>
          <w:i/>
          <w:sz w:val="22"/>
          <w:szCs w:val="22"/>
        </w:rPr>
      </w:pPr>
      <w:r w:rsidRPr="007E6A9C">
        <w:rPr>
          <w:rFonts w:cs="Arial"/>
          <w:b/>
          <w:bCs/>
          <w:sz w:val="22"/>
          <w:szCs w:val="22"/>
        </w:rPr>
        <w:t>b</w:t>
      </w:r>
      <w:r>
        <w:rPr>
          <w:rFonts w:cs="Arial"/>
          <w:b/>
          <w:bCs/>
          <w:sz w:val="22"/>
          <w:szCs w:val="22"/>
        </w:rPr>
        <w:t>.</w:t>
      </w:r>
      <w:r>
        <w:rPr>
          <w:rFonts w:cs="Arial"/>
          <w:bCs/>
          <w:sz w:val="22"/>
          <w:szCs w:val="22"/>
        </w:rPr>
        <w:t xml:space="preserve">  </w:t>
      </w:r>
      <w:r w:rsidRPr="001C28B7">
        <w:rPr>
          <w:rFonts w:cs="Arial"/>
          <w:bCs/>
          <w:sz w:val="22"/>
          <w:szCs w:val="22"/>
        </w:rPr>
        <w:t>In</w:t>
      </w:r>
      <w:r w:rsidR="00E8324F">
        <w:rPr>
          <w:rFonts w:cs="Arial"/>
          <w:bCs/>
          <w:sz w:val="22"/>
          <w:szCs w:val="22"/>
        </w:rPr>
        <w:t xml:space="preserve">clusion of </w:t>
      </w:r>
      <w:r w:rsidRPr="001C28B7">
        <w:rPr>
          <w:rFonts w:cs="Arial"/>
          <w:b/>
          <w:bCs/>
          <w:i/>
          <w:sz w:val="22"/>
          <w:szCs w:val="22"/>
        </w:rPr>
        <w:t>“one or more "implicit" or indirect references to gender”</w:t>
      </w:r>
      <w:r w:rsidR="00E8324F">
        <w:rPr>
          <w:rFonts w:cs="Arial"/>
          <w:b/>
          <w:bCs/>
          <w:i/>
          <w:sz w:val="22"/>
          <w:szCs w:val="22"/>
        </w:rPr>
        <w:t>:</w:t>
      </w:r>
      <w:r w:rsidRPr="001C28B7">
        <w:rPr>
          <w:rFonts w:cs="Arial"/>
          <w:b/>
          <w:bCs/>
          <w:i/>
          <w:sz w:val="22"/>
          <w:szCs w:val="22"/>
        </w:rPr>
        <w:t xml:space="preserve"> </w:t>
      </w:r>
      <w:r w:rsidRPr="00714EE1">
        <w:rPr>
          <w:rFonts w:cs="Arial"/>
          <w:bCs/>
          <w:sz w:val="22"/>
          <w:szCs w:val="22"/>
        </w:rPr>
        <w:t>the text contains m</w:t>
      </w:r>
      <w:r w:rsidRPr="001C28B7">
        <w:rPr>
          <w:rFonts w:cs="Arial"/>
          <w:bCs/>
          <w:sz w:val="22"/>
          <w:szCs w:val="22"/>
        </w:rPr>
        <w:t xml:space="preserve">ore than 30 references alluding to gender as a health determinant,  a source of inequity, a focus for interventions, and an approach to analysis and policy development. It throws light on key issues of gender inequality in the distribution of labour, access to health care, and access to resources &amp; power both in society </w:t>
      </w:r>
      <w:r w:rsidR="00E8324F">
        <w:rPr>
          <w:rFonts w:cs="Arial"/>
          <w:bCs/>
          <w:sz w:val="22"/>
          <w:szCs w:val="22"/>
        </w:rPr>
        <w:t xml:space="preserve">at large </w:t>
      </w:r>
      <w:r w:rsidRPr="001C28B7">
        <w:rPr>
          <w:rFonts w:cs="Arial"/>
          <w:bCs/>
          <w:sz w:val="22"/>
          <w:szCs w:val="22"/>
        </w:rPr>
        <w:t>and</w:t>
      </w:r>
      <w:r w:rsidRPr="001C28B7">
        <w:rPr>
          <w:rFonts w:cs="Arial"/>
          <w:b/>
          <w:bCs/>
          <w:sz w:val="22"/>
          <w:szCs w:val="22"/>
        </w:rPr>
        <w:t xml:space="preserve"> within the family: “</w:t>
      </w:r>
      <w:r w:rsidRPr="001C28B7">
        <w:rPr>
          <w:i/>
          <w:sz w:val="22"/>
          <w:szCs w:val="22"/>
        </w:rPr>
        <w:t>the improvement of women’s social status within the family...appears to be crucial in the ability of the SPHS to tackle negative social determinants”</w:t>
      </w:r>
      <w:r w:rsidR="00751F92">
        <w:rPr>
          <w:i/>
          <w:sz w:val="22"/>
          <w:szCs w:val="22"/>
        </w:rPr>
        <w:t xml:space="preserve"> (</w:t>
      </w:r>
      <w:r w:rsidR="00427636">
        <w:rPr>
          <w:i/>
          <w:sz w:val="22"/>
          <w:szCs w:val="22"/>
        </w:rPr>
        <w:t>Pags</w:t>
      </w:r>
      <w:r w:rsidR="00751F92">
        <w:rPr>
          <w:i/>
          <w:sz w:val="22"/>
          <w:szCs w:val="22"/>
        </w:rPr>
        <w:t>.</w:t>
      </w:r>
      <w:r w:rsidR="00427636">
        <w:rPr>
          <w:i/>
          <w:sz w:val="22"/>
          <w:szCs w:val="22"/>
        </w:rPr>
        <w:t xml:space="preserve"> </w:t>
      </w:r>
      <w:r w:rsidR="00751F92">
        <w:rPr>
          <w:i/>
          <w:sz w:val="22"/>
          <w:szCs w:val="22"/>
        </w:rPr>
        <w:t>3-4)</w:t>
      </w:r>
      <w:r w:rsidRPr="001C28B7">
        <w:rPr>
          <w:i/>
          <w:sz w:val="22"/>
          <w:szCs w:val="22"/>
        </w:rPr>
        <w:t xml:space="preserve">.  </w:t>
      </w:r>
    </w:p>
    <w:p w:rsidR="009571FA" w:rsidRPr="00FA5DC6" w:rsidRDefault="009571FA" w:rsidP="001452C5">
      <w:pPr>
        <w:ind w:left="360"/>
        <w:rPr>
          <w:rFonts w:cs="Arial"/>
          <w:bCs/>
          <w:sz w:val="16"/>
          <w:szCs w:val="22"/>
        </w:rPr>
      </w:pPr>
    </w:p>
    <w:p w:rsidR="009571FA" w:rsidRPr="000A26F2" w:rsidRDefault="009571FA" w:rsidP="001C28B7">
      <w:pPr>
        <w:rPr>
          <w:rFonts w:cs="Arial"/>
          <w:bCs/>
          <w:sz w:val="22"/>
          <w:szCs w:val="22"/>
        </w:rPr>
      </w:pPr>
      <w:r w:rsidRPr="007E6A9C">
        <w:rPr>
          <w:rFonts w:cs="Arial"/>
          <w:b/>
          <w:bCs/>
          <w:sz w:val="22"/>
          <w:szCs w:val="22"/>
        </w:rPr>
        <w:t>c</w:t>
      </w:r>
      <w:r>
        <w:rPr>
          <w:rFonts w:cs="Arial"/>
          <w:b/>
          <w:bCs/>
          <w:sz w:val="22"/>
          <w:szCs w:val="22"/>
        </w:rPr>
        <w:t>.</w:t>
      </w:r>
      <w:r>
        <w:rPr>
          <w:rFonts w:cs="Arial"/>
          <w:bCs/>
          <w:sz w:val="22"/>
          <w:szCs w:val="22"/>
        </w:rPr>
        <w:t xml:space="preserve">  </w:t>
      </w:r>
      <w:r w:rsidRPr="001C28B7">
        <w:rPr>
          <w:rFonts w:cs="Arial"/>
          <w:bCs/>
          <w:sz w:val="22"/>
          <w:szCs w:val="22"/>
        </w:rPr>
        <w:t>The document does not</w:t>
      </w:r>
      <w:r>
        <w:rPr>
          <w:rFonts w:cs="Arial"/>
          <w:b/>
          <w:bCs/>
          <w:i/>
          <w:sz w:val="22"/>
          <w:szCs w:val="22"/>
        </w:rPr>
        <w:t xml:space="preserve"> “</w:t>
      </w:r>
      <w:r w:rsidRPr="000A26F2">
        <w:rPr>
          <w:rFonts w:cs="Arial"/>
          <w:b/>
          <w:bCs/>
          <w:i/>
          <w:sz w:val="22"/>
          <w:szCs w:val="22"/>
        </w:rPr>
        <w:t>refer to consultation/ partnerships with women's groups</w:t>
      </w:r>
      <w:r w:rsidR="00970D0B">
        <w:rPr>
          <w:rFonts w:cs="Arial"/>
          <w:b/>
          <w:bCs/>
          <w:i/>
          <w:sz w:val="22"/>
          <w:szCs w:val="22"/>
        </w:rPr>
        <w:t xml:space="preserve">, </w:t>
      </w:r>
      <w:r w:rsidR="00970D0B" w:rsidRPr="00970D0B">
        <w:rPr>
          <w:rFonts w:cs="Arial"/>
          <w:bCs/>
          <w:sz w:val="22"/>
          <w:szCs w:val="22"/>
        </w:rPr>
        <w:t>but</w:t>
      </w:r>
      <w:r w:rsidRPr="00970D0B">
        <w:rPr>
          <w:rFonts w:cs="Arial"/>
          <w:bCs/>
          <w:sz w:val="22"/>
          <w:szCs w:val="22"/>
        </w:rPr>
        <w:t xml:space="preserve"> </w:t>
      </w:r>
      <w:r w:rsidRPr="001C28B7">
        <w:rPr>
          <w:rFonts w:cs="Arial"/>
          <w:bCs/>
          <w:sz w:val="22"/>
          <w:szCs w:val="22"/>
        </w:rPr>
        <w:t>a</w:t>
      </w:r>
      <w:r w:rsidRPr="000A26F2">
        <w:rPr>
          <w:rFonts w:cs="Arial"/>
          <w:bCs/>
          <w:sz w:val="22"/>
          <w:szCs w:val="22"/>
        </w:rPr>
        <w:t>llude</w:t>
      </w:r>
      <w:r w:rsidR="00E8324F">
        <w:rPr>
          <w:rFonts w:cs="Arial"/>
          <w:bCs/>
          <w:sz w:val="22"/>
          <w:szCs w:val="22"/>
        </w:rPr>
        <w:t xml:space="preserve">s to </w:t>
      </w:r>
      <w:r w:rsidRPr="000A26F2">
        <w:rPr>
          <w:rFonts w:cs="Arial"/>
          <w:bCs/>
          <w:sz w:val="22"/>
          <w:szCs w:val="22"/>
        </w:rPr>
        <w:t xml:space="preserve">contributions by women’s groups to relevant policy making in </w:t>
      </w:r>
      <w:r>
        <w:rPr>
          <w:rFonts w:cs="Arial"/>
          <w:bCs/>
          <w:sz w:val="22"/>
          <w:szCs w:val="22"/>
        </w:rPr>
        <w:t>a country (Ecuador)</w:t>
      </w:r>
      <w:r w:rsidR="00970D0B">
        <w:rPr>
          <w:rFonts w:cs="Arial"/>
          <w:bCs/>
          <w:sz w:val="22"/>
          <w:szCs w:val="22"/>
        </w:rPr>
        <w:t>,</w:t>
      </w:r>
      <w:r>
        <w:rPr>
          <w:rFonts w:cs="Arial"/>
          <w:bCs/>
          <w:sz w:val="22"/>
          <w:szCs w:val="22"/>
        </w:rPr>
        <w:t xml:space="preserve"> </w:t>
      </w:r>
      <w:r w:rsidRPr="000A26F2">
        <w:rPr>
          <w:rFonts w:cs="Arial"/>
          <w:bCs/>
          <w:sz w:val="22"/>
          <w:szCs w:val="22"/>
        </w:rPr>
        <w:t>and quotes data provided by th</w:t>
      </w:r>
      <w:r w:rsidR="00970D0B">
        <w:rPr>
          <w:rFonts w:cs="Arial"/>
          <w:bCs/>
          <w:sz w:val="22"/>
          <w:szCs w:val="22"/>
        </w:rPr>
        <w:t>at country’s Government Gender Bureau</w:t>
      </w:r>
      <w:r w:rsidRPr="000A26F2">
        <w:rPr>
          <w:rFonts w:cs="Arial"/>
          <w:bCs/>
          <w:sz w:val="22"/>
          <w:szCs w:val="22"/>
        </w:rPr>
        <w:t>.</w:t>
      </w:r>
    </w:p>
    <w:p w:rsidR="009571FA" w:rsidRPr="00FA5DC6" w:rsidRDefault="009571FA" w:rsidP="001C28B7">
      <w:pPr>
        <w:rPr>
          <w:rFonts w:cs="Arial"/>
          <w:bCs/>
          <w:i/>
          <w:sz w:val="16"/>
          <w:szCs w:val="22"/>
        </w:rPr>
      </w:pPr>
    </w:p>
    <w:p w:rsidR="009571FA" w:rsidRPr="000A26F2" w:rsidRDefault="009571FA" w:rsidP="001C28B7">
      <w:pPr>
        <w:rPr>
          <w:rFonts w:cs="Arial"/>
          <w:bCs/>
          <w:i/>
          <w:sz w:val="22"/>
          <w:szCs w:val="22"/>
        </w:rPr>
      </w:pPr>
      <w:r w:rsidRPr="007E6A9C">
        <w:rPr>
          <w:rFonts w:cs="Arial"/>
          <w:b/>
          <w:bCs/>
          <w:sz w:val="22"/>
          <w:szCs w:val="22"/>
        </w:rPr>
        <w:t>d</w:t>
      </w:r>
      <w:r>
        <w:rPr>
          <w:rFonts w:cs="Arial"/>
          <w:b/>
          <w:bCs/>
          <w:sz w:val="22"/>
          <w:szCs w:val="22"/>
        </w:rPr>
        <w:t>.</w:t>
      </w:r>
      <w:r>
        <w:rPr>
          <w:rFonts w:cs="Arial"/>
          <w:bCs/>
          <w:sz w:val="22"/>
          <w:szCs w:val="22"/>
        </w:rPr>
        <w:t xml:space="preserve">  </w:t>
      </w:r>
      <w:r w:rsidR="0091174C">
        <w:rPr>
          <w:rFonts w:cs="Arial"/>
          <w:bCs/>
          <w:sz w:val="22"/>
          <w:szCs w:val="22"/>
        </w:rPr>
        <w:t>T</w:t>
      </w:r>
      <w:r w:rsidRPr="001C28B7">
        <w:rPr>
          <w:rFonts w:cs="Arial"/>
          <w:bCs/>
          <w:sz w:val="22"/>
          <w:szCs w:val="22"/>
        </w:rPr>
        <w:t>he publication does not explicitly</w:t>
      </w:r>
      <w:r>
        <w:rPr>
          <w:rFonts w:cs="Arial"/>
          <w:b/>
          <w:bCs/>
          <w:i/>
          <w:sz w:val="22"/>
          <w:szCs w:val="22"/>
        </w:rPr>
        <w:t xml:space="preserve"> “</w:t>
      </w:r>
      <w:r w:rsidRPr="000A26F2">
        <w:rPr>
          <w:rFonts w:cs="Arial"/>
          <w:b/>
          <w:bCs/>
          <w:i/>
          <w:sz w:val="22"/>
          <w:szCs w:val="22"/>
          <w:u w:val="single"/>
        </w:rPr>
        <w:t>recommend</w:t>
      </w:r>
      <w:r w:rsidRPr="00970D0B">
        <w:rPr>
          <w:rFonts w:cs="Arial"/>
          <w:b/>
          <w:bCs/>
          <w:i/>
          <w:sz w:val="22"/>
          <w:szCs w:val="22"/>
        </w:rPr>
        <w:t>”</w:t>
      </w:r>
      <w:r w:rsidRPr="00970D0B">
        <w:rPr>
          <w:rFonts w:cs="Arial"/>
          <w:bCs/>
          <w:sz w:val="22"/>
          <w:szCs w:val="22"/>
        </w:rPr>
        <w:t xml:space="preserve"> </w:t>
      </w:r>
      <w:r w:rsidR="0091174C" w:rsidRPr="0091174C">
        <w:rPr>
          <w:rFonts w:cs="Arial"/>
          <w:b/>
          <w:bCs/>
          <w:sz w:val="22"/>
          <w:szCs w:val="22"/>
        </w:rPr>
        <w:t>SDD’</w:t>
      </w:r>
      <w:r w:rsidR="0091174C">
        <w:rPr>
          <w:rFonts w:cs="Arial"/>
          <w:bCs/>
          <w:sz w:val="22"/>
          <w:szCs w:val="22"/>
        </w:rPr>
        <w:t xml:space="preserve">s </w:t>
      </w:r>
      <w:r w:rsidRPr="00714EE1">
        <w:rPr>
          <w:rFonts w:cs="Arial"/>
          <w:bCs/>
          <w:sz w:val="22"/>
          <w:szCs w:val="22"/>
        </w:rPr>
        <w:t xml:space="preserve">use. </w:t>
      </w:r>
      <w:r>
        <w:rPr>
          <w:rFonts w:cs="Arial"/>
          <w:bCs/>
          <w:sz w:val="22"/>
          <w:szCs w:val="22"/>
        </w:rPr>
        <w:t xml:space="preserve">However, the </w:t>
      </w:r>
      <w:r w:rsidRPr="000A26F2">
        <w:rPr>
          <w:rFonts w:cs="Arial"/>
          <w:bCs/>
          <w:sz w:val="22"/>
          <w:szCs w:val="22"/>
        </w:rPr>
        <w:t>analysis and conclusions --especially those dealing with women’s status relative to man</w:t>
      </w:r>
      <w:r w:rsidR="00970D0B">
        <w:rPr>
          <w:rFonts w:cs="Arial"/>
          <w:bCs/>
          <w:sz w:val="22"/>
          <w:szCs w:val="22"/>
        </w:rPr>
        <w:t>,</w:t>
      </w:r>
      <w:r w:rsidRPr="000A26F2">
        <w:rPr>
          <w:rFonts w:cs="Arial"/>
          <w:bCs/>
          <w:sz w:val="22"/>
          <w:szCs w:val="22"/>
        </w:rPr>
        <w:t xml:space="preserve"> as predictor of maternal health-- point to the need to work with this type of data.</w:t>
      </w:r>
      <w:r w:rsidRPr="000A26F2">
        <w:rPr>
          <w:sz w:val="22"/>
          <w:szCs w:val="22"/>
        </w:rPr>
        <w:t xml:space="preserve"> </w:t>
      </w:r>
      <w:r w:rsidRPr="000A26F2">
        <w:rPr>
          <w:i/>
          <w:sz w:val="22"/>
          <w:szCs w:val="22"/>
        </w:rPr>
        <w:t>“</w:t>
      </w:r>
      <w:r w:rsidR="0091174C">
        <w:rPr>
          <w:i/>
          <w:sz w:val="22"/>
          <w:szCs w:val="22"/>
        </w:rPr>
        <w:t>W</w:t>
      </w:r>
      <w:r w:rsidRPr="000A26F2">
        <w:rPr>
          <w:i/>
          <w:sz w:val="22"/>
          <w:szCs w:val="22"/>
        </w:rPr>
        <w:t>omen’s status, as measured by indicators such as level of education relative to men, age at first marriage, and reproductive autonomy, is a strong predictor of maternal mortality”</w:t>
      </w:r>
      <w:r w:rsidR="00751F92">
        <w:rPr>
          <w:i/>
          <w:sz w:val="22"/>
          <w:szCs w:val="22"/>
        </w:rPr>
        <w:t xml:space="preserve"> (p.33)</w:t>
      </w:r>
      <w:r w:rsidRPr="000A26F2">
        <w:rPr>
          <w:rFonts w:cs="Arial"/>
          <w:bCs/>
          <w:i/>
          <w:sz w:val="22"/>
          <w:szCs w:val="22"/>
        </w:rPr>
        <w:t xml:space="preserve">. </w:t>
      </w:r>
      <w:r w:rsidRPr="000A26F2">
        <w:rPr>
          <w:sz w:val="22"/>
          <w:szCs w:val="22"/>
        </w:rPr>
        <w:t>Since the document focus</w:t>
      </w:r>
      <w:r>
        <w:rPr>
          <w:sz w:val="22"/>
          <w:szCs w:val="22"/>
        </w:rPr>
        <w:t>es</w:t>
      </w:r>
      <w:r w:rsidRPr="000A26F2">
        <w:rPr>
          <w:sz w:val="22"/>
          <w:szCs w:val="22"/>
        </w:rPr>
        <w:t xml:space="preserve"> on maternal health, most health data refers to women only. However, </w:t>
      </w:r>
      <w:r w:rsidRPr="001C28B7">
        <w:rPr>
          <w:b/>
          <w:sz w:val="22"/>
          <w:szCs w:val="22"/>
        </w:rPr>
        <w:t>SDD is presented</w:t>
      </w:r>
      <w:r w:rsidRPr="000A26F2">
        <w:rPr>
          <w:sz w:val="22"/>
          <w:szCs w:val="22"/>
        </w:rPr>
        <w:t xml:space="preserve"> in the socio-demographic contest and it is used to make a case for gender as a health determinant</w:t>
      </w:r>
      <w:r>
        <w:rPr>
          <w:sz w:val="22"/>
          <w:szCs w:val="22"/>
        </w:rPr>
        <w:t>.</w:t>
      </w:r>
    </w:p>
    <w:p w:rsidR="009571FA" w:rsidRPr="00FA5DC6" w:rsidRDefault="009571FA" w:rsidP="001C28B7">
      <w:pPr>
        <w:rPr>
          <w:sz w:val="16"/>
          <w:szCs w:val="22"/>
        </w:rPr>
      </w:pPr>
    </w:p>
    <w:p w:rsidR="009571FA" w:rsidRPr="000A26F2" w:rsidRDefault="009571FA" w:rsidP="001C28B7">
      <w:pPr>
        <w:rPr>
          <w:rFonts w:cs="Arial"/>
          <w:bCs/>
          <w:sz w:val="22"/>
          <w:szCs w:val="22"/>
        </w:rPr>
      </w:pPr>
      <w:r w:rsidRPr="007E6A9C">
        <w:rPr>
          <w:rFonts w:cs="Arial"/>
          <w:b/>
          <w:bCs/>
          <w:sz w:val="22"/>
          <w:szCs w:val="22"/>
        </w:rPr>
        <w:t>e</w:t>
      </w:r>
      <w:r>
        <w:rPr>
          <w:rFonts w:cs="Arial"/>
          <w:b/>
          <w:bCs/>
          <w:sz w:val="22"/>
          <w:szCs w:val="22"/>
        </w:rPr>
        <w:t>.</w:t>
      </w:r>
      <w:r>
        <w:rPr>
          <w:rFonts w:cs="Arial"/>
          <w:bCs/>
          <w:sz w:val="22"/>
          <w:szCs w:val="22"/>
        </w:rPr>
        <w:t xml:space="preserve"> </w:t>
      </w:r>
      <w:r w:rsidRPr="001C28B7">
        <w:rPr>
          <w:rFonts w:cs="Arial"/>
          <w:bCs/>
          <w:sz w:val="22"/>
          <w:szCs w:val="22"/>
        </w:rPr>
        <w:t>The use of</w:t>
      </w:r>
      <w:r>
        <w:rPr>
          <w:rFonts w:cs="Arial"/>
          <w:b/>
          <w:bCs/>
          <w:i/>
          <w:sz w:val="22"/>
          <w:szCs w:val="22"/>
        </w:rPr>
        <w:t xml:space="preserve"> gender analysis </w:t>
      </w:r>
      <w:r w:rsidRPr="000A26F2">
        <w:rPr>
          <w:rFonts w:cs="Arial"/>
          <w:bCs/>
          <w:sz w:val="22"/>
          <w:szCs w:val="22"/>
        </w:rPr>
        <w:t>is the document’s stronge</w:t>
      </w:r>
      <w:r>
        <w:rPr>
          <w:rFonts w:cs="Arial"/>
          <w:bCs/>
          <w:sz w:val="22"/>
          <w:szCs w:val="22"/>
        </w:rPr>
        <w:t>st</w:t>
      </w:r>
      <w:r w:rsidRPr="000A26F2">
        <w:rPr>
          <w:rFonts w:cs="Arial"/>
          <w:bCs/>
          <w:sz w:val="22"/>
          <w:szCs w:val="22"/>
        </w:rPr>
        <w:t xml:space="preserve"> asset </w:t>
      </w:r>
      <w:r>
        <w:rPr>
          <w:rFonts w:cs="Arial"/>
          <w:bCs/>
          <w:sz w:val="22"/>
          <w:szCs w:val="22"/>
        </w:rPr>
        <w:t xml:space="preserve">in terms of </w:t>
      </w:r>
      <w:r w:rsidRPr="000A26F2">
        <w:rPr>
          <w:rFonts w:cs="Arial"/>
          <w:bCs/>
          <w:sz w:val="22"/>
          <w:szCs w:val="22"/>
        </w:rPr>
        <w:t>gender int</w:t>
      </w:r>
      <w:r>
        <w:rPr>
          <w:rFonts w:cs="Arial"/>
          <w:bCs/>
          <w:sz w:val="22"/>
          <w:szCs w:val="22"/>
        </w:rPr>
        <w:t xml:space="preserve">egration. Beyond the simple presentation of SDD, </w:t>
      </w:r>
      <w:r w:rsidRPr="000A26F2">
        <w:rPr>
          <w:rFonts w:cs="Arial"/>
          <w:bCs/>
          <w:sz w:val="22"/>
          <w:szCs w:val="22"/>
        </w:rPr>
        <w:t>the document makes a case for gender as a health determinant, examines the health repercussions of women’s lower status, and analyzes the policy development implications of gender differences in roles, norms and power.</w:t>
      </w:r>
    </w:p>
    <w:p w:rsidR="009571FA" w:rsidRPr="000A26F2" w:rsidRDefault="009571FA" w:rsidP="001452C5">
      <w:pPr>
        <w:rPr>
          <w:rFonts w:cs="Arial"/>
          <w:bCs/>
          <w:i/>
          <w:sz w:val="22"/>
          <w:szCs w:val="22"/>
        </w:rPr>
      </w:pPr>
      <w:r w:rsidRPr="000A26F2">
        <w:rPr>
          <w:rFonts w:cs="Arial"/>
          <w:bCs/>
          <w:i/>
          <w:sz w:val="22"/>
          <w:szCs w:val="22"/>
        </w:rPr>
        <w:t xml:space="preserve"> </w:t>
      </w:r>
    </w:p>
    <w:p w:rsidR="009571FA" w:rsidRDefault="009571FA" w:rsidP="007E6A9C">
      <w:pPr>
        <w:rPr>
          <w:rFonts w:cs="Arial"/>
          <w:bCs/>
          <w:i/>
          <w:sz w:val="22"/>
          <w:szCs w:val="22"/>
        </w:rPr>
      </w:pPr>
      <w:r w:rsidRPr="007E6A9C">
        <w:rPr>
          <w:rFonts w:cs="Arial"/>
          <w:b/>
          <w:bCs/>
          <w:sz w:val="22"/>
          <w:szCs w:val="22"/>
        </w:rPr>
        <w:t>f</w:t>
      </w:r>
      <w:r>
        <w:rPr>
          <w:rFonts w:cs="Arial"/>
          <w:b/>
          <w:bCs/>
          <w:sz w:val="22"/>
          <w:szCs w:val="22"/>
        </w:rPr>
        <w:t>.</w:t>
      </w:r>
      <w:r>
        <w:rPr>
          <w:rFonts w:cs="Arial"/>
          <w:bCs/>
          <w:sz w:val="22"/>
          <w:szCs w:val="22"/>
        </w:rPr>
        <w:t xml:space="preserve">  </w:t>
      </w:r>
      <w:r w:rsidRPr="007E6A9C">
        <w:rPr>
          <w:rFonts w:cs="Arial"/>
          <w:bCs/>
          <w:sz w:val="22"/>
          <w:szCs w:val="22"/>
        </w:rPr>
        <w:t>On the subject of</w:t>
      </w:r>
      <w:r>
        <w:rPr>
          <w:rFonts w:cs="Arial"/>
          <w:b/>
          <w:bCs/>
          <w:i/>
          <w:sz w:val="22"/>
          <w:szCs w:val="22"/>
        </w:rPr>
        <w:t xml:space="preserve"> “</w:t>
      </w:r>
      <w:r w:rsidRPr="000A26F2">
        <w:rPr>
          <w:rFonts w:cs="Arial"/>
          <w:b/>
          <w:bCs/>
          <w:i/>
          <w:sz w:val="22"/>
          <w:szCs w:val="22"/>
        </w:rPr>
        <w:t>specify</w:t>
      </w:r>
      <w:r>
        <w:rPr>
          <w:rFonts w:cs="Arial"/>
          <w:b/>
          <w:bCs/>
          <w:i/>
          <w:sz w:val="22"/>
          <w:szCs w:val="22"/>
        </w:rPr>
        <w:t>ing</w:t>
      </w:r>
      <w:r w:rsidRPr="000A26F2">
        <w:rPr>
          <w:rFonts w:cs="Arial"/>
          <w:b/>
          <w:bCs/>
          <w:i/>
          <w:sz w:val="22"/>
          <w:szCs w:val="22"/>
        </w:rPr>
        <w:t xml:space="preserve"> at least one action/ recommendation to address gender</w:t>
      </w:r>
      <w:r w:rsidRPr="007E6A9C">
        <w:rPr>
          <w:rFonts w:cs="Arial"/>
          <w:bCs/>
          <w:sz w:val="22"/>
          <w:szCs w:val="22"/>
        </w:rPr>
        <w:t>”, a</w:t>
      </w:r>
      <w:r>
        <w:rPr>
          <w:rFonts w:cs="Arial"/>
          <w:b/>
          <w:bCs/>
          <w:i/>
          <w:sz w:val="22"/>
          <w:szCs w:val="22"/>
        </w:rPr>
        <w:t xml:space="preserve"> </w:t>
      </w:r>
      <w:r>
        <w:rPr>
          <w:rFonts w:cs="Arial"/>
          <w:bCs/>
          <w:sz w:val="22"/>
          <w:szCs w:val="22"/>
        </w:rPr>
        <w:t xml:space="preserve">document’s </w:t>
      </w:r>
      <w:r w:rsidRPr="000A26F2">
        <w:rPr>
          <w:rFonts w:cs="Arial"/>
          <w:bCs/>
          <w:sz w:val="22"/>
          <w:szCs w:val="22"/>
        </w:rPr>
        <w:t xml:space="preserve">central input is the emphasis placed on the importance of addressing intra-household inequalities: </w:t>
      </w:r>
      <w:r w:rsidRPr="000A26F2">
        <w:rPr>
          <w:rFonts w:cs="Arial"/>
          <w:bCs/>
          <w:i/>
          <w:sz w:val="22"/>
          <w:szCs w:val="22"/>
        </w:rPr>
        <w:t>“As learned from these experiences, conditioned programs achieve better outcomes when they are directed to families instead of individuals and when the mother is the recipient of the monetary or in-kind benefit.</w:t>
      </w:r>
      <w:r>
        <w:rPr>
          <w:rFonts w:cs="Arial"/>
          <w:bCs/>
          <w:i/>
          <w:sz w:val="22"/>
          <w:szCs w:val="22"/>
        </w:rPr>
        <w:t>...</w:t>
      </w:r>
      <w:r w:rsidRPr="000A26F2">
        <w:rPr>
          <w:rFonts w:cs="Arial"/>
          <w:bCs/>
          <w:i/>
          <w:sz w:val="22"/>
          <w:szCs w:val="22"/>
        </w:rPr>
        <w:t xml:space="preserve"> giving control of monetary benefits to the mother improves the status of women within the family”</w:t>
      </w:r>
      <w:r w:rsidR="00751F92">
        <w:rPr>
          <w:rFonts w:cs="Arial"/>
          <w:bCs/>
          <w:i/>
          <w:sz w:val="22"/>
          <w:szCs w:val="22"/>
        </w:rPr>
        <w:t xml:space="preserve"> (p.145)</w:t>
      </w:r>
      <w:r w:rsidRPr="000A26F2">
        <w:rPr>
          <w:rFonts w:cs="Arial"/>
          <w:bCs/>
          <w:i/>
          <w:sz w:val="22"/>
          <w:szCs w:val="22"/>
        </w:rPr>
        <w:t>.</w:t>
      </w:r>
      <w:r>
        <w:rPr>
          <w:rFonts w:cs="Arial"/>
          <w:bCs/>
          <w:i/>
          <w:sz w:val="22"/>
          <w:szCs w:val="22"/>
        </w:rPr>
        <w:t xml:space="preserve"> </w:t>
      </w:r>
      <w:r w:rsidRPr="000A26F2">
        <w:rPr>
          <w:rFonts w:cs="Arial"/>
          <w:bCs/>
          <w:sz w:val="22"/>
          <w:szCs w:val="22"/>
        </w:rPr>
        <w:t xml:space="preserve">Another significant contribution is </w:t>
      </w:r>
      <w:r>
        <w:rPr>
          <w:rFonts w:cs="Arial"/>
          <w:bCs/>
          <w:sz w:val="22"/>
          <w:szCs w:val="22"/>
        </w:rPr>
        <w:t xml:space="preserve">that of </w:t>
      </w:r>
      <w:r w:rsidRPr="000A26F2">
        <w:rPr>
          <w:rFonts w:cs="Arial"/>
          <w:bCs/>
          <w:sz w:val="22"/>
          <w:szCs w:val="22"/>
        </w:rPr>
        <w:t>calling into question the wisdom and justice of common practices</w:t>
      </w:r>
      <w:r>
        <w:rPr>
          <w:rFonts w:cs="Arial"/>
          <w:bCs/>
          <w:sz w:val="22"/>
          <w:szCs w:val="22"/>
        </w:rPr>
        <w:t>:</w:t>
      </w:r>
      <w:r w:rsidRPr="000A26F2">
        <w:rPr>
          <w:rFonts w:cs="Arial"/>
          <w:bCs/>
          <w:i/>
          <w:sz w:val="22"/>
          <w:szCs w:val="22"/>
        </w:rPr>
        <w:t xml:space="preserve"> “... targeting the maternal </w:t>
      </w:r>
      <w:r w:rsidRPr="00D345DF">
        <w:rPr>
          <w:rFonts w:cs="Arial"/>
          <w:bCs/>
          <w:sz w:val="22"/>
          <w:szCs w:val="22"/>
        </w:rPr>
        <w:t>and child population, using age or pregnancy as a main criteria, brings</w:t>
      </w:r>
      <w:r w:rsidRPr="000A26F2">
        <w:rPr>
          <w:rFonts w:cs="Arial"/>
          <w:bCs/>
          <w:i/>
          <w:sz w:val="22"/>
          <w:szCs w:val="22"/>
        </w:rPr>
        <w:t xml:space="preserve"> up the question of equity of access to health for the rest of women of reproductive age and for older children”</w:t>
      </w:r>
      <w:r w:rsidR="00751F92">
        <w:rPr>
          <w:rFonts w:cs="Arial"/>
          <w:bCs/>
          <w:i/>
          <w:sz w:val="22"/>
          <w:szCs w:val="22"/>
        </w:rPr>
        <w:t>(p.145)</w:t>
      </w:r>
      <w:r w:rsidRPr="000A26F2">
        <w:rPr>
          <w:rFonts w:cs="Arial"/>
          <w:bCs/>
          <w:i/>
          <w:sz w:val="22"/>
          <w:szCs w:val="22"/>
        </w:rPr>
        <w:t>.</w:t>
      </w:r>
      <w:r>
        <w:rPr>
          <w:rFonts w:cs="Arial"/>
          <w:bCs/>
          <w:i/>
          <w:sz w:val="22"/>
          <w:szCs w:val="22"/>
        </w:rPr>
        <w:t xml:space="preserve"> </w:t>
      </w:r>
    </w:p>
    <w:p w:rsidR="009571FA" w:rsidRPr="00C5205F" w:rsidRDefault="009571FA" w:rsidP="007E6A9C">
      <w:pPr>
        <w:rPr>
          <w:rFonts w:cs="Arial"/>
          <w:bCs/>
          <w:i/>
          <w:sz w:val="14"/>
          <w:szCs w:val="22"/>
        </w:rPr>
      </w:pPr>
    </w:p>
    <w:p w:rsidR="009571FA" w:rsidRPr="007B5A2C" w:rsidRDefault="009571FA" w:rsidP="001452C5">
      <w:pPr>
        <w:pStyle w:val="Heading2"/>
        <w:rPr>
          <w:rFonts w:ascii="Arial" w:hAnsi="Arial" w:cs="Arial"/>
          <w:color w:val="auto"/>
          <w:sz w:val="22"/>
          <w:szCs w:val="24"/>
        </w:rPr>
      </w:pPr>
      <w:r w:rsidRPr="007B5A2C">
        <w:rPr>
          <w:rFonts w:ascii="Arial" w:hAnsi="Arial" w:cs="Arial"/>
          <w:color w:val="auto"/>
          <w:sz w:val="22"/>
          <w:szCs w:val="24"/>
        </w:rPr>
        <w:t xml:space="preserve"> </w:t>
      </w:r>
      <w:r w:rsidR="004A755E">
        <w:rPr>
          <w:rFonts w:ascii="Arial" w:hAnsi="Arial" w:cs="Arial"/>
          <w:color w:val="auto"/>
          <w:sz w:val="22"/>
          <w:szCs w:val="24"/>
        </w:rPr>
        <w:t>3.</w:t>
      </w:r>
      <w:r w:rsidR="00C5205F">
        <w:rPr>
          <w:rFonts w:ascii="Arial" w:hAnsi="Arial" w:cs="Arial"/>
          <w:color w:val="auto"/>
          <w:sz w:val="22"/>
          <w:szCs w:val="24"/>
        </w:rPr>
        <w:t xml:space="preserve">4. </w:t>
      </w:r>
      <w:r w:rsidRPr="007B5A2C">
        <w:rPr>
          <w:rFonts w:ascii="Arial" w:hAnsi="Arial" w:cs="Arial"/>
          <w:color w:val="auto"/>
          <w:sz w:val="22"/>
          <w:szCs w:val="24"/>
        </w:rPr>
        <w:t>Tools/normative guidelines</w:t>
      </w:r>
    </w:p>
    <w:p w:rsidR="009571FA" w:rsidRPr="00DD0211" w:rsidRDefault="009571FA" w:rsidP="001452C5">
      <w:pPr>
        <w:pStyle w:val="ListParagraph"/>
        <w:ind w:left="1440" w:right="1080"/>
        <w:jc w:val="both"/>
        <w:rPr>
          <w:sz w:val="8"/>
          <w:szCs w:val="22"/>
        </w:rPr>
      </w:pPr>
    </w:p>
    <w:p w:rsidR="009571FA" w:rsidRPr="000A26F2" w:rsidRDefault="009571FA" w:rsidP="001452C5">
      <w:pPr>
        <w:pStyle w:val="ListParagraph"/>
        <w:ind w:right="810"/>
        <w:rPr>
          <w:rFonts w:cs="Arial"/>
          <w:bCs/>
          <w:color w:val="000000"/>
          <w:sz w:val="22"/>
          <w:szCs w:val="22"/>
        </w:rPr>
      </w:pPr>
      <w:r w:rsidRPr="000A26F2">
        <w:rPr>
          <w:color w:val="1F497D"/>
          <w:sz w:val="22"/>
          <w:szCs w:val="22"/>
        </w:rPr>
        <w:t xml:space="preserve">Guidelines for preparing and reviewing PAHO </w:t>
      </w:r>
      <w:r w:rsidRPr="000A26F2">
        <w:rPr>
          <w:rFonts w:cs="Arial"/>
          <w:bCs/>
          <w:color w:val="1F497D"/>
          <w:sz w:val="22"/>
          <w:szCs w:val="22"/>
        </w:rPr>
        <w:t>Biennial Work Plans 2008-2009. November 2007 (27 pages). Prepared by the Office of Planning and Program</w:t>
      </w:r>
      <w:r w:rsidRPr="000A26F2">
        <w:rPr>
          <w:rFonts w:cs="Arial"/>
          <w:bCs/>
          <w:color w:val="000000"/>
          <w:sz w:val="22"/>
          <w:szCs w:val="22"/>
        </w:rPr>
        <w:t xml:space="preserve"> </w:t>
      </w:r>
      <w:r w:rsidRPr="000A26F2">
        <w:rPr>
          <w:rFonts w:cs="Arial"/>
          <w:bCs/>
          <w:color w:val="1F497D"/>
          <w:sz w:val="22"/>
          <w:szCs w:val="22"/>
        </w:rPr>
        <w:t>Budget (PB)</w:t>
      </w:r>
    </w:p>
    <w:p w:rsidR="009571FA" w:rsidRPr="00C5205F" w:rsidRDefault="009571FA" w:rsidP="001452C5">
      <w:pPr>
        <w:pStyle w:val="ListParagraph"/>
        <w:ind w:right="1080"/>
        <w:jc w:val="both"/>
        <w:rPr>
          <w:rFonts w:cs="Arial"/>
          <w:bCs/>
          <w:color w:val="000000"/>
          <w:sz w:val="10"/>
          <w:szCs w:val="22"/>
        </w:rPr>
      </w:pPr>
    </w:p>
    <w:p w:rsidR="009571FA" w:rsidRPr="000A26F2" w:rsidRDefault="009571FA" w:rsidP="00581596">
      <w:pPr>
        <w:pStyle w:val="ListParagraph"/>
        <w:numPr>
          <w:ilvl w:val="0"/>
          <w:numId w:val="11"/>
        </w:numPr>
        <w:ind w:right="1080"/>
        <w:jc w:val="both"/>
        <w:rPr>
          <w:rFonts w:cs="Arial"/>
          <w:bCs/>
          <w:color w:val="000000"/>
          <w:sz w:val="22"/>
          <w:szCs w:val="22"/>
        </w:rPr>
      </w:pPr>
      <w:r w:rsidRPr="000A26F2">
        <w:rPr>
          <w:rFonts w:cs="Arial"/>
          <w:bCs/>
          <w:color w:val="000000"/>
          <w:sz w:val="22"/>
          <w:szCs w:val="22"/>
        </w:rPr>
        <w:t>Instructions for Preparing Biennial Work Plans 2008-2009. Washington DC, PAHO, November 2007</w:t>
      </w:r>
    </w:p>
    <w:p w:rsidR="009571FA" w:rsidRPr="000A26F2" w:rsidRDefault="009571FA" w:rsidP="00581596">
      <w:pPr>
        <w:pStyle w:val="ListParagraph"/>
        <w:numPr>
          <w:ilvl w:val="0"/>
          <w:numId w:val="11"/>
        </w:numPr>
        <w:ind w:right="1080"/>
        <w:jc w:val="both"/>
        <w:rPr>
          <w:rFonts w:cs="Arial"/>
          <w:bCs/>
          <w:color w:val="000000"/>
          <w:sz w:val="22"/>
          <w:szCs w:val="22"/>
        </w:rPr>
      </w:pPr>
      <w:r w:rsidRPr="000A26F2">
        <w:rPr>
          <w:rFonts w:cs="Arial"/>
          <w:bCs/>
          <w:color w:val="000000"/>
          <w:sz w:val="22"/>
          <w:szCs w:val="22"/>
        </w:rPr>
        <w:t>I</w:t>
      </w:r>
      <w:r w:rsidRPr="000A26F2">
        <w:rPr>
          <w:sz w:val="22"/>
          <w:szCs w:val="22"/>
        </w:rPr>
        <w:t>nternal Peer Review Guidelines 08-09 Biennial Work Plans: HQ and Centers BWPs. Washington DC, PAHO, November 2007</w:t>
      </w:r>
    </w:p>
    <w:p w:rsidR="009571FA" w:rsidRPr="000A26F2" w:rsidRDefault="009571FA" w:rsidP="00581596">
      <w:pPr>
        <w:pStyle w:val="ListParagraph"/>
        <w:numPr>
          <w:ilvl w:val="0"/>
          <w:numId w:val="11"/>
        </w:numPr>
        <w:ind w:right="1080"/>
        <w:jc w:val="both"/>
        <w:rPr>
          <w:rFonts w:cs="Arial"/>
          <w:bCs/>
          <w:color w:val="000000"/>
          <w:sz w:val="22"/>
          <w:szCs w:val="22"/>
        </w:rPr>
      </w:pPr>
      <w:r w:rsidRPr="000A26F2">
        <w:rPr>
          <w:sz w:val="22"/>
          <w:szCs w:val="22"/>
        </w:rPr>
        <w:t>Internal Peer Review Guidelines 08-09 Biennial Work Plans: Country Office BWPs”.  Washington DC, PAHO, November 2007</w:t>
      </w:r>
    </w:p>
    <w:p w:rsidR="009571FA" w:rsidRPr="000A26F2" w:rsidRDefault="009571FA" w:rsidP="001452C5">
      <w:pPr>
        <w:pStyle w:val="ListParagraph"/>
        <w:ind w:left="360" w:right="1080"/>
        <w:jc w:val="both"/>
        <w:rPr>
          <w:sz w:val="22"/>
          <w:szCs w:val="22"/>
        </w:rPr>
      </w:pPr>
    </w:p>
    <w:p w:rsidR="009571FA" w:rsidRPr="000A26F2" w:rsidRDefault="009571FA" w:rsidP="00C5205F">
      <w:pPr>
        <w:pStyle w:val="ListParagraph"/>
        <w:ind w:left="0" w:right="1080"/>
        <w:jc w:val="both"/>
        <w:rPr>
          <w:rFonts w:cs="Arial"/>
          <w:bCs/>
          <w:sz w:val="22"/>
          <w:szCs w:val="22"/>
        </w:rPr>
      </w:pPr>
      <w:r w:rsidRPr="000A26F2">
        <w:rPr>
          <w:rFonts w:cs="Arial"/>
          <w:bCs/>
          <w:color w:val="000000"/>
          <w:sz w:val="22"/>
          <w:szCs w:val="22"/>
        </w:rPr>
        <w:t xml:space="preserve">As their names indicate, this set of documents distributed in November 2007, aimed to assist HQ and CO staff in the preparation and peer reviewing of the 2008-2009 Work Plan. </w:t>
      </w:r>
      <w:r w:rsidRPr="000A26F2">
        <w:rPr>
          <w:rFonts w:cs="Arial"/>
          <w:bCs/>
          <w:sz w:val="22"/>
          <w:szCs w:val="22"/>
        </w:rPr>
        <w:t xml:space="preserve">The analysis of this set of documents indicated the following: </w:t>
      </w:r>
    </w:p>
    <w:p w:rsidR="009571FA" w:rsidRPr="00C5205F" w:rsidRDefault="009571FA" w:rsidP="001452C5">
      <w:pPr>
        <w:pStyle w:val="Default"/>
        <w:rPr>
          <w:rFonts w:cs="Arial"/>
          <w:bCs/>
          <w:sz w:val="16"/>
          <w:szCs w:val="22"/>
        </w:rPr>
      </w:pPr>
    </w:p>
    <w:p w:rsidR="009571FA" w:rsidRPr="000A26F2" w:rsidRDefault="009571FA" w:rsidP="003439C6">
      <w:pPr>
        <w:pStyle w:val="Default"/>
        <w:rPr>
          <w:rFonts w:ascii="Arial" w:hAnsi="Arial" w:cs="Arial"/>
          <w:bCs/>
          <w:sz w:val="22"/>
          <w:szCs w:val="22"/>
        </w:rPr>
      </w:pPr>
      <w:r w:rsidRPr="003439C6">
        <w:rPr>
          <w:rFonts w:ascii="Arial" w:hAnsi="Arial" w:cs="Arial"/>
          <w:b/>
          <w:bCs/>
          <w:sz w:val="22"/>
          <w:szCs w:val="22"/>
        </w:rPr>
        <w:t>a</w:t>
      </w:r>
      <w:r>
        <w:rPr>
          <w:rFonts w:ascii="Arial" w:hAnsi="Arial" w:cs="Arial"/>
          <w:b/>
          <w:bCs/>
          <w:sz w:val="22"/>
          <w:szCs w:val="22"/>
        </w:rPr>
        <w:t>.</w:t>
      </w:r>
      <w:r>
        <w:rPr>
          <w:rFonts w:ascii="Arial" w:hAnsi="Arial" w:cs="Arial"/>
          <w:bCs/>
          <w:sz w:val="22"/>
          <w:szCs w:val="22"/>
        </w:rPr>
        <w:t xml:space="preserve">   </w:t>
      </w:r>
      <w:r w:rsidRPr="000A26F2">
        <w:rPr>
          <w:rFonts w:ascii="Arial" w:hAnsi="Arial" w:cs="Arial"/>
          <w:bCs/>
          <w:sz w:val="22"/>
          <w:szCs w:val="22"/>
        </w:rPr>
        <w:t xml:space="preserve">The only explicit reference to </w:t>
      </w:r>
      <w:r w:rsidRPr="000A26F2">
        <w:rPr>
          <w:rFonts w:ascii="Arial" w:hAnsi="Arial" w:cs="Arial"/>
          <w:bCs/>
          <w:i/>
          <w:sz w:val="22"/>
          <w:szCs w:val="22"/>
        </w:rPr>
        <w:t xml:space="preserve">gender </w:t>
      </w:r>
      <w:r w:rsidRPr="000A26F2">
        <w:rPr>
          <w:rFonts w:ascii="Arial" w:hAnsi="Arial" w:cs="Arial"/>
          <w:bCs/>
          <w:sz w:val="22"/>
          <w:szCs w:val="22"/>
        </w:rPr>
        <w:t xml:space="preserve">in each of the three documents was a statement indicating that, </w:t>
      </w:r>
      <w:r w:rsidRPr="000A26F2">
        <w:rPr>
          <w:rFonts w:ascii="Arial" w:hAnsi="Arial" w:cs="Arial"/>
          <w:i/>
          <w:sz w:val="22"/>
          <w:szCs w:val="22"/>
        </w:rPr>
        <w:t xml:space="preserve"> “When an entity prepares its Biennial Work Plan, they should take into account the six cross-cutting technical cooperation topics: </w:t>
      </w:r>
      <w:r w:rsidRPr="000A26F2">
        <w:rPr>
          <w:rFonts w:ascii="Arial" w:hAnsi="Arial" w:cs="Arial"/>
          <w:b/>
          <w:bCs/>
          <w:i/>
          <w:sz w:val="22"/>
          <w:szCs w:val="22"/>
        </w:rPr>
        <w:t xml:space="preserve">1. </w:t>
      </w:r>
      <w:r w:rsidRPr="000A26F2">
        <w:rPr>
          <w:rFonts w:ascii="Arial" w:hAnsi="Arial" w:cs="Arial"/>
          <w:i/>
          <w:sz w:val="22"/>
          <w:szCs w:val="22"/>
        </w:rPr>
        <w:t xml:space="preserve">Health Promotion; 2. Primary Health Care; </w:t>
      </w:r>
      <w:r w:rsidRPr="000A26F2">
        <w:rPr>
          <w:rFonts w:ascii="Arial" w:hAnsi="Arial" w:cs="Arial"/>
          <w:b/>
          <w:bCs/>
          <w:i/>
          <w:sz w:val="22"/>
          <w:szCs w:val="22"/>
        </w:rPr>
        <w:t xml:space="preserve">3. </w:t>
      </w:r>
      <w:r w:rsidRPr="000A26F2">
        <w:rPr>
          <w:rFonts w:ascii="Arial" w:hAnsi="Arial" w:cs="Arial"/>
          <w:i/>
          <w:sz w:val="22"/>
          <w:szCs w:val="22"/>
        </w:rPr>
        <w:t xml:space="preserve">Human Rights; </w:t>
      </w:r>
      <w:r w:rsidRPr="000A26F2">
        <w:rPr>
          <w:rFonts w:ascii="Arial" w:hAnsi="Arial" w:cs="Arial"/>
          <w:b/>
          <w:bCs/>
          <w:i/>
          <w:sz w:val="22"/>
          <w:szCs w:val="22"/>
        </w:rPr>
        <w:t xml:space="preserve">4. </w:t>
      </w:r>
      <w:r w:rsidRPr="000A26F2">
        <w:rPr>
          <w:rFonts w:ascii="Arial" w:hAnsi="Arial" w:cs="Arial"/>
          <w:i/>
          <w:sz w:val="22"/>
          <w:szCs w:val="22"/>
        </w:rPr>
        <w:t xml:space="preserve">Social Protection; </w:t>
      </w:r>
      <w:r w:rsidRPr="000A26F2">
        <w:rPr>
          <w:rFonts w:ascii="Arial" w:hAnsi="Arial" w:cs="Arial"/>
          <w:b/>
          <w:bCs/>
          <w:i/>
          <w:sz w:val="22"/>
          <w:szCs w:val="22"/>
        </w:rPr>
        <w:t xml:space="preserve">5. </w:t>
      </w:r>
      <w:r w:rsidRPr="000A26F2">
        <w:rPr>
          <w:rFonts w:ascii="Arial" w:hAnsi="Arial" w:cs="Arial"/>
          <w:i/>
          <w:sz w:val="22"/>
          <w:szCs w:val="22"/>
        </w:rPr>
        <w:t>Gender Equity; 6</w:t>
      </w:r>
      <w:r w:rsidRPr="000A26F2">
        <w:rPr>
          <w:rFonts w:ascii="Arial" w:hAnsi="Arial" w:cs="Arial"/>
          <w:b/>
          <w:bCs/>
          <w:i/>
          <w:sz w:val="22"/>
          <w:szCs w:val="22"/>
        </w:rPr>
        <w:t xml:space="preserve">. </w:t>
      </w:r>
      <w:r w:rsidRPr="000A26F2">
        <w:rPr>
          <w:rFonts w:ascii="Arial" w:hAnsi="Arial" w:cs="Arial"/>
          <w:bCs/>
          <w:i/>
          <w:sz w:val="22"/>
          <w:szCs w:val="22"/>
        </w:rPr>
        <w:t>H</w:t>
      </w:r>
      <w:r w:rsidRPr="000A26F2">
        <w:rPr>
          <w:rFonts w:ascii="Arial" w:hAnsi="Arial" w:cs="Arial"/>
          <w:i/>
          <w:sz w:val="22"/>
          <w:szCs w:val="22"/>
        </w:rPr>
        <w:t>ealth of Indigenous Populations. The Assistant Director‘s Office is developing technical guides for implementing the cross-cutting topics within the BWPs….. “</w:t>
      </w:r>
    </w:p>
    <w:p w:rsidR="009571FA" w:rsidRPr="00C5205F" w:rsidRDefault="009571FA" w:rsidP="001452C5">
      <w:pPr>
        <w:rPr>
          <w:rFonts w:cs="Arial"/>
          <w:bCs/>
          <w:sz w:val="16"/>
          <w:szCs w:val="22"/>
        </w:rPr>
      </w:pPr>
    </w:p>
    <w:p w:rsidR="009571FA" w:rsidRDefault="009571FA" w:rsidP="001452C5">
      <w:pPr>
        <w:rPr>
          <w:rFonts w:cs="Arial"/>
          <w:bCs/>
          <w:sz w:val="22"/>
          <w:szCs w:val="22"/>
        </w:rPr>
      </w:pPr>
      <w:r w:rsidRPr="003439C6">
        <w:rPr>
          <w:rFonts w:cs="Arial"/>
          <w:b/>
          <w:bCs/>
          <w:sz w:val="22"/>
          <w:szCs w:val="22"/>
        </w:rPr>
        <w:t>b</w:t>
      </w:r>
      <w:r>
        <w:rPr>
          <w:rFonts w:cs="Arial"/>
          <w:b/>
          <w:bCs/>
          <w:sz w:val="22"/>
          <w:szCs w:val="22"/>
        </w:rPr>
        <w:t>.</w:t>
      </w:r>
      <w:r>
        <w:rPr>
          <w:rFonts w:cs="Arial"/>
          <w:bCs/>
          <w:sz w:val="22"/>
          <w:szCs w:val="22"/>
        </w:rPr>
        <w:t xml:space="preserve">   </w:t>
      </w:r>
      <w:r w:rsidRPr="000A26F2">
        <w:rPr>
          <w:rFonts w:cs="Arial"/>
          <w:bCs/>
          <w:sz w:val="22"/>
          <w:szCs w:val="22"/>
        </w:rPr>
        <w:t xml:space="preserve">There was not any other explicit or implicit reference to gender in these guidelines. In other words, they did not promote--or mention-- any of the other themes pertaining  the analysis criteria, i.e., consultations with gender advocates, use of sex- disaggregated data, practice of gender analysis, or consideration of actions to address gender. </w:t>
      </w:r>
    </w:p>
    <w:p w:rsidR="006A164E" w:rsidRPr="000A26F2" w:rsidRDefault="006A164E" w:rsidP="001452C5">
      <w:pPr>
        <w:rPr>
          <w:rFonts w:cs="Arial"/>
          <w:bCs/>
          <w:sz w:val="22"/>
          <w:szCs w:val="22"/>
        </w:rPr>
      </w:pPr>
    </w:p>
    <w:p w:rsidR="009571FA" w:rsidRDefault="009571FA" w:rsidP="00C5205F">
      <w:pPr>
        <w:rPr>
          <w:rFonts w:cs="Arial"/>
          <w:bCs/>
          <w:sz w:val="22"/>
          <w:szCs w:val="22"/>
        </w:rPr>
      </w:pPr>
      <w:r w:rsidRPr="003439C6">
        <w:rPr>
          <w:rFonts w:cs="Arial"/>
          <w:b/>
          <w:bCs/>
          <w:sz w:val="22"/>
          <w:szCs w:val="22"/>
        </w:rPr>
        <w:t>c</w:t>
      </w:r>
      <w:r>
        <w:rPr>
          <w:rFonts w:cs="Arial"/>
          <w:b/>
          <w:bCs/>
          <w:sz w:val="22"/>
          <w:szCs w:val="22"/>
        </w:rPr>
        <w:t>.</w:t>
      </w:r>
      <w:r>
        <w:rPr>
          <w:rFonts w:cs="Arial"/>
          <w:bCs/>
          <w:sz w:val="22"/>
          <w:szCs w:val="22"/>
        </w:rPr>
        <w:t xml:space="preserve">  </w:t>
      </w:r>
      <w:r w:rsidRPr="000A26F2">
        <w:rPr>
          <w:rFonts w:cs="Arial"/>
          <w:bCs/>
          <w:sz w:val="22"/>
          <w:szCs w:val="22"/>
        </w:rPr>
        <w:t>Three additional issues merit acknowledgment in this context:</w:t>
      </w:r>
      <w:r w:rsidR="00C5205F">
        <w:rPr>
          <w:rFonts w:cs="Arial"/>
          <w:bCs/>
          <w:sz w:val="22"/>
          <w:szCs w:val="22"/>
        </w:rPr>
        <w:t xml:space="preserve"> </w:t>
      </w:r>
      <w:r w:rsidR="00C5205F" w:rsidRPr="00C5205F">
        <w:rPr>
          <w:rFonts w:cs="Arial"/>
          <w:bCs/>
          <w:i/>
          <w:sz w:val="22"/>
          <w:szCs w:val="22"/>
        </w:rPr>
        <w:t>First,</w:t>
      </w:r>
      <w:r w:rsidR="00C5205F">
        <w:rPr>
          <w:rFonts w:cs="Arial"/>
          <w:bCs/>
          <w:sz w:val="22"/>
          <w:szCs w:val="22"/>
        </w:rPr>
        <w:t xml:space="preserve"> a</w:t>
      </w:r>
      <w:r w:rsidRPr="000A26F2">
        <w:rPr>
          <w:rFonts w:cs="Arial"/>
          <w:bCs/>
          <w:sz w:val="22"/>
          <w:szCs w:val="22"/>
        </w:rPr>
        <w:t xml:space="preserve"> previous version of the guidelines for preparing the work plan</w:t>
      </w:r>
      <w:r>
        <w:rPr>
          <w:rFonts w:cs="Arial"/>
          <w:bCs/>
          <w:sz w:val="22"/>
          <w:szCs w:val="22"/>
        </w:rPr>
        <w:t>,</w:t>
      </w:r>
      <w:r w:rsidRPr="000A26F2">
        <w:rPr>
          <w:rFonts w:cs="Arial"/>
          <w:bCs/>
          <w:sz w:val="22"/>
          <w:szCs w:val="22"/>
        </w:rPr>
        <w:t xml:space="preserve"> distributed in October</w:t>
      </w:r>
      <w:r>
        <w:rPr>
          <w:rFonts w:cs="Arial"/>
          <w:bCs/>
          <w:sz w:val="22"/>
          <w:szCs w:val="22"/>
        </w:rPr>
        <w:t>,</w:t>
      </w:r>
      <w:r w:rsidRPr="000A26F2">
        <w:rPr>
          <w:rFonts w:cs="Arial"/>
          <w:bCs/>
          <w:sz w:val="22"/>
          <w:szCs w:val="22"/>
        </w:rPr>
        <w:t xml:space="preserve"> did not include the instruction about considering the cross-cutting technical cooperation issues, and both versions were still posted</w:t>
      </w:r>
      <w:r>
        <w:rPr>
          <w:rFonts w:cs="Arial"/>
          <w:bCs/>
          <w:sz w:val="22"/>
          <w:szCs w:val="22"/>
        </w:rPr>
        <w:t>.</w:t>
      </w:r>
      <w:r w:rsidR="00C5205F">
        <w:rPr>
          <w:rFonts w:cs="Arial"/>
          <w:bCs/>
          <w:sz w:val="22"/>
          <w:szCs w:val="22"/>
        </w:rPr>
        <w:t xml:space="preserve"> </w:t>
      </w:r>
      <w:r w:rsidR="00C5205F" w:rsidRPr="00C5205F">
        <w:rPr>
          <w:rFonts w:cs="Arial"/>
          <w:bCs/>
          <w:i/>
          <w:sz w:val="22"/>
          <w:szCs w:val="22"/>
        </w:rPr>
        <w:t>Second,</w:t>
      </w:r>
      <w:r w:rsidR="00C5205F">
        <w:rPr>
          <w:rFonts w:cs="Arial"/>
          <w:bCs/>
          <w:sz w:val="22"/>
          <w:szCs w:val="22"/>
        </w:rPr>
        <w:t xml:space="preserve"> t</w:t>
      </w:r>
      <w:r w:rsidRPr="003439C6">
        <w:rPr>
          <w:rFonts w:cs="Arial"/>
          <w:bCs/>
          <w:sz w:val="22"/>
          <w:szCs w:val="22"/>
        </w:rPr>
        <w:t>he peer review guidelines explicitly declared that</w:t>
      </w:r>
      <w:r w:rsidRPr="000A26F2">
        <w:rPr>
          <w:rFonts w:cs="Arial"/>
          <w:b/>
          <w:bCs/>
          <w:sz w:val="22"/>
          <w:szCs w:val="22"/>
        </w:rPr>
        <w:t xml:space="preserve"> the six cross-cutting issues did not apply to administrative entities</w:t>
      </w:r>
      <w:r>
        <w:rPr>
          <w:rFonts w:cs="Arial"/>
          <w:b/>
          <w:bCs/>
          <w:sz w:val="22"/>
          <w:szCs w:val="22"/>
        </w:rPr>
        <w:t>.</w:t>
      </w:r>
      <w:r w:rsidR="00C5205F">
        <w:rPr>
          <w:rFonts w:cs="Arial"/>
          <w:b/>
          <w:bCs/>
          <w:sz w:val="22"/>
          <w:szCs w:val="22"/>
        </w:rPr>
        <w:t xml:space="preserve"> </w:t>
      </w:r>
      <w:r w:rsidR="006A164E" w:rsidRPr="006A164E">
        <w:rPr>
          <w:rFonts w:cs="Arial"/>
          <w:bCs/>
          <w:sz w:val="22"/>
          <w:szCs w:val="22"/>
        </w:rPr>
        <w:t>And</w:t>
      </w:r>
      <w:r w:rsidR="006A164E">
        <w:rPr>
          <w:rFonts w:cs="Arial"/>
          <w:bCs/>
          <w:sz w:val="22"/>
          <w:szCs w:val="22"/>
        </w:rPr>
        <w:t>,</w:t>
      </w:r>
      <w:r w:rsidR="006A164E" w:rsidRPr="006A164E">
        <w:rPr>
          <w:rFonts w:cs="Arial"/>
          <w:bCs/>
          <w:sz w:val="22"/>
          <w:szCs w:val="22"/>
        </w:rPr>
        <w:t xml:space="preserve"> t</w:t>
      </w:r>
      <w:r w:rsidR="00C5205F" w:rsidRPr="006A164E">
        <w:rPr>
          <w:rFonts w:cs="Arial"/>
          <w:bCs/>
          <w:sz w:val="22"/>
          <w:szCs w:val="22"/>
        </w:rPr>
        <w:t>hird</w:t>
      </w:r>
      <w:r w:rsidR="00C5205F" w:rsidRPr="00C5205F">
        <w:rPr>
          <w:rFonts w:cs="Arial"/>
          <w:bCs/>
          <w:sz w:val="22"/>
          <w:szCs w:val="22"/>
        </w:rPr>
        <w:t>,</w:t>
      </w:r>
      <w:r w:rsidR="00C5205F">
        <w:rPr>
          <w:rFonts w:cs="Arial"/>
          <w:b/>
          <w:bCs/>
          <w:sz w:val="22"/>
          <w:szCs w:val="22"/>
        </w:rPr>
        <w:t xml:space="preserve"> </w:t>
      </w:r>
      <w:r w:rsidR="00C5205F">
        <w:rPr>
          <w:rFonts w:cs="Arial"/>
          <w:bCs/>
          <w:sz w:val="22"/>
          <w:szCs w:val="22"/>
        </w:rPr>
        <w:t>t</w:t>
      </w:r>
      <w:r w:rsidRPr="000A26F2">
        <w:rPr>
          <w:rFonts w:cs="Arial"/>
          <w:bCs/>
          <w:sz w:val="22"/>
          <w:szCs w:val="22"/>
        </w:rPr>
        <w:t>he technical guides from the AD Office to integrate the c</w:t>
      </w:r>
      <w:r>
        <w:rPr>
          <w:rFonts w:cs="Arial"/>
          <w:bCs/>
          <w:sz w:val="22"/>
          <w:szCs w:val="22"/>
        </w:rPr>
        <w:t>ross-cutting themes ha</w:t>
      </w:r>
      <w:r w:rsidR="006A164E">
        <w:rPr>
          <w:rFonts w:cs="Arial"/>
          <w:bCs/>
          <w:sz w:val="22"/>
          <w:szCs w:val="22"/>
        </w:rPr>
        <w:t>d</w:t>
      </w:r>
      <w:r>
        <w:rPr>
          <w:rFonts w:cs="Arial"/>
          <w:bCs/>
          <w:sz w:val="22"/>
          <w:szCs w:val="22"/>
        </w:rPr>
        <w:t xml:space="preserve"> not </w:t>
      </w:r>
      <w:r w:rsidRPr="000A26F2">
        <w:rPr>
          <w:rFonts w:cs="Arial"/>
          <w:bCs/>
          <w:sz w:val="22"/>
          <w:szCs w:val="22"/>
        </w:rPr>
        <w:t xml:space="preserve">been issued.   </w:t>
      </w:r>
    </w:p>
    <w:p w:rsidR="009571FA" w:rsidRPr="004426EF" w:rsidRDefault="009571FA" w:rsidP="004426EF">
      <w:pPr>
        <w:ind w:left="1260"/>
        <w:rPr>
          <w:rFonts w:cs="Arial"/>
          <w:bCs/>
          <w:sz w:val="14"/>
          <w:szCs w:val="22"/>
        </w:rPr>
      </w:pPr>
    </w:p>
    <w:p w:rsidR="0091174C" w:rsidRDefault="0091174C">
      <w:pPr>
        <w:rPr>
          <w:rFonts w:cs="Arial"/>
          <w:bCs/>
          <w:sz w:val="22"/>
          <w:szCs w:val="22"/>
        </w:rPr>
      </w:pPr>
      <w:r>
        <w:rPr>
          <w:rFonts w:cs="Arial"/>
          <w:bCs/>
          <w:sz w:val="22"/>
          <w:szCs w:val="22"/>
        </w:rPr>
        <w:br w:type="page"/>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0A0"/>
      </w:tblPr>
      <w:tblGrid>
        <w:gridCol w:w="9090"/>
      </w:tblGrid>
      <w:tr w:rsidR="009571FA" w:rsidRPr="00855532" w:rsidTr="00BE0E51">
        <w:tc>
          <w:tcPr>
            <w:tcW w:w="9090" w:type="dxa"/>
            <w:shd w:val="clear" w:color="auto" w:fill="DBE5F1" w:themeFill="accent1" w:themeFillTint="33"/>
          </w:tcPr>
          <w:p w:rsidR="009571FA" w:rsidRDefault="00BE0E51" w:rsidP="004A00FF">
            <w:pPr>
              <w:pStyle w:val="Heading1"/>
              <w:jc w:val="center"/>
              <w:rPr>
                <w:rFonts w:ascii="Arial" w:hAnsi="Arial" w:cs="Arial"/>
              </w:rPr>
            </w:pPr>
            <w:r w:rsidRPr="00BE0E51">
              <w:rPr>
                <w:rFonts w:ascii="Arial" w:hAnsi="Arial" w:cs="Arial"/>
                <w:sz w:val="24"/>
              </w:rPr>
              <w:t>STRATEGIC DIRECTION 4: ESTABLISHING ACCOUNTABILITY</w:t>
            </w:r>
          </w:p>
          <w:p w:rsidR="009571FA" w:rsidRPr="004A00FF" w:rsidRDefault="009571FA" w:rsidP="002A2A6A">
            <w:pPr>
              <w:rPr>
                <w:sz w:val="2"/>
              </w:rPr>
            </w:pPr>
          </w:p>
        </w:tc>
      </w:tr>
    </w:tbl>
    <w:p w:rsidR="009571FA" w:rsidRDefault="009571FA" w:rsidP="00AB0DC6">
      <w:pPr>
        <w:ind w:left="4320" w:hanging="4320"/>
        <w:rPr>
          <w:rFonts w:cs="Arial"/>
          <w:b/>
          <w:bCs/>
        </w:rPr>
      </w:pPr>
    </w:p>
    <w:p w:rsidR="00446BC4" w:rsidRPr="00FA5DC6" w:rsidRDefault="00446BC4" w:rsidP="00003521">
      <w:pPr>
        <w:rPr>
          <w:rFonts w:cs="Arial"/>
          <w:sz w:val="12"/>
        </w:rPr>
      </w:pPr>
    </w:p>
    <w:p w:rsidR="009571FA" w:rsidRDefault="009571FA" w:rsidP="00003521">
      <w:pPr>
        <w:rPr>
          <w:rFonts w:cs="Arial"/>
          <w:b/>
          <w:bCs/>
          <w:sz w:val="22"/>
        </w:rPr>
      </w:pPr>
      <w:r w:rsidRPr="001D0054">
        <w:rPr>
          <w:rFonts w:cs="Arial"/>
          <w:sz w:val="22"/>
        </w:rPr>
        <w:t>As it is the Organization's policy to ensure that all research, policies, programmes, projects, and initiatives with WHO involvement, address gender issues</w:t>
      </w:r>
      <w:r>
        <w:rPr>
          <w:rFonts w:cs="Arial"/>
          <w:sz w:val="22"/>
        </w:rPr>
        <w:t xml:space="preserve">, </w:t>
      </w:r>
      <w:r w:rsidRPr="001D0054">
        <w:rPr>
          <w:rFonts w:cs="Arial"/>
          <w:sz w:val="22"/>
        </w:rPr>
        <w:t>it would b</w:t>
      </w:r>
      <w:r>
        <w:rPr>
          <w:rFonts w:cs="Arial"/>
          <w:sz w:val="22"/>
        </w:rPr>
        <w:t>e expected that such issues were incorporated in the senior managers’ speeches.</w:t>
      </w:r>
      <w:r w:rsidRPr="001D0054">
        <w:rPr>
          <w:rFonts w:cs="Arial"/>
          <w:sz w:val="22"/>
        </w:rPr>
        <w:t xml:space="preserve"> </w:t>
      </w:r>
      <w:r>
        <w:rPr>
          <w:rFonts w:cs="Arial"/>
          <w:sz w:val="22"/>
        </w:rPr>
        <w:t xml:space="preserve">In this context, the </w:t>
      </w:r>
      <w:r w:rsidRPr="001D0054">
        <w:rPr>
          <w:rFonts w:cs="Arial"/>
          <w:sz w:val="22"/>
        </w:rPr>
        <w:t>r</w:t>
      </w:r>
      <w:r w:rsidRPr="001D0054">
        <w:rPr>
          <w:rFonts w:cs="Arial"/>
          <w:bCs/>
          <w:sz w:val="22"/>
        </w:rPr>
        <w:t xml:space="preserve">eflection of gender equality </w:t>
      </w:r>
      <w:r>
        <w:rPr>
          <w:rFonts w:cs="Arial"/>
          <w:bCs/>
          <w:sz w:val="22"/>
        </w:rPr>
        <w:t xml:space="preserve">concerns </w:t>
      </w:r>
      <w:r w:rsidRPr="001D0054">
        <w:rPr>
          <w:rFonts w:cs="Arial"/>
          <w:bCs/>
          <w:sz w:val="22"/>
        </w:rPr>
        <w:t>in major speeches</w:t>
      </w:r>
      <w:r>
        <w:rPr>
          <w:rFonts w:cs="Arial"/>
          <w:bCs/>
          <w:sz w:val="22"/>
        </w:rPr>
        <w:t xml:space="preserve"> given </w:t>
      </w:r>
      <w:r w:rsidRPr="001D0054">
        <w:rPr>
          <w:rFonts w:cs="Arial"/>
          <w:bCs/>
          <w:sz w:val="22"/>
        </w:rPr>
        <w:t xml:space="preserve">by the PAHO Director </w:t>
      </w:r>
      <w:r>
        <w:rPr>
          <w:rFonts w:cs="Arial"/>
          <w:bCs/>
          <w:sz w:val="22"/>
        </w:rPr>
        <w:t xml:space="preserve">was selected as the sixth </w:t>
      </w:r>
      <w:r w:rsidRPr="001D0054">
        <w:rPr>
          <w:rFonts w:cs="Arial"/>
          <w:bCs/>
          <w:sz w:val="22"/>
        </w:rPr>
        <w:t xml:space="preserve">area of measurement. </w:t>
      </w:r>
      <w:r w:rsidRPr="001D0054">
        <w:rPr>
          <w:rFonts w:cs="Arial"/>
          <w:b/>
          <w:bCs/>
          <w:sz w:val="22"/>
        </w:rPr>
        <w:t xml:space="preserve"> </w:t>
      </w:r>
    </w:p>
    <w:p w:rsidR="009D7C54" w:rsidRPr="009D7C54" w:rsidRDefault="009D7C54" w:rsidP="009D7C54">
      <w:pPr>
        <w:ind w:left="900"/>
        <w:rPr>
          <w:rFonts w:cs="Arial"/>
          <w:b/>
          <w:bCs/>
        </w:rPr>
      </w:pPr>
    </w:p>
    <w:p w:rsidR="009D7C54" w:rsidRDefault="009D7C54" w:rsidP="009D7C54">
      <w:pPr>
        <w:rPr>
          <w:rFonts w:cs="Arial"/>
          <w:b/>
          <w:bCs/>
          <w:sz w:val="22"/>
        </w:rPr>
      </w:pPr>
      <w:r>
        <w:rPr>
          <w:rFonts w:cs="Arial"/>
          <w:b/>
          <w:bCs/>
          <w:sz w:val="22"/>
        </w:rPr>
        <w:t xml:space="preserve">1.  </w:t>
      </w:r>
      <w:r w:rsidRPr="006A3994">
        <w:rPr>
          <w:rFonts w:cs="Arial"/>
          <w:b/>
          <w:bCs/>
          <w:sz w:val="22"/>
        </w:rPr>
        <w:t xml:space="preserve">Summary </w:t>
      </w:r>
      <w:r>
        <w:rPr>
          <w:rFonts w:cs="Arial"/>
          <w:b/>
          <w:bCs/>
          <w:sz w:val="22"/>
        </w:rPr>
        <w:t xml:space="preserve">results for the selected </w:t>
      </w:r>
      <w:r w:rsidRPr="006A3994">
        <w:rPr>
          <w:rFonts w:cs="Arial"/>
          <w:b/>
          <w:bCs/>
          <w:sz w:val="22"/>
        </w:rPr>
        <w:t>indicators</w:t>
      </w:r>
    </w:p>
    <w:p w:rsidR="00CA04DF" w:rsidRPr="00CA04DF" w:rsidRDefault="00CA04DF" w:rsidP="00CA04DF">
      <w:pPr>
        <w:rPr>
          <w:rFonts w:cs="Arial"/>
          <w:bCs/>
          <w:sz w:val="12"/>
        </w:rPr>
      </w:pPr>
    </w:p>
    <w:p w:rsidR="00CA04DF" w:rsidRDefault="00442428" w:rsidP="00CA04DF">
      <w:pPr>
        <w:rPr>
          <w:rFonts w:cs="Arial"/>
          <w:bCs/>
          <w:sz w:val="22"/>
          <w:szCs w:val="22"/>
        </w:rPr>
      </w:pPr>
      <w:r w:rsidRPr="00442428">
        <w:rPr>
          <w:rFonts w:cs="Arial"/>
          <w:bCs/>
          <w:sz w:val="22"/>
        </w:rPr>
        <w:t>As already indicated</w:t>
      </w:r>
      <w:r w:rsidR="00CA04DF">
        <w:rPr>
          <w:rFonts w:cs="Arial"/>
          <w:bCs/>
          <w:sz w:val="22"/>
        </w:rPr>
        <w:t xml:space="preserve">, all </w:t>
      </w:r>
      <w:r w:rsidR="00CA04DF">
        <w:rPr>
          <w:rFonts w:cs="Arial"/>
          <w:color w:val="000000"/>
          <w:sz w:val="22"/>
          <w:szCs w:val="22"/>
        </w:rPr>
        <w:t>online-available</w:t>
      </w:r>
      <w:r w:rsidR="00CA04DF">
        <w:rPr>
          <w:rFonts w:cs="Arial"/>
          <w:bCs/>
          <w:sz w:val="22"/>
        </w:rPr>
        <w:t xml:space="preserve"> f</w:t>
      </w:r>
      <w:r w:rsidR="00CA04DF">
        <w:rPr>
          <w:rFonts w:cs="Arial"/>
          <w:sz w:val="22"/>
          <w:szCs w:val="22"/>
        </w:rPr>
        <w:t xml:space="preserve">our (4) </w:t>
      </w:r>
      <w:r w:rsidR="00CA04DF">
        <w:rPr>
          <w:rFonts w:cs="Arial"/>
          <w:color w:val="000000"/>
          <w:sz w:val="22"/>
          <w:szCs w:val="22"/>
        </w:rPr>
        <w:t xml:space="preserve">speeches and five (5) power-point presentations given in 2007 by the PAHO Director, Dr. Mirta Roses Periago, were included in the sample. </w:t>
      </w:r>
      <w:r w:rsidR="00CA04DF">
        <w:rPr>
          <w:rFonts w:cs="Arial"/>
          <w:bCs/>
          <w:sz w:val="22"/>
          <w:szCs w:val="22"/>
        </w:rPr>
        <w:t>The only criteria for exclusion referred to speeches made specifically on gender or women's issues, e.g. the speech on International Women's Day. The summary results for the selected indicators are in the following chart and the list of the sampled speeches/ presentations appears in Table 18.</w:t>
      </w:r>
    </w:p>
    <w:p w:rsidR="00442428" w:rsidRPr="00442428" w:rsidRDefault="00442428" w:rsidP="009D7C54">
      <w:pPr>
        <w:rPr>
          <w:rFonts w:cs="Arial"/>
          <w:bCs/>
          <w:sz w:val="22"/>
        </w:rPr>
      </w:pPr>
    </w:p>
    <w:tbl>
      <w:tblPr>
        <w:tblW w:w="7830" w:type="dxa"/>
        <w:tblInd w:w="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tblPr>
      <w:tblGrid>
        <w:gridCol w:w="6390"/>
        <w:gridCol w:w="1440"/>
      </w:tblGrid>
      <w:tr w:rsidR="003E5EFF" w:rsidTr="003E5EFF">
        <w:trPr>
          <w:trHeight w:val="557"/>
        </w:trPr>
        <w:tc>
          <w:tcPr>
            <w:tcW w:w="6390" w:type="dxa"/>
            <w:tcBorders>
              <w:bottom w:val="single" w:sz="4" w:space="0" w:color="auto"/>
              <w:right w:val="single" w:sz="4" w:space="0" w:color="auto"/>
            </w:tcBorders>
            <w:shd w:val="clear" w:color="auto" w:fill="C6D9F1"/>
          </w:tcPr>
          <w:p w:rsidR="003E5EFF" w:rsidRDefault="003E5EFF" w:rsidP="00F96587">
            <w:pPr>
              <w:rPr>
                <w:rFonts w:cs="Arial"/>
                <w:b/>
                <w:sz w:val="22"/>
              </w:rPr>
            </w:pPr>
            <w:r>
              <w:rPr>
                <w:rFonts w:cs="Arial"/>
                <w:b/>
                <w:sz w:val="22"/>
                <w:szCs w:val="22"/>
              </w:rPr>
              <w:t xml:space="preserve">                                            </w:t>
            </w:r>
          </w:p>
          <w:p w:rsidR="003E5EFF" w:rsidRDefault="009D7C54" w:rsidP="00F96587">
            <w:pPr>
              <w:rPr>
                <w:rFonts w:ascii="Times New Roman" w:hAnsi="Times New Roman"/>
                <w:i/>
                <w:sz w:val="24"/>
              </w:rPr>
            </w:pPr>
            <w:r>
              <w:rPr>
                <w:rFonts w:cs="Arial"/>
                <w:b/>
                <w:sz w:val="22"/>
                <w:szCs w:val="22"/>
              </w:rPr>
              <w:t xml:space="preserve">      </w:t>
            </w:r>
            <w:r w:rsidR="003E5EFF">
              <w:rPr>
                <w:rFonts w:cs="Arial"/>
                <w:b/>
                <w:sz w:val="22"/>
                <w:szCs w:val="22"/>
              </w:rPr>
              <w:t xml:space="preserve">Indicators </w:t>
            </w:r>
          </w:p>
        </w:tc>
        <w:tc>
          <w:tcPr>
            <w:tcW w:w="1440" w:type="dxa"/>
            <w:tcBorders>
              <w:left w:val="single" w:sz="4" w:space="0" w:color="auto"/>
              <w:bottom w:val="single" w:sz="4" w:space="0" w:color="auto"/>
            </w:tcBorders>
            <w:shd w:val="clear" w:color="auto" w:fill="C6D9F1"/>
          </w:tcPr>
          <w:p w:rsidR="003E5EFF" w:rsidRDefault="003E5EFF" w:rsidP="00F96587">
            <w:pPr>
              <w:rPr>
                <w:rFonts w:ascii="Times New Roman" w:hAnsi="Times New Roman"/>
                <w:i/>
                <w:sz w:val="24"/>
              </w:rPr>
            </w:pPr>
          </w:p>
          <w:p w:rsidR="003E5EFF" w:rsidRDefault="003E5EFF" w:rsidP="00F96587">
            <w:pPr>
              <w:rPr>
                <w:rFonts w:ascii="Times New Roman" w:hAnsi="Times New Roman"/>
                <w:b/>
                <w:i/>
                <w:sz w:val="24"/>
              </w:rPr>
            </w:pPr>
            <w:r>
              <w:t xml:space="preserve">    </w:t>
            </w:r>
            <w:r>
              <w:rPr>
                <w:b/>
              </w:rPr>
              <w:t>Values</w:t>
            </w:r>
          </w:p>
        </w:tc>
      </w:tr>
      <w:tr w:rsidR="003E5EFF" w:rsidTr="003E5EFF">
        <w:trPr>
          <w:trHeight w:val="1547"/>
        </w:trPr>
        <w:tc>
          <w:tcPr>
            <w:tcW w:w="6390" w:type="dxa"/>
            <w:tcBorders>
              <w:top w:val="single" w:sz="4" w:space="0" w:color="auto"/>
              <w:right w:val="single" w:sz="4" w:space="0" w:color="auto"/>
            </w:tcBorders>
            <w:shd w:val="clear" w:color="auto" w:fill="F2F2F2"/>
          </w:tcPr>
          <w:p w:rsidR="003E5EFF" w:rsidRPr="002A2A6A" w:rsidRDefault="003E5EFF" w:rsidP="00F96587">
            <w:pPr>
              <w:rPr>
                <w:rFonts w:cs="Arial"/>
                <w:i/>
              </w:rPr>
            </w:pPr>
          </w:p>
          <w:p w:rsidR="003E5EFF" w:rsidRPr="002A2A6A" w:rsidRDefault="003E5EFF" w:rsidP="00581596">
            <w:pPr>
              <w:numPr>
                <w:ilvl w:val="0"/>
                <w:numId w:val="13"/>
              </w:numPr>
              <w:ind w:left="360"/>
              <w:rPr>
                <w:rFonts w:cs="Arial"/>
                <w:bCs/>
              </w:rPr>
            </w:pPr>
            <w:r w:rsidRPr="002A2A6A">
              <w:rPr>
                <w:rFonts w:cs="Arial"/>
                <w:bCs/>
                <w:szCs w:val="22"/>
              </w:rPr>
              <w:t>Number of 2007 major sampled speeches by the PAHO Director in which at least one gender-related reference was made</w:t>
            </w:r>
          </w:p>
          <w:p w:rsidR="003E5EFF" w:rsidRPr="002A2A6A" w:rsidRDefault="003E5EFF" w:rsidP="00F96587">
            <w:pPr>
              <w:ind w:left="360"/>
              <w:rPr>
                <w:rFonts w:cs="Arial"/>
                <w:bCs/>
              </w:rPr>
            </w:pPr>
          </w:p>
          <w:p w:rsidR="003E5EFF" w:rsidRPr="009D7C54" w:rsidRDefault="003E5EFF" w:rsidP="00581596">
            <w:pPr>
              <w:numPr>
                <w:ilvl w:val="0"/>
                <w:numId w:val="13"/>
              </w:numPr>
              <w:ind w:left="360"/>
              <w:rPr>
                <w:rFonts w:cs="Arial"/>
                <w:bCs/>
                <w:szCs w:val="20"/>
              </w:rPr>
            </w:pPr>
            <w:r w:rsidRPr="009D7C54">
              <w:rPr>
                <w:rFonts w:cs="Arial"/>
                <w:bCs/>
                <w:szCs w:val="20"/>
              </w:rPr>
              <w:t>Number of times gender was referred to in the speeches</w:t>
            </w:r>
            <w:r w:rsidR="009D7C54" w:rsidRPr="009D7C54">
              <w:rPr>
                <w:rFonts w:cs="Arial"/>
                <w:bCs/>
                <w:szCs w:val="20"/>
              </w:rPr>
              <w:t xml:space="preserve"> (to assess the strength/depth of reference to gender in each speech)</w:t>
            </w:r>
          </w:p>
          <w:p w:rsidR="003E5EFF" w:rsidRPr="002A2A6A" w:rsidRDefault="003E5EFF" w:rsidP="00F96587">
            <w:pPr>
              <w:ind w:left="360"/>
              <w:rPr>
                <w:rFonts w:cs="Arial"/>
                <w:b/>
              </w:rPr>
            </w:pPr>
          </w:p>
        </w:tc>
        <w:tc>
          <w:tcPr>
            <w:tcW w:w="1440" w:type="dxa"/>
            <w:tcBorders>
              <w:top w:val="single" w:sz="4" w:space="0" w:color="auto"/>
              <w:left w:val="single" w:sz="4" w:space="0" w:color="auto"/>
            </w:tcBorders>
            <w:shd w:val="clear" w:color="auto" w:fill="F2F2F2"/>
          </w:tcPr>
          <w:p w:rsidR="003E5EFF" w:rsidRPr="002A2A6A" w:rsidRDefault="003E5EFF" w:rsidP="00F96587">
            <w:pPr>
              <w:rPr>
                <w:rFonts w:cs="Arial"/>
                <w:i/>
              </w:rPr>
            </w:pPr>
          </w:p>
          <w:p w:rsidR="003E5EFF" w:rsidRPr="002A2A6A" w:rsidRDefault="003E5EFF" w:rsidP="00F96587">
            <w:pPr>
              <w:rPr>
                <w:rFonts w:cs="Arial"/>
                <w:bCs/>
              </w:rPr>
            </w:pPr>
            <w:r w:rsidRPr="002A2A6A">
              <w:rPr>
                <w:rFonts w:cs="Arial"/>
                <w:b/>
                <w:bCs/>
                <w:szCs w:val="22"/>
              </w:rPr>
              <w:t xml:space="preserve">8 </w:t>
            </w:r>
            <w:r>
              <w:rPr>
                <w:rFonts w:cs="Arial"/>
                <w:b/>
                <w:bCs/>
                <w:szCs w:val="22"/>
              </w:rPr>
              <w:t xml:space="preserve"> </w:t>
            </w:r>
            <w:r w:rsidRPr="002A2A6A">
              <w:rPr>
                <w:rFonts w:cs="Arial"/>
                <w:bCs/>
                <w:szCs w:val="22"/>
              </w:rPr>
              <w:t>out of  9 speeches</w:t>
            </w:r>
          </w:p>
          <w:p w:rsidR="003E5EFF" w:rsidRPr="002A2A6A" w:rsidRDefault="003E5EFF" w:rsidP="00F96587">
            <w:pPr>
              <w:jc w:val="center"/>
              <w:rPr>
                <w:rFonts w:cs="Arial"/>
                <w:i/>
              </w:rPr>
            </w:pPr>
          </w:p>
          <w:p w:rsidR="003E5EFF" w:rsidRPr="002A2A6A" w:rsidRDefault="003E5EFF" w:rsidP="00F96587">
            <w:pPr>
              <w:rPr>
                <w:rFonts w:ascii="Times New Roman" w:hAnsi="Times New Roman"/>
                <w:i/>
              </w:rPr>
            </w:pPr>
            <w:r w:rsidRPr="002A2A6A">
              <w:rPr>
                <w:rFonts w:cs="Arial"/>
                <w:b/>
                <w:bCs/>
                <w:szCs w:val="22"/>
              </w:rPr>
              <w:t>39</w:t>
            </w:r>
            <w:r>
              <w:rPr>
                <w:rFonts w:cs="Arial"/>
                <w:b/>
                <w:bCs/>
                <w:szCs w:val="22"/>
              </w:rPr>
              <w:t xml:space="preserve"> </w:t>
            </w:r>
            <w:r w:rsidRPr="00E97222">
              <w:rPr>
                <w:rFonts w:cs="Arial"/>
                <w:bCs/>
                <w:szCs w:val="22"/>
              </w:rPr>
              <w:t>Refs.</w:t>
            </w:r>
            <w:r>
              <w:rPr>
                <w:rFonts w:cs="Arial"/>
                <w:b/>
                <w:bCs/>
                <w:szCs w:val="22"/>
              </w:rPr>
              <w:t xml:space="preserve"> </w:t>
            </w:r>
            <w:r w:rsidRPr="002A2A6A">
              <w:rPr>
                <w:rFonts w:cs="Arial"/>
                <w:bCs/>
                <w:szCs w:val="22"/>
              </w:rPr>
              <w:t>in 9 speeches</w:t>
            </w:r>
          </w:p>
        </w:tc>
      </w:tr>
    </w:tbl>
    <w:p w:rsidR="003E5EFF" w:rsidRDefault="003E5EFF" w:rsidP="003E5EFF">
      <w:pPr>
        <w:rPr>
          <w:i/>
          <w:sz w:val="24"/>
        </w:rPr>
      </w:pPr>
    </w:p>
    <w:p w:rsidR="009D7C54" w:rsidRPr="00E97222" w:rsidRDefault="009D7C54" w:rsidP="009D7C54">
      <w:pPr>
        <w:rPr>
          <w:lang w:val="en-US"/>
        </w:rPr>
      </w:pPr>
    </w:p>
    <w:p w:rsidR="009D7C54" w:rsidRPr="00E4642A" w:rsidRDefault="009D7C54" w:rsidP="009D7C54">
      <w:pPr>
        <w:pStyle w:val="Heading2"/>
        <w:keepNext w:val="0"/>
        <w:keepLines w:val="0"/>
        <w:spacing w:before="0"/>
        <w:rPr>
          <w:rFonts w:ascii="Arial" w:hAnsi="Arial" w:cs="Arial"/>
          <w:bCs w:val="0"/>
          <w:color w:val="000000"/>
          <w:sz w:val="24"/>
          <w:szCs w:val="22"/>
        </w:rPr>
      </w:pPr>
      <w:r>
        <w:rPr>
          <w:rFonts w:ascii="Arial" w:hAnsi="Arial" w:cs="Arial"/>
          <w:bCs w:val="0"/>
          <w:color w:val="000000"/>
          <w:sz w:val="24"/>
          <w:szCs w:val="22"/>
        </w:rPr>
        <w:t>2.  Gender integration characteristics</w:t>
      </w:r>
      <w:r w:rsidRPr="00E4642A">
        <w:rPr>
          <w:rFonts w:ascii="Arial" w:hAnsi="Arial" w:cs="Arial"/>
          <w:bCs w:val="0"/>
          <w:color w:val="000000"/>
          <w:sz w:val="24"/>
          <w:szCs w:val="22"/>
        </w:rPr>
        <w:t xml:space="preserve"> </w:t>
      </w:r>
    </w:p>
    <w:p w:rsidR="009D7C54" w:rsidRPr="00E4642A" w:rsidRDefault="009D7C54" w:rsidP="009D7C54">
      <w:pPr>
        <w:pStyle w:val="Heading2"/>
        <w:spacing w:before="0"/>
        <w:ind w:left="720"/>
        <w:rPr>
          <w:rFonts w:ascii="Arial" w:hAnsi="Arial" w:cs="Arial"/>
          <w:bCs w:val="0"/>
          <w:color w:val="000000"/>
          <w:sz w:val="22"/>
          <w:szCs w:val="22"/>
        </w:rPr>
      </w:pPr>
    </w:p>
    <w:p w:rsidR="009D7C54" w:rsidRPr="00E4642A" w:rsidRDefault="009D7C54" w:rsidP="009D7C54">
      <w:pPr>
        <w:pStyle w:val="Heading2"/>
        <w:spacing w:before="0"/>
        <w:rPr>
          <w:rFonts w:ascii="Arial" w:hAnsi="Arial" w:cs="Arial"/>
          <w:b w:val="0"/>
          <w:bCs w:val="0"/>
          <w:color w:val="000000"/>
          <w:sz w:val="22"/>
          <w:szCs w:val="22"/>
        </w:rPr>
      </w:pPr>
      <w:r w:rsidRPr="00E4642A">
        <w:rPr>
          <w:rFonts w:ascii="Arial" w:hAnsi="Arial" w:cs="Arial"/>
          <w:b w:val="0"/>
          <w:bCs w:val="0"/>
          <w:color w:val="000000"/>
          <w:sz w:val="22"/>
          <w:szCs w:val="22"/>
        </w:rPr>
        <w:t>The information in Table 1</w:t>
      </w:r>
      <w:r w:rsidR="006A164E">
        <w:rPr>
          <w:rFonts w:ascii="Arial" w:hAnsi="Arial" w:cs="Arial"/>
          <w:b w:val="0"/>
          <w:bCs w:val="0"/>
          <w:color w:val="000000"/>
          <w:sz w:val="22"/>
          <w:szCs w:val="22"/>
        </w:rPr>
        <w:t>8</w:t>
      </w:r>
      <w:r w:rsidRPr="00E4642A">
        <w:rPr>
          <w:rFonts w:ascii="Arial" w:hAnsi="Arial" w:cs="Arial"/>
          <w:b w:val="0"/>
          <w:bCs w:val="0"/>
          <w:color w:val="000000"/>
          <w:sz w:val="22"/>
          <w:szCs w:val="22"/>
        </w:rPr>
        <w:t xml:space="preserve"> highlights th</w:t>
      </w:r>
      <w:r>
        <w:rPr>
          <w:rFonts w:ascii="Arial" w:hAnsi="Arial" w:cs="Arial"/>
          <w:b w:val="0"/>
          <w:bCs w:val="0"/>
          <w:color w:val="000000"/>
          <w:sz w:val="22"/>
          <w:szCs w:val="22"/>
        </w:rPr>
        <w:t>e following</w:t>
      </w:r>
      <w:r w:rsidRPr="00E4642A">
        <w:rPr>
          <w:rFonts w:ascii="Arial" w:hAnsi="Arial" w:cs="Arial"/>
          <w:b w:val="0"/>
          <w:bCs w:val="0"/>
          <w:color w:val="000000"/>
          <w:sz w:val="22"/>
          <w:szCs w:val="22"/>
        </w:rPr>
        <w:t xml:space="preserve">:  </w:t>
      </w:r>
    </w:p>
    <w:p w:rsidR="009D7C54" w:rsidRPr="00E4642A" w:rsidRDefault="009D7C54" w:rsidP="009D7C54">
      <w:pPr>
        <w:pStyle w:val="Heading2"/>
        <w:spacing w:before="0"/>
        <w:rPr>
          <w:rFonts w:ascii="Arial" w:hAnsi="Arial" w:cs="Arial"/>
          <w:b w:val="0"/>
          <w:bCs w:val="0"/>
          <w:color w:val="000000"/>
          <w:sz w:val="6"/>
          <w:szCs w:val="22"/>
        </w:rPr>
      </w:pPr>
    </w:p>
    <w:p w:rsidR="009D7C54" w:rsidRPr="00847B3F" w:rsidRDefault="009D7C54" w:rsidP="009D7C54">
      <w:pPr>
        <w:rPr>
          <w:rFonts w:cs="Arial"/>
          <w:bCs/>
          <w:color w:val="000000"/>
          <w:sz w:val="10"/>
          <w:szCs w:val="22"/>
          <w:lang w:val="en-US"/>
        </w:rPr>
      </w:pPr>
    </w:p>
    <w:p w:rsidR="009D7C54" w:rsidRPr="00E4642A" w:rsidRDefault="009D7C54" w:rsidP="009D7C54">
      <w:pPr>
        <w:rPr>
          <w:rFonts w:cs="Arial"/>
          <w:color w:val="000000"/>
          <w:sz w:val="22"/>
          <w:szCs w:val="22"/>
        </w:rPr>
      </w:pPr>
      <w:r w:rsidRPr="002A2A6A">
        <w:rPr>
          <w:rFonts w:cs="Arial"/>
          <w:b/>
          <w:bCs/>
          <w:color w:val="000000"/>
          <w:sz w:val="22"/>
          <w:szCs w:val="22"/>
          <w:lang w:val="en-US"/>
        </w:rPr>
        <w:t>a.</w:t>
      </w:r>
      <w:r>
        <w:rPr>
          <w:rFonts w:cs="Arial"/>
          <w:bCs/>
          <w:color w:val="000000"/>
          <w:sz w:val="22"/>
          <w:szCs w:val="22"/>
          <w:lang w:val="en-US"/>
        </w:rPr>
        <w:t xml:space="preserve">   </w:t>
      </w:r>
      <w:r w:rsidRPr="00E4642A">
        <w:rPr>
          <w:rFonts w:cs="Arial"/>
          <w:color w:val="000000"/>
          <w:sz w:val="22"/>
          <w:szCs w:val="22"/>
        </w:rPr>
        <w:t xml:space="preserve">Gender references tended to appear most frequently in </w:t>
      </w:r>
      <w:r w:rsidRPr="00E4642A">
        <w:rPr>
          <w:rFonts w:cs="Arial"/>
          <w:b/>
          <w:color w:val="000000"/>
          <w:sz w:val="22"/>
          <w:szCs w:val="22"/>
        </w:rPr>
        <w:t>broad-scope</w:t>
      </w:r>
      <w:r w:rsidRPr="00E4642A">
        <w:rPr>
          <w:rFonts w:cs="Arial"/>
          <w:color w:val="000000"/>
          <w:sz w:val="22"/>
          <w:szCs w:val="22"/>
        </w:rPr>
        <w:t xml:space="preserve"> presentations of three types: </w:t>
      </w:r>
    </w:p>
    <w:p w:rsidR="009D7C54" w:rsidRPr="0086678C" w:rsidRDefault="009D7C54" w:rsidP="009D7C54">
      <w:pPr>
        <w:rPr>
          <w:rFonts w:cs="Arial"/>
          <w:color w:val="000000"/>
          <w:sz w:val="12"/>
          <w:szCs w:val="22"/>
        </w:rPr>
      </w:pPr>
    </w:p>
    <w:p w:rsidR="009D7C54" w:rsidRPr="00E4642A" w:rsidRDefault="009D7C54" w:rsidP="00581596">
      <w:pPr>
        <w:numPr>
          <w:ilvl w:val="0"/>
          <w:numId w:val="24"/>
        </w:numPr>
        <w:ind w:left="458"/>
        <w:contextualSpacing/>
        <w:rPr>
          <w:rStyle w:val="small"/>
          <w:bCs/>
          <w:color w:val="000000"/>
          <w:szCs w:val="20"/>
        </w:rPr>
      </w:pPr>
      <w:r w:rsidRPr="00E4642A">
        <w:rPr>
          <w:rFonts w:cs="Arial"/>
          <w:color w:val="000000"/>
          <w:sz w:val="22"/>
          <w:szCs w:val="22"/>
        </w:rPr>
        <w:t xml:space="preserve">Empirical progress report, like </w:t>
      </w:r>
      <w:r w:rsidRPr="00E4642A">
        <w:rPr>
          <w:rStyle w:val="small"/>
          <w:rFonts w:cs="Arial"/>
          <w:bCs/>
          <w:i/>
          <w:color w:val="000000"/>
          <w:sz w:val="22"/>
          <w:szCs w:val="22"/>
        </w:rPr>
        <w:t>“Improving Health in the Americas: How far we come and how far do we have to go?”</w:t>
      </w:r>
      <w:r w:rsidRPr="00E4642A">
        <w:rPr>
          <w:rStyle w:val="small"/>
          <w:rFonts w:cs="Arial"/>
          <w:i/>
          <w:color w:val="000000"/>
          <w:sz w:val="22"/>
          <w:szCs w:val="22"/>
        </w:rPr>
        <w:t xml:space="preserve"> </w:t>
      </w:r>
      <w:r w:rsidRPr="00E4642A">
        <w:rPr>
          <w:rStyle w:val="small"/>
          <w:rFonts w:cs="Arial"/>
          <w:color w:val="000000"/>
          <w:sz w:val="22"/>
          <w:szCs w:val="22"/>
        </w:rPr>
        <w:t xml:space="preserve"> (15 references in 33 slides), </w:t>
      </w:r>
    </w:p>
    <w:p w:rsidR="009D7C54" w:rsidRPr="0086678C" w:rsidRDefault="009D7C54" w:rsidP="009D7C54">
      <w:pPr>
        <w:ind w:left="-262"/>
        <w:contextualSpacing/>
        <w:rPr>
          <w:rStyle w:val="small"/>
          <w:rFonts w:cs="Arial"/>
          <w:color w:val="000000"/>
          <w:sz w:val="12"/>
          <w:szCs w:val="22"/>
        </w:rPr>
      </w:pPr>
    </w:p>
    <w:p w:rsidR="009D7C54" w:rsidRDefault="009D7C54" w:rsidP="00581596">
      <w:pPr>
        <w:numPr>
          <w:ilvl w:val="0"/>
          <w:numId w:val="24"/>
        </w:numPr>
        <w:ind w:left="458"/>
        <w:contextualSpacing/>
        <w:rPr>
          <w:rStyle w:val="small"/>
          <w:rFonts w:cs="Arial"/>
          <w:color w:val="000000"/>
          <w:sz w:val="22"/>
          <w:szCs w:val="22"/>
        </w:rPr>
      </w:pPr>
      <w:r w:rsidRPr="0086678C">
        <w:rPr>
          <w:rStyle w:val="small"/>
          <w:rFonts w:cs="Arial"/>
          <w:color w:val="000000"/>
          <w:sz w:val="22"/>
          <w:szCs w:val="22"/>
        </w:rPr>
        <w:t>Guiding principles and conceptual frameworks, such as “</w:t>
      </w:r>
      <w:r w:rsidRPr="0086678C">
        <w:rPr>
          <w:rStyle w:val="small"/>
          <w:rFonts w:cs="Arial"/>
          <w:bCs/>
          <w:i/>
          <w:color w:val="000000"/>
          <w:sz w:val="22"/>
          <w:szCs w:val="22"/>
        </w:rPr>
        <w:t>New Life for Primary Health Care: the Social Determinants of Health”.</w:t>
      </w:r>
      <w:r w:rsidRPr="0086678C">
        <w:rPr>
          <w:rStyle w:val="small"/>
          <w:rFonts w:cs="Arial"/>
          <w:bCs/>
          <w:i/>
          <w:color w:val="000000"/>
          <w:szCs w:val="20"/>
        </w:rPr>
        <w:t xml:space="preserve"> </w:t>
      </w:r>
      <w:r w:rsidRPr="0086678C">
        <w:rPr>
          <w:rStyle w:val="small"/>
          <w:rFonts w:cs="Arial"/>
          <w:color w:val="000000"/>
          <w:szCs w:val="20"/>
        </w:rPr>
        <w:t xml:space="preserve"> (</w:t>
      </w:r>
      <w:r w:rsidRPr="0086678C">
        <w:rPr>
          <w:rStyle w:val="small"/>
          <w:rFonts w:cs="Arial"/>
          <w:color w:val="000000"/>
          <w:sz w:val="22"/>
          <w:szCs w:val="22"/>
        </w:rPr>
        <w:t xml:space="preserve">6 references in 15 slides). Note that the speech was more on social determinants than on primary health care.     </w:t>
      </w:r>
    </w:p>
    <w:p w:rsidR="009D7C54" w:rsidRPr="0086678C" w:rsidRDefault="009D7C54" w:rsidP="009D7C54">
      <w:pPr>
        <w:pStyle w:val="ListParagraph"/>
        <w:rPr>
          <w:rStyle w:val="small"/>
          <w:rFonts w:cs="Arial"/>
          <w:color w:val="000000"/>
          <w:sz w:val="12"/>
          <w:szCs w:val="22"/>
        </w:rPr>
      </w:pPr>
    </w:p>
    <w:p w:rsidR="009D7C54" w:rsidRDefault="009D7C54" w:rsidP="00581596">
      <w:pPr>
        <w:numPr>
          <w:ilvl w:val="0"/>
          <w:numId w:val="24"/>
        </w:numPr>
        <w:ind w:left="458"/>
        <w:contextualSpacing/>
        <w:rPr>
          <w:rFonts w:cs="Arial"/>
          <w:color w:val="000000"/>
          <w:sz w:val="22"/>
          <w:szCs w:val="22"/>
        </w:rPr>
      </w:pPr>
      <w:r w:rsidRPr="0086678C">
        <w:rPr>
          <w:rStyle w:val="small"/>
          <w:rFonts w:cs="Arial"/>
          <w:color w:val="000000"/>
          <w:sz w:val="22"/>
          <w:szCs w:val="22"/>
        </w:rPr>
        <w:t xml:space="preserve">Strategic orientations, like her </w:t>
      </w:r>
      <w:r w:rsidRPr="0086678C">
        <w:rPr>
          <w:rFonts w:cs="Arial"/>
          <w:i/>
          <w:color w:val="000000"/>
          <w:sz w:val="22"/>
          <w:szCs w:val="22"/>
        </w:rPr>
        <w:t>Acceptance speech</w:t>
      </w:r>
      <w:r w:rsidRPr="0086678C">
        <w:rPr>
          <w:rFonts w:cs="Arial"/>
          <w:color w:val="000000"/>
          <w:sz w:val="22"/>
          <w:szCs w:val="22"/>
        </w:rPr>
        <w:t xml:space="preserve"> </w:t>
      </w:r>
      <w:r w:rsidRPr="0086678C">
        <w:rPr>
          <w:rFonts w:cs="Arial"/>
          <w:i/>
          <w:color w:val="000000"/>
          <w:sz w:val="22"/>
          <w:szCs w:val="22"/>
        </w:rPr>
        <w:t xml:space="preserve">as re-elected Director of the Pan American Health Organization </w:t>
      </w:r>
      <w:r w:rsidRPr="0086678C">
        <w:rPr>
          <w:rFonts w:cs="Arial"/>
          <w:color w:val="000000"/>
          <w:sz w:val="22"/>
          <w:szCs w:val="22"/>
        </w:rPr>
        <w:t>(5 references within 1668 words).</w:t>
      </w:r>
    </w:p>
    <w:p w:rsidR="009D7C54" w:rsidRDefault="009D7C54" w:rsidP="009D7C54">
      <w:pPr>
        <w:pStyle w:val="ListParagraph"/>
        <w:rPr>
          <w:rFonts w:cs="Arial"/>
          <w:color w:val="000000"/>
          <w:sz w:val="22"/>
          <w:szCs w:val="22"/>
        </w:rPr>
      </w:pPr>
    </w:p>
    <w:p w:rsidR="009D7C54" w:rsidRPr="00730C34" w:rsidRDefault="009D7C54" w:rsidP="009D7C54">
      <w:pPr>
        <w:pStyle w:val="Heading2"/>
        <w:keepNext w:val="0"/>
        <w:keepLines w:val="0"/>
        <w:spacing w:before="0"/>
        <w:rPr>
          <w:rFonts w:ascii="Arial" w:hAnsi="Arial" w:cs="Arial"/>
          <w:b w:val="0"/>
          <w:color w:val="000000"/>
          <w:sz w:val="22"/>
          <w:szCs w:val="22"/>
        </w:rPr>
      </w:pPr>
      <w:r w:rsidRPr="002A2A6A">
        <w:rPr>
          <w:rFonts w:ascii="Arial" w:hAnsi="Arial" w:cs="Arial"/>
          <w:color w:val="000000"/>
          <w:sz w:val="22"/>
          <w:szCs w:val="22"/>
          <w:lang w:val="en-CA"/>
        </w:rPr>
        <w:t>b.</w:t>
      </w:r>
      <w:r>
        <w:rPr>
          <w:rFonts w:ascii="Arial" w:hAnsi="Arial" w:cs="Arial"/>
          <w:b w:val="0"/>
          <w:color w:val="000000"/>
          <w:sz w:val="22"/>
          <w:szCs w:val="22"/>
          <w:lang w:val="en-CA"/>
        </w:rPr>
        <w:t xml:space="preserve">  </w:t>
      </w:r>
      <w:r w:rsidRPr="00E4642A">
        <w:rPr>
          <w:rFonts w:ascii="Arial" w:hAnsi="Arial" w:cs="Arial"/>
          <w:b w:val="0"/>
          <w:color w:val="000000"/>
          <w:sz w:val="22"/>
          <w:szCs w:val="22"/>
        </w:rPr>
        <w:t xml:space="preserve">The frequency of gender-related references tended to be </w:t>
      </w:r>
      <w:r w:rsidR="006A164E">
        <w:rPr>
          <w:rFonts w:ascii="Arial" w:hAnsi="Arial" w:cs="Arial"/>
          <w:b w:val="0"/>
          <w:color w:val="000000"/>
          <w:sz w:val="22"/>
          <w:szCs w:val="22"/>
        </w:rPr>
        <w:t>lower</w:t>
      </w:r>
      <w:r w:rsidRPr="00E4642A">
        <w:rPr>
          <w:rFonts w:ascii="Arial" w:hAnsi="Arial" w:cs="Arial"/>
          <w:b w:val="0"/>
          <w:color w:val="000000"/>
          <w:sz w:val="22"/>
          <w:szCs w:val="22"/>
        </w:rPr>
        <w:t xml:space="preserve"> in specific-issue focused presentations such as Sustainable Democracy, </w:t>
      </w:r>
      <w:r w:rsidR="00876DD5">
        <w:rPr>
          <w:rFonts w:ascii="Arial" w:hAnsi="Arial" w:cs="Arial"/>
          <w:b w:val="0"/>
          <w:color w:val="000000"/>
          <w:sz w:val="22"/>
          <w:szCs w:val="22"/>
        </w:rPr>
        <w:t xml:space="preserve">and </w:t>
      </w:r>
      <w:r w:rsidRPr="00E4642A">
        <w:rPr>
          <w:rFonts w:ascii="Arial" w:hAnsi="Arial" w:cs="Arial"/>
          <w:b w:val="0"/>
          <w:color w:val="000000"/>
          <w:sz w:val="22"/>
          <w:szCs w:val="22"/>
        </w:rPr>
        <w:t>Primary Health Care</w:t>
      </w:r>
      <w:r w:rsidR="00876DD5">
        <w:rPr>
          <w:rFonts w:ascii="Arial" w:hAnsi="Arial" w:cs="Arial"/>
          <w:b w:val="0"/>
          <w:color w:val="000000"/>
          <w:sz w:val="22"/>
          <w:szCs w:val="22"/>
        </w:rPr>
        <w:t xml:space="preserve">. </w:t>
      </w:r>
      <w:r w:rsidR="00D063A3">
        <w:rPr>
          <w:rFonts w:ascii="Arial" w:hAnsi="Arial" w:cs="Arial"/>
          <w:b w:val="0"/>
          <w:color w:val="000000"/>
          <w:sz w:val="22"/>
          <w:szCs w:val="22"/>
        </w:rPr>
        <w:t xml:space="preserve">Some </w:t>
      </w:r>
      <w:r w:rsidR="00876DD5">
        <w:rPr>
          <w:rFonts w:ascii="Arial" w:hAnsi="Arial" w:cs="Arial"/>
          <w:b w:val="0"/>
          <w:color w:val="000000"/>
          <w:sz w:val="22"/>
          <w:szCs w:val="22"/>
        </w:rPr>
        <w:t>clarifications</w:t>
      </w:r>
      <w:r w:rsidR="00D063A3">
        <w:rPr>
          <w:rFonts w:ascii="Arial" w:hAnsi="Arial" w:cs="Arial"/>
          <w:b w:val="0"/>
          <w:color w:val="000000"/>
          <w:sz w:val="22"/>
          <w:szCs w:val="22"/>
        </w:rPr>
        <w:t xml:space="preserve"> are warranted </w:t>
      </w:r>
      <w:r w:rsidR="00876DD5">
        <w:rPr>
          <w:rFonts w:ascii="Arial" w:hAnsi="Arial" w:cs="Arial"/>
          <w:b w:val="0"/>
          <w:color w:val="000000"/>
          <w:sz w:val="22"/>
          <w:szCs w:val="22"/>
        </w:rPr>
        <w:t>in this respect: first, t</w:t>
      </w:r>
      <w:r w:rsidR="00D063A3">
        <w:rPr>
          <w:rFonts w:ascii="Arial" w:hAnsi="Arial" w:cs="Arial"/>
          <w:b w:val="0"/>
          <w:color w:val="000000"/>
          <w:sz w:val="22"/>
          <w:szCs w:val="22"/>
        </w:rPr>
        <w:t>he theme of primary health care ha</w:t>
      </w:r>
      <w:r w:rsidR="00876DD5">
        <w:rPr>
          <w:rFonts w:ascii="Arial" w:hAnsi="Arial" w:cs="Arial"/>
          <w:b w:val="0"/>
          <w:color w:val="000000"/>
          <w:sz w:val="22"/>
          <w:szCs w:val="22"/>
        </w:rPr>
        <w:t>d</w:t>
      </w:r>
      <w:r w:rsidR="00D063A3">
        <w:rPr>
          <w:rFonts w:ascii="Arial" w:hAnsi="Arial" w:cs="Arial"/>
          <w:b w:val="0"/>
          <w:color w:val="000000"/>
          <w:sz w:val="22"/>
          <w:szCs w:val="22"/>
        </w:rPr>
        <w:t xml:space="preserve"> numerous gender-</w:t>
      </w:r>
      <w:r w:rsidR="006F643D">
        <w:rPr>
          <w:rFonts w:ascii="Arial" w:hAnsi="Arial" w:cs="Arial"/>
          <w:b w:val="0"/>
          <w:color w:val="000000"/>
          <w:sz w:val="22"/>
          <w:szCs w:val="22"/>
        </w:rPr>
        <w:t>related references</w:t>
      </w:r>
      <w:r w:rsidR="00D063A3">
        <w:rPr>
          <w:rFonts w:ascii="Arial" w:hAnsi="Arial" w:cs="Arial"/>
          <w:b w:val="0"/>
          <w:color w:val="000000"/>
          <w:sz w:val="22"/>
          <w:szCs w:val="22"/>
        </w:rPr>
        <w:t xml:space="preserve"> when the main focus was </w:t>
      </w:r>
      <w:r w:rsidR="006A164E">
        <w:rPr>
          <w:rFonts w:ascii="Arial" w:hAnsi="Arial" w:cs="Arial"/>
          <w:b w:val="0"/>
          <w:color w:val="000000"/>
          <w:sz w:val="22"/>
          <w:szCs w:val="22"/>
        </w:rPr>
        <w:t xml:space="preserve">not care, but </w:t>
      </w:r>
      <w:r w:rsidR="00D063A3" w:rsidRPr="00D063A3">
        <w:rPr>
          <w:rFonts w:ascii="Arial" w:hAnsi="Arial" w:cs="Arial"/>
          <w:color w:val="000000"/>
          <w:sz w:val="22"/>
          <w:szCs w:val="22"/>
        </w:rPr>
        <w:t>health determinants</w:t>
      </w:r>
      <w:r w:rsidR="006A164E">
        <w:rPr>
          <w:rFonts w:ascii="Arial" w:hAnsi="Arial" w:cs="Arial"/>
          <w:color w:val="000000"/>
          <w:sz w:val="22"/>
          <w:szCs w:val="22"/>
        </w:rPr>
        <w:t>.</w:t>
      </w:r>
      <w:r w:rsidR="00D063A3">
        <w:rPr>
          <w:rFonts w:ascii="Arial" w:hAnsi="Arial" w:cs="Arial"/>
          <w:b w:val="0"/>
          <w:color w:val="000000"/>
          <w:sz w:val="22"/>
          <w:szCs w:val="22"/>
        </w:rPr>
        <w:t xml:space="preserve"> </w:t>
      </w:r>
      <w:r w:rsidR="00876DD5">
        <w:rPr>
          <w:rFonts w:ascii="Arial" w:hAnsi="Arial" w:cs="Arial"/>
          <w:b w:val="0"/>
          <w:color w:val="000000"/>
          <w:sz w:val="22"/>
          <w:szCs w:val="22"/>
        </w:rPr>
        <w:t>Second, i</w:t>
      </w:r>
      <w:r w:rsidR="00D063A3">
        <w:rPr>
          <w:rFonts w:ascii="Arial" w:hAnsi="Arial" w:cs="Arial"/>
          <w:b w:val="0"/>
          <w:color w:val="000000"/>
          <w:sz w:val="22"/>
          <w:szCs w:val="22"/>
        </w:rPr>
        <w:t xml:space="preserve">n qualitative terms, </w:t>
      </w:r>
      <w:r w:rsidRPr="00E4642A">
        <w:rPr>
          <w:rFonts w:ascii="Arial" w:hAnsi="Arial" w:cs="Arial"/>
          <w:b w:val="0"/>
          <w:color w:val="000000"/>
          <w:sz w:val="22"/>
          <w:szCs w:val="22"/>
        </w:rPr>
        <w:t>the presentation</w:t>
      </w:r>
      <w:r w:rsidRPr="00730C34">
        <w:rPr>
          <w:rFonts w:ascii="Arial" w:hAnsi="Arial" w:cs="Arial"/>
          <w:b w:val="0"/>
          <w:color w:val="000000"/>
          <w:sz w:val="22"/>
          <w:szCs w:val="22"/>
        </w:rPr>
        <w:t xml:space="preserve">, </w:t>
      </w:r>
      <w:r w:rsidRPr="00730C34">
        <w:rPr>
          <w:rStyle w:val="small"/>
          <w:rFonts w:ascii="Arial" w:hAnsi="Arial" w:cs="Arial"/>
          <w:b w:val="0"/>
          <w:bCs w:val="0"/>
          <w:i/>
          <w:color w:val="000000"/>
          <w:sz w:val="22"/>
          <w:szCs w:val="22"/>
        </w:rPr>
        <w:t>“Improving People’s Health through Healthy Environments</w:t>
      </w:r>
      <w:r w:rsidRPr="00730C34">
        <w:rPr>
          <w:rStyle w:val="small"/>
          <w:rFonts w:ascii="Arial" w:hAnsi="Arial" w:cs="Arial"/>
          <w:b w:val="0"/>
          <w:bCs w:val="0"/>
          <w:color w:val="000000"/>
          <w:sz w:val="22"/>
          <w:szCs w:val="22"/>
        </w:rPr>
        <w:t xml:space="preserve">”, was the one most explicitly registering and developing </w:t>
      </w:r>
      <w:r w:rsidRPr="00730C34">
        <w:rPr>
          <w:rStyle w:val="small"/>
          <w:rFonts w:ascii="Arial" w:hAnsi="Arial" w:cs="Arial"/>
          <w:bCs w:val="0"/>
          <w:color w:val="000000"/>
          <w:sz w:val="22"/>
          <w:szCs w:val="22"/>
        </w:rPr>
        <w:t>theme-specific</w:t>
      </w:r>
      <w:r w:rsidRPr="00730C34">
        <w:rPr>
          <w:rStyle w:val="small"/>
          <w:rFonts w:ascii="Arial" w:hAnsi="Arial" w:cs="Arial"/>
          <w:b w:val="0"/>
          <w:bCs w:val="0"/>
          <w:color w:val="000000"/>
          <w:sz w:val="22"/>
          <w:szCs w:val="22"/>
        </w:rPr>
        <w:t xml:space="preserve"> gender concerns and translating the MDG #3 into health terms.</w:t>
      </w:r>
    </w:p>
    <w:p w:rsidR="009D7C54" w:rsidRPr="00E4642A" w:rsidRDefault="009D7C54" w:rsidP="009D7C54">
      <w:pPr>
        <w:pStyle w:val="Heading2"/>
        <w:spacing w:before="0"/>
        <w:ind w:left="720"/>
        <w:rPr>
          <w:rFonts w:ascii="Arial" w:hAnsi="Arial" w:cs="Arial"/>
          <w:b w:val="0"/>
          <w:color w:val="000000"/>
          <w:sz w:val="22"/>
          <w:szCs w:val="22"/>
        </w:rPr>
      </w:pPr>
    </w:p>
    <w:p w:rsidR="004D106B" w:rsidRDefault="009D7C54" w:rsidP="00BE0E51">
      <w:pPr>
        <w:ind w:firstLine="180"/>
        <w:rPr>
          <w:rFonts w:cs="Arial"/>
          <w:b/>
          <w:sz w:val="22"/>
        </w:rPr>
      </w:pPr>
      <w:r w:rsidRPr="00B83947">
        <w:rPr>
          <w:rFonts w:cs="Arial"/>
          <w:b/>
          <w:bCs/>
          <w:color w:val="000000"/>
          <w:sz w:val="24"/>
        </w:rPr>
        <w:t>Table 1</w:t>
      </w:r>
      <w:r w:rsidR="00CA04DF" w:rsidRPr="00B83947">
        <w:rPr>
          <w:rFonts w:cs="Arial"/>
          <w:b/>
          <w:bCs/>
          <w:color w:val="000000"/>
          <w:sz w:val="24"/>
        </w:rPr>
        <w:t>8</w:t>
      </w:r>
      <w:r w:rsidRPr="00B83947">
        <w:rPr>
          <w:rFonts w:cs="Arial"/>
          <w:b/>
          <w:bCs/>
          <w:color w:val="000000"/>
          <w:sz w:val="24"/>
        </w:rPr>
        <w:t>.</w:t>
      </w:r>
      <w:r w:rsidRPr="00E4642A">
        <w:rPr>
          <w:rFonts w:cs="Arial"/>
          <w:bCs/>
          <w:color w:val="000000"/>
          <w:sz w:val="24"/>
        </w:rPr>
        <w:t xml:space="preserve">  Gender references in </w:t>
      </w:r>
      <w:r>
        <w:rPr>
          <w:rFonts w:cs="Arial"/>
          <w:bCs/>
          <w:color w:val="000000"/>
          <w:sz w:val="24"/>
        </w:rPr>
        <w:t xml:space="preserve">selected 2007 </w:t>
      </w:r>
      <w:r w:rsidRPr="00E4642A">
        <w:rPr>
          <w:rFonts w:cs="Arial"/>
          <w:bCs/>
          <w:color w:val="000000"/>
          <w:sz w:val="24"/>
        </w:rPr>
        <w:t>PAHO Director’s speeches</w:t>
      </w:r>
    </w:p>
    <w:p w:rsidR="004D106B" w:rsidRDefault="004D106B" w:rsidP="00BE0E51">
      <w:pPr>
        <w:ind w:firstLine="180"/>
        <w:rPr>
          <w:rFonts w:cs="Arial"/>
          <w:b/>
          <w:sz w:val="22"/>
        </w:rPr>
      </w:pPr>
    </w:p>
    <w:tbl>
      <w:tblPr>
        <w:tblpPr w:leftFromText="180" w:rightFromText="180" w:vertAnchor="text" w:horzAnchor="margin" w:tblpY="9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388"/>
        <w:gridCol w:w="1170"/>
      </w:tblGrid>
      <w:tr w:rsidR="009D7C54" w:rsidRPr="00E4642A" w:rsidTr="009D7C54">
        <w:tc>
          <w:tcPr>
            <w:tcW w:w="8388" w:type="dxa"/>
            <w:tcBorders>
              <w:bottom w:val="single" w:sz="4" w:space="0" w:color="000000"/>
            </w:tcBorders>
            <w:shd w:val="clear" w:color="auto" w:fill="C6D9F1"/>
          </w:tcPr>
          <w:p w:rsidR="009D7C54" w:rsidRPr="00E4642A" w:rsidRDefault="009D7C54" w:rsidP="009D7C54">
            <w:pPr>
              <w:pStyle w:val="Heading2"/>
              <w:spacing w:before="0"/>
              <w:rPr>
                <w:rFonts w:ascii="Arial" w:hAnsi="Arial" w:cs="Arial"/>
                <w:bCs w:val="0"/>
                <w:color w:val="000000"/>
                <w:sz w:val="24"/>
                <w:szCs w:val="36"/>
              </w:rPr>
            </w:pPr>
            <w:r w:rsidRPr="00E4642A">
              <w:rPr>
                <w:rFonts w:ascii="Arial" w:hAnsi="Arial" w:cs="Arial"/>
                <w:bCs w:val="0"/>
                <w:color w:val="000000"/>
                <w:sz w:val="24"/>
              </w:rPr>
              <w:t xml:space="preserve">         </w:t>
            </w:r>
          </w:p>
          <w:p w:rsidR="009D7C54" w:rsidRPr="00E4642A" w:rsidRDefault="00446BC4" w:rsidP="009D7C54">
            <w:pPr>
              <w:pStyle w:val="Heading2"/>
              <w:spacing w:before="0"/>
              <w:rPr>
                <w:rFonts w:ascii="Arial" w:hAnsi="Arial" w:cs="Arial"/>
                <w:bCs w:val="0"/>
                <w:color w:val="000000"/>
                <w:sz w:val="24"/>
              </w:rPr>
            </w:pPr>
            <w:r>
              <w:rPr>
                <w:rFonts w:ascii="Arial" w:hAnsi="Arial" w:cs="Arial"/>
                <w:bCs w:val="0"/>
                <w:color w:val="000000"/>
                <w:sz w:val="24"/>
              </w:rPr>
              <w:t xml:space="preserve">         Sampled </w:t>
            </w:r>
            <w:r w:rsidR="009D7C54" w:rsidRPr="00E4642A">
              <w:rPr>
                <w:rFonts w:ascii="Arial" w:hAnsi="Arial" w:cs="Arial"/>
                <w:bCs w:val="0"/>
                <w:color w:val="000000"/>
                <w:sz w:val="24"/>
              </w:rPr>
              <w:t>PAHO Director’s Speeches &amp; Presentations</w:t>
            </w:r>
            <w:r>
              <w:rPr>
                <w:rFonts w:ascii="Arial" w:hAnsi="Arial" w:cs="Arial"/>
                <w:bCs w:val="0"/>
                <w:color w:val="000000"/>
                <w:sz w:val="24"/>
              </w:rPr>
              <w:t xml:space="preserve"> (2007)</w:t>
            </w:r>
            <w:r w:rsidR="009D7C54" w:rsidRPr="00E4642A">
              <w:rPr>
                <w:rFonts w:ascii="Arial" w:hAnsi="Arial" w:cs="Arial"/>
                <w:bCs w:val="0"/>
                <w:color w:val="000000"/>
                <w:sz w:val="24"/>
              </w:rPr>
              <w:t xml:space="preserve">  </w:t>
            </w:r>
          </w:p>
          <w:p w:rsidR="009D7C54" w:rsidRPr="00E4642A" w:rsidRDefault="009D7C54" w:rsidP="009D7C54">
            <w:pPr>
              <w:pStyle w:val="Heading2"/>
              <w:spacing w:before="0"/>
              <w:rPr>
                <w:bCs w:val="0"/>
                <w:color w:val="000000"/>
              </w:rPr>
            </w:pPr>
          </w:p>
        </w:tc>
        <w:tc>
          <w:tcPr>
            <w:tcW w:w="1170" w:type="dxa"/>
            <w:tcBorders>
              <w:bottom w:val="single" w:sz="4" w:space="0" w:color="000000"/>
            </w:tcBorders>
            <w:shd w:val="clear" w:color="auto" w:fill="C6D9F1"/>
          </w:tcPr>
          <w:p w:rsidR="009D7C54" w:rsidRPr="001452C5" w:rsidRDefault="009D7C54" w:rsidP="009D7C54">
            <w:pPr>
              <w:pStyle w:val="Heading2"/>
              <w:spacing w:before="0"/>
              <w:jc w:val="center"/>
              <w:rPr>
                <w:rFonts w:ascii="Times New Roman" w:hAnsi="Times New Roman"/>
                <w:b w:val="0"/>
                <w:bCs w:val="0"/>
                <w:color w:val="000000"/>
                <w:sz w:val="20"/>
                <w:szCs w:val="24"/>
              </w:rPr>
            </w:pPr>
            <w:r w:rsidRPr="001452C5">
              <w:rPr>
                <w:b w:val="0"/>
                <w:bCs w:val="0"/>
                <w:color w:val="000000"/>
                <w:sz w:val="20"/>
                <w:szCs w:val="24"/>
              </w:rPr>
              <w:t>No. of</w:t>
            </w:r>
          </w:p>
          <w:p w:rsidR="009D7C54" w:rsidRPr="00E4642A" w:rsidRDefault="006F643D" w:rsidP="009D7C54">
            <w:pPr>
              <w:pStyle w:val="Heading2"/>
              <w:spacing w:before="0"/>
              <w:jc w:val="center"/>
              <w:rPr>
                <w:b w:val="0"/>
                <w:bCs w:val="0"/>
                <w:color w:val="000000"/>
                <w:sz w:val="24"/>
                <w:szCs w:val="24"/>
              </w:rPr>
            </w:pPr>
            <w:r w:rsidRPr="001452C5">
              <w:rPr>
                <w:b w:val="0"/>
                <w:bCs w:val="0"/>
                <w:color w:val="000000"/>
                <w:sz w:val="20"/>
                <w:szCs w:val="24"/>
              </w:rPr>
              <w:t>References</w:t>
            </w:r>
          </w:p>
        </w:tc>
      </w:tr>
      <w:tr w:rsidR="009D7C54" w:rsidRPr="00E4642A" w:rsidTr="009D7C54">
        <w:tc>
          <w:tcPr>
            <w:tcW w:w="8388" w:type="dxa"/>
            <w:shd w:val="clear" w:color="auto" w:fill="F2F2F2" w:themeFill="background1" w:themeFillShade="F2"/>
          </w:tcPr>
          <w:p w:rsidR="009D7C54" w:rsidRPr="00E4642A" w:rsidRDefault="009D7C54" w:rsidP="009D7C54">
            <w:pPr>
              <w:pStyle w:val="Heading2"/>
              <w:spacing w:before="0"/>
              <w:rPr>
                <w:rFonts w:ascii="Arial" w:hAnsi="Arial" w:cs="Arial"/>
                <w:bCs w:val="0"/>
                <w:color w:val="000000"/>
                <w:sz w:val="20"/>
                <w:szCs w:val="20"/>
              </w:rPr>
            </w:pPr>
          </w:p>
          <w:p w:rsidR="009D7C54" w:rsidRPr="00D063A3" w:rsidRDefault="009D7C54" w:rsidP="009D7C54">
            <w:pPr>
              <w:pStyle w:val="Heading2"/>
              <w:spacing w:before="0"/>
              <w:rPr>
                <w:rStyle w:val="small"/>
                <w:rFonts w:ascii="Arial" w:hAnsi="Arial" w:cs="Arial"/>
                <w:b w:val="0"/>
                <w:color w:val="000000"/>
              </w:rPr>
            </w:pPr>
            <w:r w:rsidRPr="00D063A3">
              <w:rPr>
                <w:rStyle w:val="small"/>
                <w:rFonts w:ascii="Arial" w:hAnsi="Arial" w:cs="Arial"/>
                <w:b w:val="0"/>
                <w:bCs w:val="0"/>
                <w:color w:val="000000"/>
                <w:sz w:val="20"/>
                <w:szCs w:val="20"/>
              </w:rPr>
              <w:t xml:space="preserve">“Improving People’s Health through Healthy Environments”.  </w:t>
            </w:r>
            <w:r w:rsidRPr="00D063A3">
              <w:rPr>
                <w:rFonts w:ascii="Arial" w:hAnsi="Arial" w:cs="Arial"/>
                <w:b w:val="0"/>
                <w:color w:val="000000"/>
                <w:sz w:val="20"/>
                <w:szCs w:val="20"/>
              </w:rPr>
              <w:t>Power Point Presentation at the 7</w:t>
            </w:r>
            <w:r w:rsidRPr="00D063A3">
              <w:rPr>
                <w:rFonts w:ascii="Arial" w:hAnsi="Arial" w:cs="Arial"/>
                <w:b w:val="0"/>
                <w:color w:val="000000"/>
                <w:sz w:val="20"/>
                <w:szCs w:val="20"/>
                <w:vertAlign w:val="superscript"/>
              </w:rPr>
              <w:t>th</w:t>
            </w:r>
            <w:r w:rsidRPr="00D063A3">
              <w:rPr>
                <w:rFonts w:ascii="Arial" w:hAnsi="Arial" w:cs="Arial"/>
                <w:b w:val="0"/>
                <w:color w:val="000000"/>
                <w:sz w:val="20"/>
                <w:szCs w:val="20"/>
              </w:rPr>
              <w:t xml:space="preserve"> National Conference on Science, Policy and the Environment. </w:t>
            </w:r>
            <w:r w:rsidRPr="00D063A3">
              <w:rPr>
                <w:rStyle w:val="small"/>
                <w:rFonts w:ascii="Arial" w:hAnsi="Arial" w:cs="Arial"/>
                <w:b w:val="0"/>
                <w:color w:val="000000"/>
                <w:sz w:val="20"/>
                <w:szCs w:val="20"/>
              </w:rPr>
              <w:t>Washington D.C., 2 February, 2007 (29 slides).</w:t>
            </w:r>
          </w:p>
          <w:p w:rsidR="009D7C54" w:rsidRPr="00E4642A" w:rsidRDefault="009D7C54" w:rsidP="009D7C54">
            <w:pPr>
              <w:pStyle w:val="Heading2"/>
              <w:spacing w:before="0"/>
              <w:ind w:left="360"/>
              <w:rPr>
                <w:rStyle w:val="small"/>
                <w:rFonts w:cs="Arial"/>
                <w:b w:val="0"/>
                <w:color w:val="000000"/>
                <w:sz w:val="20"/>
                <w:szCs w:val="20"/>
              </w:rPr>
            </w:pPr>
          </w:p>
          <w:p w:rsidR="009D7C54" w:rsidRPr="00E4642A" w:rsidRDefault="009D7C54" w:rsidP="009D7C54">
            <w:pPr>
              <w:pStyle w:val="Heading2"/>
              <w:spacing w:before="0"/>
              <w:rPr>
                <w:bCs w:val="0"/>
                <w:color w:val="000000"/>
              </w:rPr>
            </w:pPr>
            <w:r w:rsidRPr="00E4642A">
              <w:rPr>
                <w:rFonts w:ascii="Arial" w:hAnsi="Arial" w:cs="Arial"/>
                <w:b w:val="0"/>
                <w:color w:val="000000"/>
                <w:sz w:val="20"/>
                <w:szCs w:val="20"/>
              </w:rPr>
              <w:t>“Latin America and the Caribbean: United in Diversity toward Universal Access”. C</w:t>
            </w:r>
            <w:r w:rsidRPr="00E4642A">
              <w:rPr>
                <w:rStyle w:val="Strong"/>
                <w:rFonts w:ascii="Arial" w:hAnsi="Arial" w:cs="Arial"/>
                <w:color w:val="000000"/>
                <w:sz w:val="20"/>
                <w:szCs w:val="20"/>
              </w:rPr>
              <w:t xml:space="preserve">losing Address at the IV Latin American and Caribbean Forum on HIV/AIDS/STI.  </w:t>
            </w:r>
            <w:r w:rsidRPr="00E4642A">
              <w:rPr>
                <w:rFonts w:ascii="Arial" w:hAnsi="Arial" w:cs="Arial"/>
                <w:b w:val="0"/>
                <w:color w:val="000000"/>
                <w:sz w:val="20"/>
                <w:szCs w:val="20"/>
              </w:rPr>
              <w:t>Buenos Aires, Argentina, 20 April 2007 (1662 words)</w:t>
            </w:r>
          </w:p>
          <w:p w:rsidR="009D7C54" w:rsidRPr="00E4642A" w:rsidRDefault="009D7C54" w:rsidP="009D7C54">
            <w:pPr>
              <w:pStyle w:val="Heading2"/>
              <w:spacing w:before="0"/>
              <w:rPr>
                <w:rFonts w:ascii="Arial" w:hAnsi="Arial" w:cs="Arial"/>
                <w:b w:val="0"/>
                <w:color w:val="000000"/>
                <w:sz w:val="20"/>
                <w:szCs w:val="20"/>
              </w:rPr>
            </w:pPr>
          </w:p>
          <w:p w:rsidR="009D7C54" w:rsidRPr="00E4642A" w:rsidRDefault="009D7C54" w:rsidP="009D7C54">
            <w:pPr>
              <w:rPr>
                <w:rStyle w:val="small"/>
                <w:color w:val="000000"/>
              </w:rPr>
            </w:pPr>
            <w:r w:rsidRPr="00E4642A">
              <w:rPr>
                <w:rStyle w:val="small"/>
                <w:rFonts w:cs="Arial"/>
                <w:bCs/>
                <w:i/>
                <w:color w:val="000000"/>
                <w:szCs w:val="20"/>
              </w:rPr>
              <w:t xml:space="preserve">“New Life for Primary Health Care: the Social Determinants of Health”. </w:t>
            </w:r>
            <w:r w:rsidRPr="00E4642A">
              <w:rPr>
                <w:rStyle w:val="small"/>
                <w:rFonts w:cs="Arial"/>
                <w:color w:val="000000"/>
                <w:szCs w:val="20"/>
              </w:rPr>
              <w:t xml:space="preserve"> Power-point presentation at the 8th Commissioners' meeting of the Commission on Social Determinants of Health. Vancouver, Canada. 7-9 June 2007 (15 slides)</w:t>
            </w:r>
          </w:p>
          <w:p w:rsidR="009D7C54" w:rsidRPr="00E4642A" w:rsidRDefault="009D7C54" w:rsidP="009D7C54">
            <w:pPr>
              <w:pStyle w:val="ListParagraph"/>
              <w:ind w:left="360"/>
              <w:rPr>
                <w:rStyle w:val="small"/>
                <w:rFonts w:cs="Arial"/>
                <w:i/>
                <w:color w:val="000000"/>
                <w:szCs w:val="20"/>
              </w:rPr>
            </w:pPr>
          </w:p>
          <w:p w:rsidR="009D7C54" w:rsidRPr="00E4642A" w:rsidRDefault="009D7C54" w:rsidP="009D7C54">
            <w:pPr>
              <w:rPr>
                <w:rStyle w:val="small"/>
                <w:rFonts w:cs="Arial"/>
                <w:i/>
                <w:color w:val="000000"/>
                <w:szCs w:val="20"/>
              </w:rPr>
            </w:pPr>
            <w:r w:rsidRPr="00E4642A">
              <w:rPr>
                <w:rStyle w:val="small"/>
                <w:rFonts w:cs="Arial"/>
                <w:i/>
                <w:color w:val="000000"/>
                <w:szCs w:val="20"/>
              </w:rPr>
              <w:t>“Health is essential for sustainable democracy in Americas”.</w:t>
            </w:r>
            <w:r w:rsidRPr="00E4642A">
              <w:rPr>
                <w:rStyle w:val="small"/>
                <w:rFonts w:cs="Arial"/>
                <w:color w:val="000000"/>
                <w:szCs w:val="20"/>
              </w:rPr>
              <w:t xml:space="preserve"> Power-point presentation to the Organization of American States Ambassadors Permanent Council. Washington D.C.,  June 20, 2007 (18 slides)</w:t>
            </w:r>
            <w:r w:rsidRPr="00E4642A">
              <w:rPr>
                <w:rFonts w:cs="Arial"/>
                <w:color w:val="000000"/>
                <w:szCs w:val="20"/>
              </w:rPr>
              <w:br/>
            </w:r>
          </w:p>
          <w:p w:rsidR="009D7C54" w:rsidRPr="00E4642A" w:rsidRDefault="009D7C54" w:rsidP="009D7C54">
            <w:pPr>
              <w:rPr>
                <w:color w:val="000000"/>
              </w:rPr>
            </w:pPr>
            <w:r w:rsidRPr="00E4642A">
              <w:rPr>
                <w:rFonts w:cs="Arial"/>
                <w:i/>
                <w:color w:val="000000"/>
                <w:szCs w:val="20"/>
              </w:rPr>
              <w:t>“</w:t>
            </w:r>
            <w:hyperlink r:id="rId27" w:history="1">
              <w:r w:rsidRPr="00E4642A">
                <w:rPr>
                  <w:rStyle w:val="Strong"/>
                  <w:rFonts w:cs="Arial"/>
                  <w:b w:val="0"/>
                  <w:i/>
                  <w:color w:val="000000"/>
                  <w:szCs w:val="20"/>
                </w:rPr>
                <w:t>Achievements, Challenges and Leadership</w:t>
              </w:r>
            </w:hyperlink>
            <w:r w:rsidRPr="00E4642A">
              <w:rPr>
                <w:rFonts w:cs="Arial"/>
                <w:i/>
                <w:color w:val="000000"/>
                <w:szCs w:val="20"/>
              </w:rPr>
              <w:t>”.</w:t>
            </w:r>
            <w:r w:rsidRPr="00E4642A">
              <w:rPr>
                <w:rFonts w:cs="Arial"/>
                <w:color w:val="000000"/>
                <w:szCs w:val="20"/>
              </w:rPr>
              <w:t xml:space="preserve"> Power-point Presentation at the Candidate Forum for New PAHO Director. Washington, D.C. PAHO HQ, June 25-29, 2007 (40 slides).</w:t>
            </w:r>
          </w:p>
          <w:p w:rsidR="009D7C54" w:rsidRPr="00E4642A" w:rsidRDefault="009D7C54" w:rsidP="009D7C54">
            <w:pPr>
              <w:rPr>
                <w:rStyle w:val="small"/>
                <w:color w:val="000000"/>
              </w:rPr>
            </w:pPr>
          </w:p>
          <w:p w:rsidR="009D7C54" w:rsidRPr="00E4642A" w:rsidRDefault="009D7C54" w:rsidP="009D7C54">
            <w:pPr>
              <w:rPr>
                <w:rStyle w:val="small"/>
                <w:rFonts w:cs="Arial"/>
                <w:color w:val="000000"/>
                <w:szCs w:val="20"/>
              </w:rPr>
            </w:pPr>
            <w:r w:rsidRPr="00E4642A">
              <w:rPr>
                <w:rStyle w:val="small"/>
                <w:rFonts w:cs="Arial"/>
                <w:bCs/>
                <w:i/>
                <w:color w:val="000000"/>
                <w:szCs w:val="20"/>
              </w:rPr>
              <w:t>“Improving Health in the Americas. How Far We Come and How Far Do We Have to Go?”</w:t>
            </w:r>
            <w:r w:rsidRPr="00E4642A">
              <w:rPr>
                <w:rStyle w:val="small"/>
                <w:rFonts w:cs="Arial"/>
                <w:i/>
                <w:color w:val="000000"/>
                <w:szCs w:val="20"/>
              </w:rPr>
              <w:t>.</w:t>
            </w:r>
            <w:r w:rsidRPr="00E4642A">
              <w:rPr>
                <w:rStyle w:val="small"/>
                <w:rFonts w:cs="Arial"/>
                <w:color w:val="000000"/>
                <w:szCs w:val="20"/>
              </w:rPr>
              <w:t xml:space="preserve"> Power-point presentation at the UFBA (Federal University of Bahia) given before national authorities and foreign delegations. Bahia, Brazil. July 17, 2007 (33 slides).</w:t>
            </w:r>
          </w:p>
          <w:p w:rsidR="009D7C54" w:rsidRPr="00E4642A" w:rsidRDefault="009D7C54" w:rsidP="009D7C54">
            <w:pPr>
              <w:ind w:left="360"/>
              <w:rPr>
                <w:color w:val="000000"/>
              </w:rPr>
            </w:pPr>
          </w:p>
          <w:p w:rsidR="009D7C54" w:rsidRPr="00E4642A" w:rsidRDefault="009D7C54" w:rsidP="009D7C54">
            <w:pPr>
              <w:rPr>
                <w:rFonts w:cs="Arial"/>
                <w:color w:val="000000"/>
                <w:szCs w:val="20"/>
              </w:rPr>
            </w:pPr>
            <w:r w:rsidRPr="00E4642A">
              <w:rPr>
                <w:rFonts w:cs="Arial"/>
                <w:color w:val="000000"/>
                <w:szCs w:val="20"/>
              </w:rPr>
              <w:t xml:space="preserve">Closing Statement at the </w:t>
            </w:r>
            <w:r w:rsidRPr="00E4642A">
              <w:rPr>
                <w:rFonts w:cs="Arial"/>
                <w:i/>
                <w:color w:val="000000"/>
                <w:szCs w:val="20"/>
              </w:rPr>
              <w:t>Buenos Aires 30/15 International Conference on Primary Health Care.</w:t>
            </w:r>
            <w:r w:rsidRPr="00E4642A">
              <w:rPr>
                <w:rFonts w:cs="Arial"/>
                <w:color w:val="000000"/>
                <w:szCs w:val="20"/>
              </w:rPr>
              <w:t xml:space="preserve"> Buenos Aires, Argentina, 17 August 2007 (2735 words).</w:t>
            </w:r>
          </w:p>
          <w:p w:rsidR="009D7C54" w:rsidRPr="00E4642A" w:rsidRDefault="009D7C54" w:rsidP="009D7C54">
            <w:pPr>
              <w:rPr>
                <w:rStyle w:val="small"/>
                <w:bCs/>
                <w:color w:val="000000"/>
              </w:rPr>
            </w:pPr>
          </w:p>
          <w:p w:rsidR="009D7C54" w:rsidRPr="00E4642A" w:rsidRDefault="009D7C54" w:rsidP="009D7C54">
            <w:pPr>
              <w:rPr>
                <w:rStyle w:val="small"/>
                <w:rFonts w:cs="Arial"/>
                <w:bCs/>
                <w:color w:val="000000"/>
                <w:szCs w:val="20"/>
              </w:rPr>
            </w:pPr>
            <w:r w:rsidRPr="00E4642A">
              <w:rPr>
                <w:rFonts w:cs="Arial"/>
                <w:i/>
                <w:color w:val="000000"/>
                <w:szCs w:val="20"/>
              </w:rPr>
              <w:t>Acceptance Speech</w:t>
            </w:r>
            <w:r w:rsidRPr="00E4642A">
              <w:rPr>
                <w:rFonts w:cs="Arial"/>
                <w:color w:val="000000"/>
                <w:szCs w:val="20"/>
              </w:rPr>
              <w:t xml:space="preserve"> on her re-election as Director of the Pan American Health Organization, before the 27</w:t>
            </w:r>
            <w:r w:rsidRPr="00E4642A">
              <w:rPr>
                <w:rFonts w:cs="Arial"/>
                <w:color w:val="000000"/>
                <w:szCs w:val="20"/>
                <w:vertAlign w:val="superscript"/>
              </w:rPr>
              <w:t>th</w:t>
            </w:r>
            <w:r w:rsidRPr="00E4642A">
              <w:rPr>
                <w:rFonts w:cs="Arial"/>
                <w:color w:val="000000"/>
                <w:szCs w:val="20"/>
              </w:rPr>
              <w:t xml:space="preserve"> Pan American Sanitary Conference and 59th Session of the Regional Committee. Washington D.C., October 3, 2007 (1668 words).</w:t>
            </w:r>
            <w:r w:rsidRPr="00E4642A">
              <w:rPr>
                <w:rStyle w:val="small"/>
                <w:rFonts w:cs="Arial"/>
                <w:bCs/>
                <w:color w:val="000000"/>
                <w:szCs w:val="20"/>
              </w:rPr>
              <w:t xml:space="preserve"> </w:t>
            </w:r>
          </w:p>
          <w:p w:rsidR="009D7C54" w:rsidRPr="00E4642A" w:rsidRDefault="009D7C54" w:rsidP="009D7C54">
            <w:pPr>
              <w:rPr>
                <w:rStyle w:val="small"/>
                <w:rFonts w:cs="Arial"/>
                <w:bCs/>
                <w:i/>
                <w:color w:val="000000"/>
                <w:szCs w:val="20"/>
              </w:rPr>
            </w:pPr>
          </w:p>
          <w:p w:rsidR="009D7C54" w:rsidRPr="00E4642A" w:rsidRDefault="009D7C54" w:rsidP="009D7C54">
            <w:pPr>
              <w:rPr>
                <w:color w:val="000000"/>
              </w:rPr>
            </w:pPr>
            <w:r w:rsidRPr="00E4642A">
              <w:rPr>
                <w:rStyle w:val="small"/>
                <w:rFonts w:cs="Arial"/>
                <w:bCs/>
                <w:i/>
                <w:color w:val="000000"/>
                <w:szCs w:val="20"/>
              </w:rPr>
              <w:t>“Partnership for Health Development”.</w:t>
            </w:r>
            <w:r w:rsidRPr="00E4642A">
              <w:rPr>
                <w:rStyle w:val="small"/>
                <w:rFonts w:cs="Arial"/>
                <w:bCs/>
                <w:color w:val="000000"/>
                <w:szCs w:val="20"/>
              </w:rPr>
              <w:t xml:space="preserve"> Power-point presentation </w:t>
            </w:r>
            <w:r w:rsidRPr="00E4642A">
              <w:rPr>
                <w:rStyle w:val="small"/>
                <w:rFonts w:cs="Arial"/>
                <w:color w:val="000000"/>
                <w:szCs w:val="20"/>
              </w:rPr>
              <w:t xml:space="preserve">at the </w:t>
            </w:r>
            <w:r w:rsidRPr="00E4642A">
              <w:rPr>
                <w:rFonts w:cs="Arial"/>
                <w:bCs/>
                <w:color w:val="000000"/>
                <w:szCs w:val="20"/>
              </w:rPr>
              <w:t>4th Global Meeting of Heads of WHO Country Offices with DG and RDs. Geneva, 12 November 2007 (11 slides)</w:t>
            </w:r>
          </w:p>
          <w:p w:rsidR="009D7C54" w:rsidRPr="00E4642A" w:rsidRDefault="009D7C54" w:rsidP="009D7C54">
            <w:pPr>
              <w:rPr>
                <w:rFonts w:cs="Arial"/>
                <w:bCs/>
                <w:color w:val="000000"/>
                <w:sz w:val="22"/>
                <w:szCs w:val="20"/>
              </w:rPr>
            </w:pPr>
          </w:p>
          <w:p w:rsidR="009D7C54" w:rsidRPr="00E4642A" w:rsidRDefault="009D7C54" w:rsidP="009D7C54">
            <w:pPr>
              <w:pStyle w:val="Heading2"/>
              <w:spacing w:before="0"/>
              <w:rPr>
                <w:rFonts w:ascii="Arial" w:hAnsi="Arial" w:cs="Arial"/>
                <w:b w:val="0"/>
                <w:bCs w:val="0"/>
                <w:i/>
                <w:color w:val="000000"/>
                <w:sz w:val="22"/>
                <w:szCs w:val="22"/>
              </w:rPr>
            </w:pPr>
            <w:r w:rsidRPr="00E4642A">
              <w:rPr>
                <w:rFonts w:ascii="Arial" w:hAnsi="Arial" w:cs="Arial"/>
                <w:bCs w:val="0"/>
                <w:color w:val="000000"/>
                <w:sz w:val="22"/>
                <w:szCs w:val="22"/>
              </w:rPr>
              <w:t xml:space="preserve">                                                                                 </w:t>
            </w:r>
            <w:r w:rsidRPr="00E4642A">
              <w:rPr>
                <w:rFonts w:ascii="Arial" w:hAnsi="Arial" w:cs="Arial"/>
                <w:b w:val="0"/>
                <w:bCs w:val="0"/>
                <w:i/>
                <w:color w:val="000000"/>
                <w:sz w:val="22"/>
                <w:szCs w:val="22"/>
              </w:rPr>
              <w:t>All nine presentations</w:t>
            </w:r>
          </w:p>
          <w:p w:rsidR="009D7C54" w:rsidRPr="00E4642A" w:rsidRDefault="009D7C54" w:rsidP="009D7C54">
            <w:pPr>
              <w:pStyle w:val="Heading2"/>
              <w:spacing w:before="0"/>
              <w:rPr>
                <w:rFonts w:ascii="Arial" w:hAnsi="Arial" w:cs="Arial"/>
                <w:bCs w:val="0"/>
                <w:color w:val="000000"/>
                <w:sz w:val="22"/>
                <w:szCs w:val="22"/>
              </w:rPr>
            </w:pPr>
          </w:p>
        </w:tc>
        <w:tc>
          <w:tcPr>
            <w:tcW w:w="1170" w:type="dxa"/>
            <w:shd w:val="clear" w:color="auto" w:fill="F2F2F2" w:themeFill="background1" w:themeFillShade="F2"/>
          </w:tcPr>
          <w:p w:rsidR="009D7C54" w:rsidRPr="00E4642A" w:rsidRDefault="009D7C54" w:rsidP="009D7C54">
            <w:pPr>
              <w:pStyle w:val="Heading2"/>
              <w:spacing w:before="0"/>
              <w:jc w:val="center"/>
              <w:rPr>
                <w:rFonts w:ascii="Arial" w:hAnsi="Arial" w:cs="Arial"/>
                <w:b w:val="0"/>
                <w:bCs w:val="0"/>
                <w:color w:val="000000"/>
                <w:sz w:val="22"/>
                <w:szCs w:val="22"/>
              </w:rPr>
            </w:pPr>
          </w:p>
          <w:p w:rsidR="009D7C54" w:rsidRPr="00E4642A" w:rsidRDefault="009D7C54" w:rsidP="009D7C54">
            <w:pPr>
              <w:pStyle w:val="Heading2"/>
              <w:spacing w:before="0"/>
              <w:jc w:val="center"/>
              <w:rPr>
                <w:rFonts w:ascii="Arial" w:hAnsi="Arial" w:cs="Arial"/>
                <w:b w:val="0"/>
                <w:bCs w:val="0"/>
                <w:color w:val="000000"/>
                <w:sz w:val="20"/>
                <w:szCs w:val="22"/>
              </w:rPr>
            </w:pPr>
            <w:r w:rsidRPr="00E4642A">
              <w:rPr>
                <w:rFonts w:ascii="Arial" w:hAnsi="Arial" w:cs="Arial"/>
                <w:b w:val="0"/>
                <w:bCs w:val="0"/>
                <w:color w:val="000000"/>
                <w:sz w:val="20"/>
                <w:szCs w:val="22"/>
              </w:rPr>
              <w:t>5</w:t>
            </w:r>
          </w:p>
          <w:p w:rsidR="009D7C54" w:rsidRPr="00E4642A" w:rsidRDefault="009D7C54" w:rsidP="009D7C54">
            <w:pPr>
              <w:pStyle w:val="Heading2"/>
              <w:spacing w:before="0"/>
              <w:jc w:val="center"/>
              <w:rPr>
                <w:rFonts w:ascii="Arial" w:hAnsi="Arial" w:cs="Arial"/>
                <w:b w:val="0"/>
                <w:bCs w:val="0"/>
                <w:color w:val="000000"/>
                <w:sz w:val="20"/>
                <w:szCs w:val="22"/>
              </w:rPr>
            </w:pPr>
          </w:p>
          <w:p w:rsidR="009D7C54" w:rsidRPr="00E4642A" w:rsidRDefault="009D7C54" w:rsidP="009D7C54">
            <w:pPr>
              <w:pStyle w:val="Heading2"/>
              <w:spacing w:before="0"/>
              <w:jc w:val="center"/>
              <w:rPr>
                <w:rFonts w:ascii="Arial" w:hAnsi="Arial" w:cs="Arial"/>
                <w:b w:val="0"/>
                <w:bCs w:val="0"/>
                <w:color w:val="000000"/>
                <w:sz w:val="20"/>
                <w:szCs w:val="22"/>
              </w:rPr>
            </w:pPr>
          </w:p>
          <w:p w:rsidR="009D7C54" w:rsidRPr="00E4642A" w:rsidRDefault="009D7C54" w:rsidP="009D7C54">
            <w:pPr>
              <w:pStyle w:val="Heading2"/>
              <w:spacing w:before="0"/>
              <w:jc w:val="center"/>
              <w:rPr>
                <w:rFonts w:ascii="Arial" w:hAnsi="Arial" w:cs="Arial"/>
                <w:b w:val="0"/>
                <w:bCs w:val="0"/>
                <w:color w:val="000000"/>
                <w:sz w:val="20"/>
                <w:szCs w:val="22"/>
              </w:rPr>
            </w:pPr>
          </w:p>
          <w:p w:rsidR="009D7C54" w:rsidRPr="00E4642A" w:rsidRDefault="009D7C54" w:rsidP="009D7C54">
            <w:pPr>
              <w:pStyle w:val="Heading2"/>
              <w:spacing w:before="0"/>
              <w:jc w:val="center"/>
              <w:rPr>
                <w:rFonts w:ascii="Arial" w:hAnsi="Arial" w:cs="Arial"/>
                <w:b w:val="0"/>
                <w:bCs w:val="0"/>
                <w:color w:val="000000"/>
                <w:sz w:val="20"/>
                <w:szCs w:val="22"/>
              </w:rPr>
            </w:pPr>
            <w:r w:rsidRPr="00E4642A">
              <w:rPr>
                <w:rFonts w:ascii="Arial" w:hAnsi="Arial" w:cs="Arial"/>
                <w:b w:val="0"/>
                <w:bCs w:val="0"/>
                <w:color w:val="000000"/>
                <w:sz w:val="20"/>
                <w:szCs w:val="22"/>
              </w:rPr>
              <w:t>3</w:t>
            </w:r>
          </w:p>
          <w:p w:rsidR="009D7C54" w:rsidRPr="00E4642A" w:rsidRDefault="009D7C54" w:rsidP="009D7C54">
            <w:pPr>
              <w:pStyle w:val="Heading2"/>
              <w:spacing w:before="0"/>
              <w:jc w:val="center"/>
              <w:rPr>
                <w:rFonts w:ascii="Arial" w:hAnsi="Arial" w:cs="Arial"/>
                <w:b w:val="0"/>
                <w:bCs w:val="0"/>
                <w:color w:val="000000"/>
                <w:sz w:val="20"/>
                <w:szCs w:val="22"/>
              </w:rPr>
            </w:pPr>
          </w:p>
          <w:p w:rsidR="009D7C54" w:rsidRPr="00E4642A" w:rsidRDefault="009D7C54" w:rsidP="009D7C54">
            <w:pPr>
              <w:pStyle w:val="Heading2"/>
              <w:spacing w:before="0"/>
              <w:jc w:val="center"/>
              <w:rPr>
                <w:rFonts w:ascii="Arial" w:hAnsi="Arial" w:cs="Arial"/>
                <w:b w:val="0"/>
                <w:bCs w:val="0"/>
                <w:color w:val="000000"/>
                <w:sz w:val="20"/>
                <w:szCs w:val="22"/>
              </w:rPr>
            </w:pPr>
          </w:p>
          <w:p w:rsidR="009D7C54" w:rsidRPr="00E4642A" w:rsidRDefault="009D7C54" w:rsidP="009D7C54">
            <w:pPr>
              <w:pStyle w:val="Heading2"/>
              <w:spacing w:before="0"/>
              <w:jc w:val="center"/>
              <w:rPr>
                <w:rFonts w:ascii="Arial" w:hAnsi="Arial" w:cs="Arial"/>
                <w:b w:val="0"/>
                <w:bCs w:val="0"/>
                <w:color w:val="000000"/>
                <w:sz w:val="20"/>
                <w:szCs w:val="22"/>
              </w:rPr>
            </w:pPr>
          </w:p>
          <w:p w:rsidR="009D7C54" w:rsidRPr="00E4642A" w:rsidRDefault="009D7C54" w:rsidP="009D7C54">
            <w:pPr>
              <w:pStyle w:val="Heading2"/>
              <w:spacing w:before="0"/>
              <w:jc w:val="center"/>
              <w:rPr>
                <w:rFonts w:ascii="Arial" w:hAnsi="Arial" w:cs="Arial"/>
                <w:b w:val="0"/>
                <w:bCs w:val="0"/>
                <w:color w:val="000000"/>
                <w:sz w:val="20"/>
                <w:szCs w:val="22"/>
              </w:rPr>
            </w:pPr>
            <w:r w:rsidRPr="00E4642A">
              <w:rPr>
                <w:rFonts w:ascii="Arial" w:hAnsi="Arial" w:cs="Arial"/>
                <w:b w:val="0"/>
                <w:bCs w:val="0"/>
                <w:color w:val="000000"/>
                <w:sz w:val="20"/>
                <w:szCs w:val="22"/>
              </w:rPr>
              <w:t>6</w:t>
            </w:r>
          </w:p>
          <w:p w:rsidR="009D7C54" w:rsidRPr="00E4642A" w:rsidRDefault="009D7C54" w:rsidP="009D7C54">
            <w:pPr>
              <w:pStyle w:val="Heading2"/>
              <w:spacing w:before="0"/>
              <w:jc w:val="center"/>
              <w:rPr>
                <w:rFonts w:ascii="Arial" w:hAnsi="Arial" w:cs="Arial"/>
                <w:b w:val="0"/>
                <w:bCs w:val="0"/>
                <w:color w:val="000000"/>
                <w:sz w:val="20"/>
                <w:szCs w:val="22"/>
              </w:rPr>
            </w:pPr>
          </w:p>
          <w:p w:rsidR="009D7C54" w:rsidRPr="00E4642A" w:rsidRDefault="009D7C54" w:rsidP="009D7C54">
            <w:pPr>
              <w:pStyle w:val="Heading2"/>
              <w:spacing w:before="0"/>
              <w:jc w:val="center"/>
              <w:rPr>
                <w:rFonts w:ascii="Arial" w:hAnsi="Arial" w:cs="Arial"/>
                <w:b w:val="0"/>
                <w:bCs w:val="0"/>
                <w:color w:val="000000"/>
                <w:sz w:val="20"/>
                <w:szCs w:val="22"/>
              </w:rPr>
            </w:pPr>
          </w:p>
          <w:p w:rsidR="009D7C54" w:rsidRPr="00E4642A" w:rsidRDefault="009D7C54" w:rsidP="009D7C54">
            <w:pPr>
              <w:pStyle w:val="Heading2"/>
              <w:spacing w:before="0"/>
              <w:jc w:val="center"/>
              <w:rPr>
                <w:rFonts w:ascii="Arial" w:hAnsi="Arial" w:cs="Arial"/>
                <w:b w:val="0"/>
                <w:bCs w:val="0"/>
                <w:color w:val="000000"/>
                <w:sz w:val="20"/>
                <w:szCs w:val="22"/>
              </w:rPr>
            </w:pPr>
          </w:p>
          <w:p w:rsidR="009D7C54" w:rsidRPr="00E4642A" w:rsidRDefault="009D7C54" w:rsidP="009D7C54">
            <w:pPr>
              <w:pStyle w:val="Heading2"/>
              <w:spacing w:before="0"/>
              <w:jc w:val="center"/>
              <w:rPr>
                <w:rFonts w:ascii="Arial" w:hAnsi="Arial" w:cs="Arial"/>
                <w:b w:val="0"/>
                <w:bCs w:val="0"/>
                <w:color w:val="000000"/>
                <w:sz w:val="20"/>
                <w:szCs w:val="22"/>
              </w:rPr>
            </w:pPr>
            <w:r w:rsidRPr="00E4642A">
              <w:rPr>
                <w:rFonts w:ascii="Arial" w:hAnsi="Arial" w:cs="Arial"/>
                <w:b w:val="0"/>
                <w:bCs w:val="0"/>
                <w:color w:val="000000"/>
                <w:sz w:val="20"/>
                <w:szCs w:val="22"/>
              </w:rPr>
              <w:t>1</w:t>
            </w:r>
          </w:p>
          <w:p w:rsidR="009D7C54" w:rsidRPr="00E4642A" w:rsidRDefault="009D7C54" w:rsidP="009D7C54">
            <w:pPr>
              <w:pStyle w:val="Heading2"/>
              <w:spacing w:before="0"/>
              <w:jc w:val="center"/>
              <w:rPr>
                <w:rFonts w:ascii="Arial" w:hAnsi="Arial" w:cs="Arial"/>
                <w:b w:val="0"/>
                <w:bCs w:val="0"/>
                <w:color w:val="000000"/>
                <w:sz w:val="20"/>
                <w:szCs w:val="22"/>
              </w:rPr>
            </w:pPr>
          </w:p>
          <w:p w:rsidR="009D7C54" w:rsidRPr="00E4642A" w:rsidRDefault="009D7C54" w:rsidP="009D7C54">
            <w:pPr>
              <w:pStyle w:val="Heading2"/>
              <w:spacing w:before="0"/>
              <w:jc w:val="center"/>
              <w:rPr>
                <w:rFonts w:ascii="Arial" w:hAnsi="Arial" w:cs="Arial"/>
                <w:b w:val="0"/>
                <w:bCs w:val="0"/>
                <w:color w:val="000000"/>
                <w:sz w:val="20"/>
                <w:szCs w:val="22"/>
              </w:rPr>
            </w:pPr>
          </w:p>
          <w:p w:rsidR="009D7C54" w:rsidRPr="00E4642A" w:rsidRDefault="009D7C54" w:rsidP="009D7C54">
            <w:pPr>
              <w:pStyle w:val="Heading2"/>
              <w:spacing w:before="0"/>
              <w:jc w:val="center"/>
              <w:rPr>
                <w:rFonts w:ascii="Arial" w:hAnsi="Arial" w:cs="Arial"/>
                <w:b w:val="0"/>
                <w:bCs w:val="0"/>
                <w:color w:val="000000"/>
                <w:sz w:val="20"/>
                <w:szCs w:val="22"/>
              </w:rPr>
            </w:pPr>
          </w:p>
          <w:p w:rsidR="009D7C54" w:rsidRPr="00E4642A" w:rsidRDefault="009D7C54" w:rsidP="009D7C54">
            <w:pPr>
              <w:pStyle w:val="Heading2"/>
              <w:spacing w:before="0"/>
              <w:jc w:val="center"/>
              <w:rPr>
                <w:rFonts w:ascii="Arial" w:hAnsi="Arial" w:cs="Arial"/>
                <w:b w:val="0"/>
                <w:bCs w:val="0"/>
                <w:color w:val="000000"/>
                <w:sz w:val="20"/>
                <w:szCs w:val="22"/>
              </w:rPr>
            </w:pPr>
            <w:r w:rsidRPr="00E4642A">
              <w:rPr>
                <w:rFonts w:ascii="Arial" w:hAnsi="Arial" w:cs="Arial"/>
                <w:b w:val="0"/>
                <w:bCs w:val="0"/>
                <w:color w:val="000000"/>
                <w:sz w:val="20"/>
                <w:szCs w:val="22"/>
              </w:rPr>
              <w:t>2</w:t>
            </w:r>
          </w:p>
          <w:p w:rsidR="009D7C54" w:rsidRPr="00E4642A" w:rsidRDefault="009D7C54" w:rsidP="009D7C54">
            <w:pPr>
              <w:pStyle w:val="Heading2"/>
              <w:spacing w:before="0"/>
              <w:jc w:val="center"/>
              <w:rPr>
                <w:rFonts w:ascii="Arial" w:hAnsi="Arial" w:cs="Arial"/>
                <w:b w:val="0"/>
                <w:bCs w:val="0"/>
                <w:color w:val="000000"/>
                <w:sz w:val="20"/>
                <w:szCs w:val="22"/>
              </w:rPr>
            </w:pPr>
          </w:p>
          <w:p w:rsidR="009D7C54" w:rsidRPr="00E4642A" w:rsidRDefault="009D7C54" w:rsidP="009D7C54">
            <w:pPr>
              <w:pStyle w:val="Heading2"/>
              <w:spacing w:before="0"/>
              <w:jc w:val="center"/>
              <w:rPr>
                <w:rFonts w:ascii="Arial" w:hAnsi="Arial" w:cs="Arial"/>
                <w:b w:val="0"/>
                <w:bCs w:val="0"/>
                <w:color w:val="000000"/>
                <w:sz w:val="20"/>
                <w:szCs w:val="22"/>
              </w:rPr>
            </w:pPr>
          </w:p>
          <w:p w:rsidR="009D7C54" w:rsidRPr="00E4642A" w:rsidRDefault="009D7C54" w:rsidP="009D7C54">
            <w:pPr>
              <w:pStyle w:val="Heading2"/>
              <w:spacing w:before="0"/>
              <w:jc w:val="center"/>
              <w:rPr>
                <w:rFonts w:ascii="Arial" w:hAnsi="Arial" w:cs="Arial"/>
                <w:b w:val="0"/>
                <w:bCs w:val="0"/>
                <w:color w:val="000000"/>
                <w:sz w:val="20"/>
                <w:szCs w:val="22"/>
              </w:rPr>
            </w:pPr>
          </w:p>
          <w:p w:rsidR="009D7C54" w:rsidRPr="00E4642A" w:rsidRDefault="009D7C54" w:rsidP="009D7C54">
            <w:pPr>
              <w:pStyle w:val="Heading2"/>
              <w:spacing w:before="0"/>
              <w:jc w:val="center"/>
              <w:rPr>
                <w:rFonts w:ascii="Arial" w:hAnsi="Arial" w:cs="Arial"/>
                <w:b w:val="0"/>
                <w:bCs w:val="0"/>
                <w:color w:val="000000"/>
                <w:sz w:val="20"/>
                <w:szCs w:val="22"/>
              </w:rPr>
            </w:pPr>
            <w:r w:rsidRPr="00E4642A">
              <w:rPr>
                <w:rFonts w:ascii="Arial" w:hAnsi="Arial" w:cs="Arial"/>
                <w:b w:val="0"/>
                <w:bCs w:val="0"/>
                <w:color w:val="000000"/>
                <w:sz w:val="20"/>
                <w:szCs w:val="22"/>
              </w:rPr>
              <w:t>15</w:t>
            </w:r>
          </w:p>
          <w:p w:rsidR="009D7C54" w:rsidRPr="00E4642A" w:rsidRDefault="009D7C54" w:rsidP="009D7C54">
            <w:pPr>
              <w:pStyle w:val="Heading2"/>
              <w:spacing w:before="0"/>
              <w:jc w:val="center"/>
              <w:rPr>
                <w:rFonts w:ascii="Arial" w:hAnsi="Arial" w:cs="Arial"/>
                <w:b w:val="0"/>
                <w:bCs w:val="0"/>
                <w:color w:val="000000"/>
                <w:sz w:val="20"/>
                <w:szCs w:val="22"/>
              </w:rPr>
            </w:pPr>
          </w:p>
          <w:p w:rsidR="009D7C54" w:rsidRPr="00E4642A" w:rsidRDefault="009D7C54" w:rsidP="009D7C54">
            <w:pPr>
              <w:pStyle w:val="Heading2"/>
              <w:spacing w:before="0"/>
              <w:jc w:val="center"/>
              <w:rPr>
                <w:rFonts w:ascii="Arial" w:hAnsi="Arial" w:cs="Arial"/>
                <w:b w:val="0"/>
                <w:bCs w:val="0"/>
                <w:color w:val="000000"/>
                <w:sz w:val="20"/>
                <w:szCs w:val="22"/>
              </w:rPr>
            </w:pPr>
          </w:p>
          <w:p w:rsidR="009D7C54" w:rsidRPr="00E4642A" w:rsidRDefault="009D7C54" w:rsidP="009D7C54">
            <w:pPr>
              <w:pStyle w:val="Heading2"/>
              <w:spacing w:before="0"/>
              <w:jc w:val="center"/>
              <w:rPr>
                <w:rFonts w:ascii="Arial" w:hAnsi="Arial" w:cs="Arial"/>
                <w:b w:val="0"/>
                <w:bCs w:val="0"/>
                <w:color w:val="000000"/>
                <w:sz w:val="20"/>
                <w:szCs w:val="22"/>
              </w:rPr>
            </w:pPr>
            <w:r w:rsidRPr="00E4642A">
              <w:rPr>
                <w:rFonts w:ascii="Arial" w:hAnsi="Arial" w:cs="Arial"/>
                <w:b w:val="0"/>
                <w:bCs w:val="0"/>
                <w:color w:val="000000"/>
                <w:sz w:val="20"/>
                <w:szCs w:val="22"/>
              </w:rPr>
              <w:t>2</w:t>
            </w:r>
          </w:p>
          <w:p w:rsidR="009D7C54" w:rsidRPr="00E4642A" w:rsidRDefault="009D7C54" w:rsidP="009D7C54">
            <w:pPr>
              <w:pStyle w:val="Heading2"/>
              <w:spacing w:before="0"/>
              <w:jc w:val="center"/>
              <w:rPr>
                <w:rFonts w:ascii="Arial" w:hAnsi="Arial" w:cs="Arial"/>
                <w:b w:val="0"/>
                <w:bCs w:val="0"/>
                <w:color w:val="000000"/>
                <w:sz w:val="20"/>
                <w:szCs w:val="22"/>
              </w:rPr>
            </w:pPr>
          </w:p>
          <w:p w:rsidR="009D7C54" w:rsidRPr="00E4642A" w:rsidRDefault="009D7C54" w:rsidP="009D7C54">
            <w:pPr>
              <w:pStyle w:val="Heading2"/>
              <w:spacing w:before="0"/>
              <w:jc w:val="center"/>
              <w:rPr>
                <w:rFonts w:ascii="Arial" w:hAnsi="Arial" w:cs="Arial"/>
                <w:b w:val="0"/>
                <w:bCs w:val="0"/>
                <w:color w:val="000000"/>
                <w:sz w:val="20"/>
                <w:szCs w:val="22"/>
              </w:rPr>
            </w:pPr>
          </w:p>
          <w:p w:rsidR="009D7C54" w:rsidRPr="00E4642A" w:rsidRDefault="009D7C54" w:rsidP="009D7C54">
            <w:pPr>
              <w:pStyle w:val="Heading2"/>
              <w:spacing w:before="0"/>
              <w:jc w:val="center"/>
              <w:rPr>
                <w:rFonts w:ascii="Arial" w:hAnsi="Arial" w:cs="Arial"/>
                <w:b w:val="0"/>
                <w:bCs w:val="0"/>
                <w:color w:val="000000"/>
                <w:sz w:val="20"/>
                <w:szCs w:val="22"/>
              </w:rPr>
            </w:pPr>
            <w:r w:rsidRPr="00E4642A">
              <w:rPr>
                <w:rFonts w:ascii="Arial" w:hAnsi="Arial" w:cs="Arial"/>
                <w:b w:val="0"/>
                <w:bCs w:val="0"/>
                <w:color w:val="000000"/>
                <w:sz w:val="20"/>
                <w:szCs w:val="22"/>
              </w:rPr>
              <w:t>5</w:t>
            </w:r>
          </w:p>
          <w:p w:rsidR="009D7C54" w:rsidRPr="00E4642A" w:rsidRDefault="009D7C54" w:rsidP="009D7C54">
            <w:pPr>
              <w:pStyle w:val="Heading2"/>
              <w:spacing w:before="0"/>
              <w:jc w:val="center"/>
              <w:rPr>
                <w:rFonts w:ascii="Arial" w:hAnsi="Arial" w:cs="Arial"/>
                <w:b w:val="0"/>
                <w:bCs w:val="0"/>
                <w:color w:val="000000"/>
                <w:sz w:val="20"/>
                <w:szCs w:val="22"/>
              </w:rPr>
            </w:pPr>
          </w:p>
          <w:p w:rsidR="009D7C54" w:rsidRPr="00E4642A" w:rsidRDefault="009D7C54" w:rsidP="009D7C54">
            <w:pPr>
              <w:pStyle w:val="Heading2"/>
              <w:spacing w:before="0"/>
              <w:jc w:val="center"/>
              <w:rPr>
                <w:rFonts w:ascii="Arial" w:hAnsi="Arial" w:cs="Arial"/>
                <w:b w:val="0"/>
                <w:bCs w:val="0"/>
                <w:color w:val="000000"/>
                <w:sz w:val="20"/>
                <w:szCs w:val="22"/>
              </w:rPr>
            </w:pPr>
          </w:p>
          <w:p w:rsidR="009D7C54" w:rsidRPr="00E4642A" w:rsidRDefault="009D7C54" w:rsidP="009D7C54">
            <w:pPr>
              <w:pStyle w:val="Heading2"/>
              <w:spacing w:before="0"/>
              <w:jc w:val="center"/>
              <w:rPr>
                <w:rFonts w:ascii="Arial" w:hAnsi="Arial" w:cs="Arial"/>
                <w:b w:val="0"/>
                <w:bCs w:val="0"/>
                <w:color w:val="000000"/>
                <w:sz w:val="2"/>
                <w:szCs w:val="22"/>
              </w:rPr>
            </w:pPr>
          </w:p>
          <w:p w:rsidR="009D7C54" w:rsidRPr="00E4642A" w:rsidRDefault="009D7C54" w:rsidP="009D7C54">
            <w:pPr>
              <w:pStyle w:val="Heading2"/>
              <w:spacing w:before="0"/>
              <w:rPr>
                <w:rFonts w:ascii="Arial" w:hAnsi="Arial" w:cs="Arial"/>
                <w:b w:val="0"/>
                <w:bCs w:val="0"/>
                <w:color w:val="000000"/>
                <w:sz w:val="20"/>
                <w:szCs w:val="22"/>
              </w:rPr>
            </w:pPr>
          </w:p>
          <w:p w:rsidR="009D7C54" w:rsidRPr="00E4642A" w:rsidRDefault="009D7C54" w:rsidP="009D7C54">
            <w:pPr>
              <w:pStyle w:val="Heading2"/>
              <w:spacing w:before="0"/>
              <w:jc w:val="center"/>
              <w:rPr>
                <w:rFonts w:ascii="Arial" w:hAnsi="Arial" w:cs="Arial"/>
                <w:b w:val="0"/>
                <w:bCs w:val="0"/>
                <w:color w:val="000000"/>
                <w:sz w:val="20"/>
                <w:szCs w:val="22"/>
              </w:rPr>
            </w:pPr>
            <w:r w:rsidRPr="00E4642A">
              <w:rPr>
                <w:rFonts w:ascii="Arial" w:hAnsi="Arial" w:cs="Arial"/>
                <w:b w:val="0"/>
                <w:bCs w:val="0"/>
                <w:color w:val="000000"/>
                <w:sz w:val="20"/>
                <w:szCs w:val="22"/>
              </w:rPr>
              <w:t>0</w:t>
            </w:r>
          </w:p>
          <w:p w:rsidR="009D7C54" w:rsidRPr="00E4642A" w:rsidRDefault="009D7C54" w:rsidP="009D7C54">
            <w:pPr>
              <w:pStyle w:val="Heading2"/>
              <w:spacing w:before="0"/>
              <w:jc w:val="center"/>
              <w:rPr>
                <w:rFonts w:ascii="Arial" w:hAnsi="Arial" w:cs="Arial"/>
                <w:b w:val="0"/>
                <w:bCs w:val="0"/>
                <w:color w:val="000000"/>
                <w:sz w:val="20"/>
                <w:szCs w:val="22"/>
              </w:rPr>
            </w:pPr>
          </w:p>
          <w:p w:rsidR="009D7C54" w:rsidRPr="00E4642A" w:rsidRDefault="009D7C54" w:rsidP="009D7C54">
            <w:pPr>
              <w:pStyle w:val="Heading2"/>
              <w:spacing w:before="0"/>
              <w:jc w:val="center"/>
              <w:rPr>
                <w:rFonts w:ascii="Arial" w:hAnsi="Arial" w:cs="Arial"/>
                <w:b w:val="0"/>
                <w:bCs w:val="0"/>
                <w:color w:val="000000"/>
                <w:sz w:val="20"/>
                <w:szCs w:val="22"/>
              </w:rPr>
            </w:pPr>
          </w:p>
          <w:p w:rsidR="009D7C54" w:rsidRPr="006A164E" w:rsidRDefault="009D7C54" w:rsidP="009D7C54">
            <w:pPr>
              <w:pStyle w:val="Heading2"/>
              <w:spacing w:before="0"/>
              <w:jc w:val="center"/>
              <w:rPr>
                <w:rFonts w:ascii="Arial" w:hAnsi="Arial" w:cs="Arial"/>
                <w:b w:val="0"/>
                <w:bCs w:val="0"/>
                <w:color w:val="000000"/>
                <w:sz w:val="2"/>
                <w:szCs w:val="22"/>
              </w:rPr>
            </w:pPr>
          </w:p>
          <w:p w:rsidR="009D7C54" w:rsidRPr="00E4642A" w:rsidRDefault="009D7C54" w:rsidP="009D7C54">
            <w:pPr>
              <w:pStyle w:val="Heading2"/>
              <w:spacing w:before="0"/>
              <w:jc w:val="center"/>
              <w:rPr>
                <w:rFonts w:ascii="Arial" w:hAnsi="Arial" w:cs="Arial"/>
                <w:bCs w:val="0"/>
                <w:color w:val="000000"/>
                <w:sz w:val="22"/>
                <w:szCs w:val="22"/>
              </w:rPr>
            </w:pPr>
            <w:r w:rsidRPr="00E4642A">
              <w:rPr>
                <w:rFonts w:ascii="Arial" w:hAnsi="Arial" w:cs="Arial"/>
                <w:b w:val="0"/>
                <w:bCs w:val="0"/>
                <w:color w:val="000000"/>
                <w:sz w:val="20"/>
                <w:szCs w:val="22"/>
              </w:rPr>
              <w:t>39</w:t>
            </w:r>
          </w:p>
        </w:tc>
      </w:tr>
    </w:tbl>
    <w:p w:rsidR="00DD0211" w:rsidRDefault="00DD0211" w:rsidP="00DD0211">
      <w:pPr>
        <w:pStyle w:val="Heading2"/>
        <w:keepNext w:val="0"/>
        <w:keepLines w:val="0"/>
        <w:spacing w:before="0"/>
        <w:rPr>
          <w:rFonts w:ascii="Arial" w:hAnsi="Arial" w:cs="Arial"/>
          <w:bCs w:val="0"/>
          <w:color w:val="000000"/>
          <w:sz w:val="14"/>
          <w:szCs w:val="24"/>
        </w:rPr>
      </w:pPr>
    </w:p>
    <w:p w:rsidR="006A164E" w:rsidRDefault="006A164E" w:rsidP="006A164E">
      <w:pPr>
        <w:pStyle w:val="Heading2"/>
        <w:keepNext w:val="0"/>
        <w:keepLines w:val="0"/>
        <w:spacing w:before="0"/>
        <w:rPr>
          <w:rFonts w:ascii="Arial" w:hAnsi="Arial" w:cs="Arial"/>
          <w:b w:val="0"/>
          <w:color w:val="000000"/>
          <w:sz w:val="22"/>
          <w:szCs w:val="22"/>
        </w:rPr>
      </w:pPr>
      <w:r w:rsidRPr="00CA04DF">
        <w:rPr>
          <w:rFonts w:ascii="Arial" w:hAnsi="Arial" w:cs="Arial"/>
          <w:bCs w:val="0"/>
          <w:color w:val="000000"/>
          <w:sz w:val="22"/>
          <w:szCs w:val="22"/>
        </w:rPr>
        <w:t>c.</w:t>
      </w:r>
      <w:r w:rsidRPr="00CA04DF">
        <w:rPr>
          <w:rFonts w:ascii="Arial" w:hAnsi="Arial" w:cs="Arial"/>
          <w:b w:val="0"/>
          <w:bCs w:val="0"/>
          <w:color w:val="000000"/>
          <w:sz w:val="22"/>
          <w:szCs w:val="22"/>
        </w:rPr>
        <w:t xml:space="preserve">   The only one presentation without any explicit or implicit gender-related reference was </w:t>
      </w:r>
      <w:r w:rsidRPr="00CA04DF">
        <w:rPr>
          <w:rStyle w:val="small"/>
          <w:rFonts w:ascii="Arial" w:hAnsi="Arial" w:cs="Arial"/>
          <w:b w:val="0"/>
          <w:i/>
          <w:color w:val="000000"/>
          <w:sz w:val="22"/>
          <w:szCs w:val="22"/>
        </w:rPr>
        <w:t>“Partnership for Health Development”.</w:t>
      </w:r>
      <w:r w:rsidRPr="00CA04DF">
        <w:rPr>
          <w:rFonts w:ascii="Arial" w:hAnsi="Arial" w:cs="Arial"/>
          <w:b w:val="0"/>
          <w:color w:val="000000"/>
          <w:sz w:val="22"/>
          <w:szCs w:val="22"/>
        </w:rPr>
        <w:t xml:space="preserve"> This theme also happened to be the only one within PAHO’s official publication </w:t>
      </w:r>
      <w:r w:rsidRPr="00CA04DF">
        <w:rPr>
          <w:rFonts w:ascii="Arial" w:hAnsi="Arial" w:cs="Arial"/>
          <w:b w:val="0"/>
          <w:i/>
          <w:color w:val="000000"/>
          <w:sz w:val="22"/>
          <w:szCs w:val="22"/>
        </w:rPr>
        <w:t>Health in the Americas 2007</w:t>
      </w:r>
      <w:r>
        <w:rPr>
          <w:rFonts w:ascii="Arial" w:hAnsi="Arial" w:cs="Arial"/>
          <w:b w:val="0"/>
          <w:i/>
          <w:color w:val="000000"/>
          <w:sz w:val="22"/>
          <w:szCs w:val="22"/>
        </w:rPr>
        <w:t>,</w:t>
      </w:r>
      <w:r w:rsidRPr="00876DD5">
        <w:rPr>
          <w:sz w:val="22"/>
          <w:szCs w:val="22"/>
        </w:rPr>
        <w:t xml:space="preserve"> </w:t>
      </w:r>
      <w:r w:rsidRPr="00876DD5">
        <w:rPr>
          <w:color w:val="auto"/>
          <w:sz w:val="22"/>
          <w:szCs w:val="22"/>
        </w:rPr>
        <w:t>(</w:t>
      </w:r>
      <w:r w:rsidRPr="00CA04DF">
        <w:rPr>
          <w:rFonts w:ascii="Arial" w:hAnsi="Arial" w:cs="Arial"/>
          <w:b w:val="0"/>
          <w:color w:val="000000"/>
          <w:sz w:val="22"/>
          <w:szCs w:val="22"/>
        </w:rPr>
        <w:t>Chapter 5</w:t>
      </w:r>
      <w:r>
        <w:rPr>
          <w:rFonts w:ascii="Arial" w:hAnsi="Arial" w:cs="Arial"/>
          <w:b w:val="0"/>
          <w:color w:val="000000"/>
          <w:sz w:val="22"/>
          <w:szCs w:val="22"/>
        </w:rPr>
        <w:t xml:space="preserve">: </w:t>
      </w:r>
      <w:r w:rsidRPr="00876DD5">
        <w:rPr>
          <w:rFonts w:ascii="Arial" w:hAnsi="Arial" w:cs="Arial"/>
          <w:b w:val="0"/>
          <w:i/>
          <w:color w:val="auto"/>
          <w:sz w:val="22"/>
          <w:szCs w:val="22"/>
        </w:rPr>
        <w:t>Health and international cooperation</w:t>
      </w:r>
      <w:r w:rsidRPr="00CA04DF">
        <w:rPr>
          <w:rFonts w:ascii="Arial" w:hAnsi="Arial" w:cs="Arial"/>
          <w:b w:val="0"/>
          <w:color w:val="000000"/>
          <w:sz w:val="22"/>
          <w:szCs w:val="22"/>
        </w:rPr>
        <w:t xml:space="preserve">) which showed a total absence of gender-related statements. </w:t>
      </w:r>
    </w:p>
    <w:p w:rsidR="00DD0211" w:rsidRDefault="00DD0211" w:rsidP="00DD0211">
      <w:pPr>
        <w:pStyle w:val="Heading2"/>
        <w:keepNext w:val="0"/>
        <w:keepLines w:val="0"/>
        <w:spacing w:before="0"/>
        <w:rPr>
          <w:rFonts w:ascii="Arial" w:hAnsi="Arial" w:cs="Arial"/>
          <w:bCs w:val="0"/>
          <w:color w:val="000000"/>
          <w:sz w:val="14"/>
          <w:szCs w:val="24"/>
        </w:rPr>
      </w:pPr>
    </w:p>
    <w:p w:rsidR="00DD0211" w:rsidRDefault="00DD0211" w:rsidP="00DD0211">
      <w:pPr>
        <w:pStyle w:val="Heading2"/>
        <w:keepNext w:val="0"/>
        <w:keepLines w:val="0"/>
        <w:spacing w:before="0"/>
        <w:rPr>
          <w:rFonts w:ascii="Arial" w:hAnsi="Arial" w:cs="Arial"/>
          <w:bCs w:val="0"/>
          <w:color w:val="000000"/>
          <w:sz w:val="14"/>
          <w:szCs w:val="24"/>
        </w:rPr>
      </w:pPr>
    </w:p>
    <w:p w:rsidR="00764E5A" w:rsidRDefault="00764E5A" w:rsidP="00764E5A">
      <w:pPr>
        <w:pStyle w:val="Heading2"/>
        <w:keepNext w:val="0"/>
        <w:keepLines w:val="0"/>
        <w:spacing w:before="0"/>
        <w:rPr>
          <w:rFonts w:ascii="Arial" w:hAnsi="Arial" w:cs="Arial"/>
          <w:b w:val="0"/>
          <w:color w:val="000000"/>
          <w:sz w:val="22"/>
          <w:szCs w:val="22"/>
        </w:rPr>
      </w:pPr>
      <w:r>
        <w:rPr>
          <w:rFonts w:ascii="Arial" w:hAnsi="Arial" w:cs="Arial"/>
          <w:color w:val="000000"/>
          <w:sz w:val="22"/>
          <w:szCs w:val="22"/>
        </w:rPr>
        <w:t>d.</w:t>
      </w:r>
      <w:r>
        <w:rPr>
          <w:rFonts w:ascii="Arial" w:hAnsi="Arial" w:cs="Arial"/>
          <w:b w:val="0"/>
          <w:color w:val="000000"/>
          <w:sz w:val="22"/>
          <w:szCs w:val="22"/>
        </w:rPr>
        <w:t xml:space="preserve">  Explicit gender references often dealt with the MDG #3, covering notions of gender equality, gender equity, and women’s empowerment. The linking of gender equity to the MDG #3 was also observed in the Director’s preface to </w:t>
      </w:r>
      <w:r>
        <w:rPr>
          <w:rFonts w:ascii="Arial" w:hAnsi="Arial" w:cs="Arial"/>
          <w:b w:val="0"/>
          <w:i/>
          <w:color w:val="000000"/>
          <w:sz w:val="22"/>
          <w:szCs w:val="22"/>
        </w:rPr>
        <w:t>Health in the Americas 2007.</w:t>
      </w:r>
      <w:r>
        <w:rPr>
          <w:rFonts w:ascii="Arial" w:hAnsi="Arial" w:cs="Arial"/>
          <w:b w:val="0"/>
          <w:color w:val="000000"/>
          <w:sz w:val="22"/>
          <w:szCs w:val="22"/>
        </w:rPr>
        <w:t xml:space="preserve"> The equity emphasis—reaching disadvantaged groups— in the approach to gender </w:t>
      </w:r>
      <w:r w:rsidR="006A164E">
        <w:rPr>
          <w:rFonts w:ascii="Arial" w:hAnsi="Arial" w:cs="Arial"/>
          <w:b w:val="0"/>
          <w:color w:val="000000"/>
          <w:sz w:val="22"/>
          <w:szCs w:val="22"/>
        </w:rPr>
        <w:t xml:space="preserve">on her presentations </w:t>
      </w:r>
      <w:r>
        <w:rPr>
          <w:rFonts w:ascii="Arial" w:hAnsi="Arial" w:cs="Arial"/>
          <w:b w:val="0"/>
          <w:color w:val="000000"/>
          <w:sz w:val="22"/>
          <w:szCs w:val="22"/>
        </w:rPr>
        <w:t>was explicit in her references to applying a gender perspective to policies and in the strategic priority she assigned to women, particularly the poor and the young.  In this same context of equity, there were references underscoring the importance of producing sex-disaggregated data and indicators, and addressing women and men’s differential roles, needs, power and health outcomes.</w:t>
      </w:r>
    </w:p>
    <w:p w:rsidR="00764E5A" w:rsidRDefault="00764E5A" w:rsidP="00764E5A">
      <w:pPr>
        <w:pStyle w:val="Heading2"/>
        <w:keepNext w:val="0"/>
        <w:keepLines w:val="0"/>
        <w:spacing w:before="0"/>
        <w:rPr>
          <w:rFonts w:ascii="Arial" w:hAnsi="Arial" w:cs="Arial"/>
          <w:b w:val="0"/>
          <w:color w:val="000000"/>
          <w:sz w:val="22"/>
          <w:szCs w:val="22"/>
        </w:rPr>
      </w:pPr>
    </w:p>
    <w:p w:rsidR="00764E5A" w:rsidRPr="00764E5A" w:rsidRDefault="00764E5A" w:rsidP="00764E5A">
      <w:pPr>
        <w:rPr>
          <w:lang w:val="en-US"/>
        </w:rPr>
      </w:pPr>
    </w:p>
    <w:p w:rsidR="009D7C54" w:rsidRPr="00CA04DF" w:rsidRDefault="00DD0211" w:rsidP="00DD0211">
      <w:pPr>
        <w:pStyle w:val="Heading2"/>
        <w:keepNext w:val="0"/>
        <w:keepLines w:val="0"/>
        <w:spacing w:before="0"/>
        <w:rPr>
          <w:rFonts w:ascii="Arial" w:hAnsi="Arial" w:cs="Arial"/>
          <w:bCs w:val="0"/>
          <w:color w:val="000000"/>
          <w:sz w:val="24"/>
          <w:szCs w:val="24"/>
        </w:rPr>
      </w:pPr>
      <w:r w:rsidRPr="00CA04DF">
        <w:rPr>
          <w:rFonts w:ascii="Arial" w:hAnsi="Arial" w:cs="Arial"/>
          <w:bCs w:val="0"/>
          <w:color w:val="000000"/>
          <w:sz w:val="24"/>
          <w:szCs w:val="24"/>
        </w:rPr>
        <w:t xml:space="preserve">3.   </w:t>
      </w:r>
      <w:r w:rsidR="009D7C54" w:rsidRPr="00CA04DF">
        <w:rPr>
          <w:rFonts w:ascii="Arial" w:hAnsi="Arial" w:cs="Arial"/>
          <w:color w:val="000000"/>
          <w:sz w:val="24"/>
          <w:szCs w:val="24"/>
        </w:rPr>
        <w:t>Limitations of the analysis</w:t>
      </w:r>
    </w:p>
    <w:p w:rsidR="009D7C54" w:rsidRDefault="009D7C54" w:rsidP="009D7C54">
      <w:pPr>
        <w:pStyle w:val="Heading2"/>
        <w:keepNext w:val="0"/>
        <w:keepLines w:val="0"/>
        <w:spacing w:before="0"/>
        <w:rPr>
          <w:rFonts w:ascii="Arial" w:hAnsi="Arial" w:cs="Arial"/>
          <w:b w:val="0"/>
          <w:bCs w:val="0"/>
          <w:color w:val="000000"/>
          <w:sz w:val="22"/>
        </w:rPr>
      </w:pPr>
    </w:p>
    <w:p w:rsidR="001B1512" w:rsidRDefault="009D7C54" w:rsidP="009D7C54">
      <w:pPr>
        <w:pStyle w:val="Heading2"/>
        <w:keepNext w:val="0"/>
        <w:keepLines w:val="0"/>
        <w:spacing w:before="0"/>
        <w:rPr>
          <w:rFonts w:ascii="Arial" w:hAnsi="Arial" w:cs="Arial"/>
          <w:b w:val="0"/>
          <w:bCs w:val="0"/>
          <w:color w:val="000000"/>
          <w:sz w:val="22"/>
        </w:rPr>
      </w:pPr>
      <w:r>
        <w:rPr>
          <w:rFonts w:ascii="Arial" w:hAnsi="Arial" w:cs="Arial"/>
          <w:b w:val="0"/>
          <w:bCs w:val="0"/>
          <w:color w:val="000000"/>
          <w:sz w:val="22"/>
        </w:rPr>
        <w:t xml:space="preserve">A first limitation to this type of inquiry was the pool from which the sample was selected that referred only to those presentations available in the internet. A second limitation was imposed by the fact that the verbal discourse that normally accompanies the skeletal presentations in power-point slides could not be part of this analysis. </w:t>
      </w:r>
    </w:p>
    <w:p w:rsidR="001B1512" w:rsidRDefault="001B1512" w:rsidP="009D7C54">
      <w:pPr>
        <w:pStyle w:val="Heading2"/>
        <w:keepNext w:val="0"/>
        <w:keepLines w:val="0"/>
        <w:spacing w:before="0"/>
        <w:rPr>
          <w:rFonts w:ascii="Arial" w:hAnsi="Arial" w:cs="Arial"/>
          <w:b w:val="0"/>
          <w:bCs w:val="0"/>
          <w:color w:val="000000"/>
          <w:sz w:val="22"/>
        </w:rPr>
      </w:pPr>
    </w:p>
    <w:p w:rsidR="001B1512" w:rsidRDefault="009D7C54" w:rsidP="009D7C54">
      <w:pPr>
        <w:pStyle w:val="Heading2"/>
        <w:keepNext w:val="0"/>
        <w:keepLines w:val="0"/>
        <w:spacing w:before="0"/>
        <w:rPr>
          <w:rFonts w:ascii="Arial" w:hAnsi="Arial" w:cs="Arial"/>
          <w:b w:val="0"/>
          <w:color w:val="auto"/>
          <w:sz w:val="22"/>
          <w:szCs w:val="22"/>
        </w:rPr>
      </w:pPr>
      <w:r>
        <w:rPr>
          <w:rFonts w:ascii="Arial" w:hAnsi="Arial" w:cs="Arial"/>
          <w:b w:val="0"/>
          <w:bCs w:val="0"/>
          <w:color w:val="000000"/>
          <w:sz w:val="22"/>
        </w:rPr>
        <w:t xml:space="preserve">But a more significant limitation refers to the weakness of the indicator itself for measuring accountability from the Senior Management.   As already stated, this indicator </w:t>
      </w:r>
      <w:r>
        <w:rPr>
          <w:rFonts w:ascii="Arial" w:hAnsi="Arial" w:cs="Arial"/>
          <w:b w:val="0"/>
          <w:color w:val="auto"/>
          <w:sz w:val="22"/>
          <w:szCs w:val="22"/>
        </w:rPr>
        <w:t>only holds the very top l</w:t>
      </w:r>
      <w:r w:rsidR="006A164E">
        <w:rPr>
          <w:rFonts w:ascii="Arial" w:hAnsi="Arial" w:cs="Arial"/>
          <w:b w:val="0"/>
          <w:color w:val="auto"/>
          <w:sz w:val="22"/>
          <w:szCs w:val="22"/>
        </w:rPr>
        <w:t>evel of senior management (</w:t>
      </w:r>
      <w:r>
        <w:rPr>
          <w:rFonts w:ascii="Arial" w:hAnsi="Arial" w:cs="Arial"/>
          <w:b w:val="0"/>
          <w:color w:val="auto"/>
          <w:sz w:val="22"/>
          <w:szCs w:val="22"/>
        </w:rPr>
        <w:t xml:space="preserve">DG and RDs) accountable through speeches, but there is no measure to hold the next few layers of senior management accountable. </w:t>
      </w:r>
      <w:r w:rsidR="006A164E">
        <w:rPr>
          <w:rFonts w:ascii="Arial" w:hAnsi="Arial" w:cs="Arial"/>
          <w:b w:val="0"/>
          <w:color w:val="auto"/>
          <w:sz w:val="22"/>
          <w:szCs w:val="22"/>
        </w:rPr>
        <w:t>But t</w:t>
      </w:r>
      <w:r>
        <w:rPr>
          <w:rFonts w:ascii="Arial" w:hAnsi="Arial" w:cs="Arial"/>
          <w:b w:val="0"/>
          <w:color w:val="auto"/>
          <w:sz w:val="22"/>
          <w:szCs w:val="22"/>
        </w:rPr>
        <w:t xml:space="preserve">he absence of gender in some manager’s agendas was </w:t>
      </w:r>
      <w:r w:rsidR="005917AC">
        <w:rPr>
          <w:rFonts w:ascii="Arial" w:hAnsi="Arial" w:cs="Arial"/>
          <w:b w:val="0"/>
          <w:color w:val="auto"/>
          <w:sz w:val="22"/>
          <w:szCs w:val="22"/>
        </w:rPr>
        <w:t xml:space="preserve">indeed </w:t>
      </w:r>
      <w:r>
        <w:rPr>
          <w:rFonts w:ascii="Arial" w:hAnsi="Arial" w:cs="Arial"/>
          <w:b w:val="0"/>
          <w:color w:val="auto"/>
          <w:sz w:val="22"/>
          <w:szCs w:val="22"/>
        </w:rPr>
        <w:t>identified during the pla</w:t>
      </w:r>
      <w:r w:rsidR="001B1512">
        <w:rPr>
          <w:rFonts w:ascii="Arial" w:hAnsi="Arial" w:cs="Arial"/>
          <w:b w:val="0"/>
          <w:color w:val="auto"/>
          <w:sz w:val="22"/>
          <w:szCs w:val="22"/>
        </w:rPr>
        <w:t xml:space="preserve">nner’s interview as a </w:t>
      </w:r>
      <w:r w:rsidR="005917AC">
        <w:rPr>
          <w:rFonts w:ascii="Arial" w:hAnsi="Arial" w:cs="Arial"/>
          <w:b w:val="0"/>
          <w:color w:val="auto"/>
          <w:sz w:val="22"/>
          <w:szCs w:val="22"/>
        </w:rPr>
        <w:t xml:space="preserve">main </w:t>
      </w:r>
      <w:r w:rsidR="001B1512">
        <w:rPr>
          <w:rFonts w:ascii="Arial" w:hAnsi="Arial" w:cs="Arial"/>
          <w:b w:val="0"/>
          <w:color w:val="auto"/>
          <w:sz w:val="22"/>
          <w:szCs w:val="22"/>
        </w:rPr>
        <w:t xml:space="preserve">challenge to gender mainstreaming. </w:t>
      </w:r>
    </w:p>
    <w:p w:rsidR="001B1512" w:rsidRDefault="001B1512" w:rsidP="009D7C54">
      <w:pPr>
        <w:pStyle w:val="Heading2"/>
        <w:keepNext w:val="0"/>
        <w:keepLines w:val="0"/>
        <w:spacing w:before="0"/>
        <w:rPr>
          <w:rFonts w:ascii="Arial" w:hAnsi="Arial" w:cs="Arial"/>
          <w:b w:val="0"/>
          <w:color w:val="auto"/>
          <w:sz w:val="22"/>
          <w:szCs w:val="22"/>
        </w:rPr>
      </w:pPr>
    </w:p>
    <w:p w:rsidR="001B1512" w:rsidRDefault="001B1512" w:rsidP="001B1512">
      <w:pPr>
        <w:pStyle w:val="Heading2"/>
        <w:keepNext w:val="0"/>
        <w:keepLines w:val="0"/>
        <w:spacing w:before="0"/>
        <w:ind w:right="-180"/>
        <w:rPr>
          <w:rFonts w:ascii="Arial" w:hAnsi="Arial" w:cs="Arial"/>
          <w:b w:val="0"/>
          <w:bCs w:val="0"/>
          <w:color w:val="000000"/>
          <w:sz w:val="22"/>
        </w:rPr>
      </w:pPr>
      <w:r>
        <w:rPr>
          <w:rFonts w:ascii="Arial" w:hAnsi="Arial" w:cs="Arial"/>
          <w:b w:val="0"/>
          <w:color w:val="auto"/>
          <w:sz w:val="22"/>
          <w:szCs w:val="22"/>
        </w:rPr>
        <w:t>F</w:t>
      </w:r>
      <w:r w:rsidR="009D7C54">
        <w:rPr>
          <w:rFonts w:ascii="Arial" w:hAnsi="Arial" w:cs="Arial"/>
          <w:b w:val="0"/>
          <w:color w:val="auto"/>
          <w:sz w:val="22"/>
          <w:szCs w:val="22"/>
        </w:rPr>
        <w:t xml:space="preserve">urthermore, the </w:t>
      </w:r>
      <w:r w:rsidR="009D7C54">
        <w:rPr>
          <w:rFonts w:ascii="Arial" w:hAnsi="Arial" w:cs="Arial"/>
          <w:b w:val="0"/>
          <w:bCs w:val="0"/>
          <w:color w:val="000000"/>
          <w:sz w:val="22"/>
        </w:rPr>
        <w:t>integration of gender in the discourse, while necessary,</w:t>
      </w:r>
      <w:r>
        <w:rPr>
          <w:rFonts w:ascii="Arial" w:hAnsi="Arial" w:cs="Arial"/>
          <w:b w:val="0"/>
          <w:bCs w:val="0"/>
          <w:color w:val="000000"/>
          <w:sz w:val="22"/>
        </w:rPr>
        <w:t xml:space="preserve"> appears </w:t>
      </w:r>
      <w:r w:rsidR="009D7C54">
        <w:rPr>
          <w:rFonts w:ascii="Arial" w:hAnsi="Arial" w:cs="Arial"/>
          <w:b w:val="0"/>
          <w:bCs w:val="0"/>
          <w:color w:val="000000"/>
          <w:sz w:val="22"/>
        </w:rPr>
        <w:t xml:space="preserve">insufficient for the purpose of measuring commitment or establishing accountability because it does not deal with the ways in which words are translated into actions. </w:t>
      </w:r>
      <w:r>
        <w:rPr>
          <w:rFonts w:ascii="Arial" w:hAnsi="Arial" w:cs="Arial"/>
          <w:b w:val="0"/>
          <w:bCs w:val="0"/>
          <w:color w:val="000000"/>
          <w:sz w:val="22"/>
        </w:rPr>
        <w:t xml:space="preserve">In the context of the information collected by this study, </w:t>
      </w:r>
      <w:r w:rsidR="005917AC">
        <w:rPr>
          <w:rFonts w:ascii="Arial" w:hAnsi="Arial" w:cs="Arial"/>
          <w:b w:val="0"/>
          <w:bCs w:val="0"/>
          <w:color w:val="000000"/>
          <w:sz w:val="22"/>
        </w:rPr>
        <w:t xml:space="preserve">PAHO’s </w:t>
      </w:r>
      <w:r>
        <w:rPr>
          <w:rFonts w:ascii="Arial" w:hAnsi="Arial" w:cs="Arial"/>
          <w:b w:val="0"/>
          <w:bCs w:val="0"/>
          <w:color w:val="000000"/>
          <w:sz w:val="22"/>
        </w:rPr>
        <w:t xml:space="preserve">advancement in terms of sex parity </w:t>
      </w:r>
      <w:r w:rsidR="00AF2CE7">
        <w:rPr>
          <w:rFonts w:ascii="Arial" w:hAnsi="Arial" w:cs="Arial"/>
          <w:b w:val="0"/>
          <w:bCs w:val="0"/>
          <w:color w:val="000000"/>
          <w:sz w:val="22"/>
        </w:rPr>
        <w:t xml:space="preserve">policies </w:t>
      </w:r>
      <w:r>
        <w:rPr>
          <w:rFonts w:ascii="Arial" w:hAnsi="Arial" w:cs="Arial"/>
          <w:b w:val="0"/>
          <w:bCs w:val="0"/>
          <w:color w:val="000000"/>
          <w:sz w:val="22"/>
        </w:rPr>
        <w:t xml:space="preserve">in </w:t>
      </w:r>
      <w:r w:rsidR="00AF2CE7">
        <w:rPr>
          <w:rFonts w:ascii="Arial" w:hAnsi="Arial" w:cs="Arial"/>
          <w:b w:val="0"/>
          <w:bCs w:val="0"/>
          <w:color w:val="000000"/>
          <w:sz w:val="22"/>
        </w:rPr>
        <w:t xml:space="preserve">recruiting </w:t>
      </w:r>
      <w:r w:rsidR="006A164E">
        <w:rPr>
          <w:rFonts w:ascii="Arial" w:hAnsi="Arial" w:cs="Arial"/>
          <w:b w:val="0"/>
          <w:bCs w:val="0"/>
          <w:color w:val="000000"/>
          <w:sz w:val="22"/>
        </w:rPr>
        <w:t xml:space="preserve">could </w:t>
      </w:r>
      <w:r>
        <w:rPr>
          <w:rFonts w:ascii="Arial" w:hAnsi="Arial" w:cs="Arial"/>
          <w:b w:val="0"/>
          <w:bCs w:val="0"/>
          <w:color w:val="000000"/>
          <w:sz w:val="22"/>
        </w:rPr>
        <w:t>constitute one complementary indicator of the Director’s commitment</w:t>
      </w:r>
      <w:r w:rsidR="009D7C54">
        <w:rPr>
          <w:rFonts w:ascii="Arial" w:hAnsi="Arial" w:cs="Arial"/>
          <w:b w:val="0"/>
          <w:bCs w:val="0"/>
          <w:color w:val="000000"/>
          <w:sz w:val="22"/>
        </w:rPr>
        <w:t xml:space="preserve"> </w:t>
      </w:r>
      <w:r>
        <w:rPr>
          <w:rFonts w:ascii="Arial" w:hAnsi="Arial" w:cs="Arial"/>
          <w:b w:val="0"/>
          <w:bCs w:val="0"/>
          <w:color w:val="000000"/>
          <w:sz w:val="22"/>
        </w:rPr>
        <w:t xml:space="preserve">to gender equality. Other indirect measures </w:t>
      </w:r>
      <w:r w:rsidR="00AF2CE7">
        <w:rPr>
          <w:rFonts w:ascii="Arial" w:hAnsi="Arial" w:cs="Arial"/>
          <w:b w:val="0"/>
          <w:bCs w:val="0"/>
          <w:color w:val="000000"/>
          <w:sz w:val="22"/>
        </w:rPr>
        <w:t xml:space="preserve">could have been </w:t>
      </w:r>
      <w:r>
        <w:rPr>
          <w:rFonts w:ascii="Arial" w:hAnsi="Arial" w:cs="Arial"/>
          <w:b w:val="0"/>
          <w:bCs w:val="0"/>
          <w:color w:val="000000"/>
          <w:sz w:val="22"/>
        </w:rPr>
        <w:t>the plan</w:t>
      </w:r>
      <w:r w:rsidR="005917AC">
        <w:rPr>
          <w:rFonts w:ascii="Arial" w:hAnsi="Arial" w:cs="Arial"/>
          <w:b w:val="0"/>
          <w:bCs w:val="0"/>
          <w:color w:val="000000"/>
          <w:sz w:val="22"/>
        </w:rPr>
        <w:t xml:space="preserve">ning focal points responses qualifying </w:t>
      </w:r>
      <w:r>
        <w:rPr>
          <w:rFonts w:ascii="Arial" w:hAnsi="Arial" w:cs="Arial"/>
          <w:b w:val="0"/>
          <w:bCs w:val="0"/>
          <w:color w:val="000000"/>
          <w:sz w:val="22"/>
        </w:rPr>
        <w:t xml:space="preserve">the Director’s support </w:t>
      </w:r>
      <w:r w:rsidR="005917AC">
        <w:rPr>
          <w:rFonts w:ascii="Arial" w:hAnsi="Arial" w:cs="Arial"/>
          <w:b w:val="0"/>
          <w:bCs w:val="0"/>
          <w:color w:val="000000"/>
          <w:sz w:val="22"/>
        </w:rPr>
        <w:t>as the key facilitating factor to gender integration</w:t>
      </w:r>
      <w:r>
        <w:rPr>
          <w:rFonts w:ascii="Arial" w:hAnsi="Arial" w:cs="Arial"/>
          <w:b w:val="0"/>
          <w:bCs w:val="0"/>
          <w:color w:val="000000"/>
          <w:sz w:val="22"/>
        </w:rPr>
        <w:t xml:space="preserve">.  </w:t>
      </w:r>
    </w:p>
    <w:p w:rsidR="001B1512" w:rsidRDefault="001B1512" w:rsidP="009D7C54">
      <w:pPr>
        <w:pStyle w:val="Heading2"/>
        <w:keepNext w:val="0"/>
        <w:keepLines w:val="0"/>
        <w:spacing w:before="0"/>
        <w:rPr>
          <w:rFonts w:ascii="Arial" w:hAnsi="Arial" w:cs="Arial"/>
          <w:b w:val="0"/>
          <w:bCs w:val="0"/>
          <w:color w:val="000000"/>
          <w:sz w:val="22"/>
        </w:rPr>
      </w:pPr>
    </w:p>
    <w:p w:rsidR="009D7C54" w:rsidRDefault="009D7C54" w:rsidP="009D7C54">
      <w:pPr>
        <w:pStyle w:val="Heading2"/>
        <w:keepNext w:val="0"/>
        <w:keepLines w:val="0"/>
        <w:spacing w:before="0"/>
        <w:rPr>
          <w:rFonts w:ascii="Arial" w:hAnsi="Arial" w:cs="Arial"/>
          <w:b w:val="0"/>
          <w:color w:val="000000"/>
          <w:sz w:val="22"/>
          <w:szCs w:val="36"/>
        </w:rPr>
      </w:pPr>
      <w:r>
        <w:rPr>
          <w:rFonts w:ascii="Arial" w:hAnsi="Arial" w:cs="Arial"/>
          <w:b w:val="0"/>
          <w:bCs w:val="0"/>
          <w:color w:val="000000"/>
          <w:sz w:val="22"/>
        </w:rPr>
        <w:t xml:space="preserve">A final note in this respect alludes to the fact that if documents are taken as indicators of commitment to Gender Equality, the most relevant and significant for </w:t>
      </w:r>
      <w:r w:rsidR="001B1512">
        <w:rPr>
          <w:rFonts w:ascii="Arial" w:hAnsi="Arial" w:cs="Arial"/>
          <w:b w:val="0"/>
          <w:bCs w:val="0"/>
          <w:color w:val="000000"/>
          <w:sz w:val="22"/>
        </w:rPr>
        <w:t xml:space="preserve">this Region is </w:t>
      </w:r>
      <w:r>
        <w:rPr>
          <w:rFonts w:ascii="Arial" w:hAnsi="Arial" w:cs="Arial"/>
          <w:b w:val="0"/>
          <w:bCs w:val="0"/>
          <w:color w:val="000000"/>
          <w:sz w:val="22"/>
        </w:rPr>
        <w:t xml:space="preserve">the PAHO Gender Equality Policy (2005), first approved by the Director, Dr. Mirta Roses, who subsequently led the process that resulted in the official approval of this policy by </w:t>
      </w:r>
      <w:r w:rsidR="005917AC">
        <w:rPr>
          <w:rFonts w:ascii="Arial" w:hAnsi="Arial" w:cs="Arial"/>
          <w:b w:val="0"/>
          <w:bCs w:val="0"/>
          <w:color w:val="000000"/>
          <w:sz w:val="22"/>
        </w:rPr>
        <w:t xml:space="preserve">the </w:t>
      </w:r>
      <w:r>
        <w:rPr>
          <w:rFonts w:ascii="Arial" w:hAnsi="Arial" w:cs="Arial"/>
          <w:b w:val="0"/>
          <w:bCs w:val="0"/>
          <w:color w:val="000000"/>
          <w:sz w:val="22"/>
        </w:rPr>
        <w:t xml:space="preserve">PAHO Governing Bodies. </w:t>
      </w:r>
    </w:p>
    <w:p w:rsidR="00F10089" w:rsidRDefault="00F10089">
      <w:pPr>
        <w:rPr>
          <w:lang w:val="en-US"/>
        </w:rPr>
      </w:pPr>
      <w:r>
        <w:rPr>
          <w:lang w:val="en-US"/>
        </w:rPr>
        <w:br w:type="page"/>
      </w:r>
    </w:p>
    <w:p w:rsidR="009571FA" w:rsidRDefault="009571FA" w:rsidP="00734B13">
      <w:pPr>
        <w:rPr>
          <w:b/>
          <w:color w:val="000000"/>
          <w:sz w:val="28"/>
          <w:lang w:val="en-US"/>
        </w:rPr>
      </w:pPr>
      <w:r w:rsidRPr="00340006">
        <w:rPr>
          <w:b/>
          <w:color w:val="000000"/>
          <w:sz w:val="28"/>
          <w:lang w:val="en-US"/>
        </w:rPr>
        <w:t>IV. SUMMARY AND DISCUSSION</w:t>
      </w:r>
    </w:p>
    <w:p w:rsidR="009571FA" w:rsidRDefault="009571FA" w:rsidP="00734B13">
      <w:pPr>
        <w:rPr>
          <w:b/>
          <w:color w:val="000000"/>
          <w:sz w:val="28"/>
          <w:lang w:val="en-US"/>
        </w:rPr>
      </w:pPr>
    </w:p>
    <w:p w:rsidR="009571FA" w:rsidRDefault="009571FA" w:rsidP="00340006">
      <w:pPr>
        <w:rPr>
          <w:rFonts w:cs="Arial"/>
          <w:bCs/>
          <w:sz w:val="22"/>
          <w:szCs w:val="22"/>
        </w:rPr>
      </w:pPr>
      <w:r>
        <w:rPr>
          <w:rFonts w:cs="Arial"/>
          <w:sz w:val="22"/>
          <w:szCs w:val="22"/>
        </w:rPr>
        <w:t xml:space="preserve">The purpose of this baseline assessment was to determine the current status for implementing the four strategic directions (SD) of the WHO Gender Strategy (2008-2013) and, in the PAHO’s case, the Gender Equality Policy </w:t>
      </w:r>
      <w:r w:rsidR="00AD6F1B">
        <w:rPr>
          <w:rFonts w:cs="Arial"/>
          <w:sz w:val="22"/>
          <w:szCs w:val="22"/>
        </w:rPr>
        <w:t xml:space="preserve">and </w:t>
      </w:r>
      <w:r>
        <w:rPr>
          <w:rFonts w:cs="Arial"/>
          <w:sz w:val="22"/>
          <w:szCs w:val="22"/>
        </w:rPr>
        <w:t xml:space="preserve">Action Plan </w:t>
      </w:r>
      <w:r w:rsidR="00AD6F1B">
        <w:rPr>
          <w:rFonts w:cs="Arial"/>
          <w:sz w:val="22"/>
          <w:szCs w:val="22"/>
        </w:rPr>
        <w:t>(2009</w:t>
      </w:r>
      <w:r w:rsidRPr="00446BC4">
        <w:rPr>
          <w:rFonts w:cs="Arial"/>
          <w:sz w:val="22"/>
          <w:szCs w:val="22"/>
        </w:rPr>
        <w:t>-201</w:t>
      </w:r>
      <w:r w:rsidR="007134F9">
        <w:rPr>
          <w:rFonts w:cs="Arial"/>
          <w:sz w:val="22"/>
          <w:szCs w:val="22"/>
        </w:rPr>
        <w:t>2</w:t>
      </w:r>
      <w:r w:rsidRPr="00446BC4">
        <w:rPr>
          <w:rFonts w:cs="Arial"/>
          <w:sz w:val="22"/>
          <w:szCs w:val="22"/>
        </w:rPr>
        <w:t>);</w:t>
      </w:r>
      <w:r>
        <w:rPr>
          <w:rFonts w:cs="Arial"/>
          <w:sz w:val="22"/>
          <w:szCs w:val="22"/>
        </w:rPr>
        <w:t xml:space="preserve"> and by so doing, to </w:t>
      </w:r>
      <w:r w:rsidRPr="0009013A">
        <w:rPr>
          <w:rFonts w:cs="Arial"/>
          <w:sz w:val="22"/>
          <w:szCs w:val="22"/>
        </w:rPr>
        <w:t xml:space="preserve">contribute to identify actions needed to strengthen the implementation of the </w:t>
      </w:r>
      <w:r>
        <w:rPr>
          <w:rFonts w:cs="Arial"/>
          <w:sz w:val="22"/>
          <w:szCs w:val="22"/>
        </w:rPr>
        <w:t xml:space="preserve">WHO </w:t>
      </w:r>
      <w:r w:rsidRPr="0009013A">
        <w:rPr>
          <w:rFonts w:cs="Arial"/>
          <w:sz w:val="22"/>
          <w:szCs w:val="22"/>
        </w:rPr>
        <w:t>Gender Strategy and the PAHO Gender Equality Policy.</w:t>
      </w:r>
      <w:r>
        <w:rPr>
          <w:rFonts w:cs="Arial"/>
          <w:sz w:val="22"/>
          <w:szCs w:val="22"/>
        </w:rPr>
        <w:t xml:space="preserve">  Its specific objectives were: </w:t>
      </w:r>
      <w:r w:rsidRPr="0009013A">
        <w:rPr>
          <w:rFonts w:cs="Arial"/>
          <w:i/>
          <w:sz w:val="22"/>
          <w:szCs w:val="22"/>
        </w:rPr>
        <w:t>First,</w:t>
      </w:r>
      <w:r>
        <w:rPr>
          <w:rFonts w:cs="Arial"/>
          <w:sz w:val="22"/>
          <w:szCs w:val="22"/>
        </w:rPr>
        <w:t xml:space="preserve"> to assess the institution wide capacity for gender analysis and actions (SD1). </w:t>
      </w:r>
      <w:r w:rsidRPr="0009013A">
        <w:rPr>
          <w:rFonts w:cs="Arial"/>
          <w:i/>
          <w:sz w:val="22"/>
          <w:szCs w:val="22"/>
        </w:rPr>
        <w:t>Second,</w:t>
      </w:r>
      <w:r>
        <w:rPr>
          <w:rFonts w:cs="Arial"/>
          <w:sz w:val="22"/>
          <w:szCs w:val="22"/>
        </w:rPr>
        <w:t xml:space="preserve"> to gauge the extent to which PAHO/WHO’s management has integrated gender (SD2) in: strategic and operational planning and programme cycle processes; </w:t>
      </w:r>
      <w:r>
        <w:rPr>
          <w:rFonts w:cs="Arial"/>
          <w:bCs/>
          <w:sz w:val="22"/>
          <w:szCs w:val="22"/>
        </w:rPr>
        <w:t xml:space="preserve">Country Cooperation Strategy (CCS) documents and country work plans; </w:t>
      </w:r>
      <w:r>
        <w:rPr>
          <w:rFonts w:cs="Arial"/>
          <w:sz w:val="22"/>
          <w:szCs w:val="22"/>
        </w:rPr>
        <w:t xml:space="preserve">and achievement of sex parity in staffing in 2007. </w:t>
      </w:r>
      <w:r w:rsidRPr="0009013A">
        <w:rPr>
          <w:rFonts w:cs="Arial"/>
          <w:i/>
          <w:sz w:val="22"/>
          <w:szCs w:val="22"/>
        </w:rPr>
        <w:t>Third,</w:t>
      </w:r>
      <w:r>
        <w:rPr>
          <w:rFonts w:cs="Arial"/>
          <w:sz w:val="22"/>
          <w:szCs w:val="22"/>
        </w:rPr>
        <w:t xml:space="preserve"> to map the extent to which key PAHO/WHO publications promote and use sex disaggregated data (SDD) and gender analysis (SD3). </w:t>
      </w:r>
      <w:r w:rsidRPr="00004EC9">
        <w:rPr>
          <w:rFonts w:cs="Arial"/>
          <w:i/>
          <w:sz w:val="22"/>
          <w:szCs w:val="22"/>
        </w:rPr>
        <w:t>Fourth</w:t>
      </w:r>
      <w:r>
        <w:rPr>
          <w:rFonts w:cs="Arial"/>
          <w:sz w:val="22"/>
          <w:szCs w:val="22"/>
        </w:rPr>
        <w:t>, to</w:t>
      </w:r>
      <w:r>
        <w:rPr>
          <w:rFonts w:cs="Arial"/>
          <w:bCs/>
          <w:sz w:val="22"/>
          <w:szCs w:val="22"/>
        </w:rPr>
        <w:t xml:space="preserve"> assess Senior Management (Director General/Regional Directors) commitment to promot</w:t>
      </w:r>
      <w:r w:rsidR="002B396E">
        <w:rPr>
          <w:rFonts w:cs="Arial"/>
          <w:bCs/>
          <w:sz w:val="22"/>
          <w:szCs w:val="22"/>
        </w:rPr>
        <w:t>ing g</w:t>
      </w:r>
      <w:r>
        <w:rPr>
          <w:rFonts w:cs="Arial"/>
          <w:bCs/>
          <w:sz w:val="22"/>
          <w:szCs w:val="22"/>
        </w:rPr>
        <w:t>ender equality (SD4).</w:t>
      </w:r>
    </w:p>
    <w:p w:rsidR="009571FA" w:rsidRDefault="009571FA" w:rsidP="00893ACD">
      <w:pPr>
        <w:rPr>
          <w:rFonts w:cs="Arial"/>
          <w:sz w:val="22"/>
          <w:szCs w:val="22"/>
        </w:rPr>
      </w:pPr>
    </w:p>
    <w:p w:rsidR="009571FA" w:rsidRPr="001F7AB8" w:rsidRDefault="009571FA" w:rsidP="00734B13">
      <w:pPr>
        <w:rPr>
          <w:sz w:val="22"/>
          <w:lang w:val="en-US"/>
        </w:rPr>
      </w:pPr>
      <w:r>
        <w:rPr>
          <w:rFonts w:cs="Arial"/>
          <w:sz w:val="22"/>
          <w:szCs w:val="22"/>
        </w:rPr>
        <w:t xml:space="preserve">The methodology shared by all WHO Regions employed a mix of qualitative and quantitative methods including an all staff survey, interviews with planning focal points from selected departments, and content analysis of </w:t>
      </w:r>
      <w:r w:rsidR="005917AC">
        <w:rPr>
          <w:rFonts w:cs="Arial"/>
          <w:sz w:val="22"/>
          <w:szCs w:val="22"/>
        </w:rPr>
        <w:t xml:space="preserve">various types of </w:t>
      </w:r>
      <w:r w:rsidR="007134F9">
        <w:rPr>
          <w:rFonts w:cs="Arial"/>
          <w:sz w:val="22"/>
          <w:szCs w:val="22"/>
        </w:rPr>
        <w:t xml:space="preserve">documents: </w:t>
      </w:r>
      <w:r>
        <w:rPr>
          <w:rFonts w:cs="Arial"/>
          <w:sz w:val="22"/>
          <w:szCs w:val="22"/>
        </w:rPr>
        <w:t>Country Cooperation Strateg</w:t>
      </w:r>
      <w:r w:rsidR="007134F9">
        <w:rPr>
          <w:rFonts w:cs="Arial"/>
          <w:sz w:val="22"/>
          <w:szCs w:val="22"/>
        </w:rPr>
        <w:t>ies</w:t>
      </w:r>
      <w:r>
        <w:rPr>
          <w:rFonts w:cs="Arial"/>
          <w:sz w:val="22"/>
          <w:szCs w:val="22"/>
        </w:rPr>
        <w:t>, Country Work Plans, key PAHO/WHO publications</w:t>
      </w:r>
      <w:r w:rsidR="007134F9">
        <w:rPr>
          <w:rFonts w:cs="Arial"/>
          <w:sz w:val="22"/>
          <w:szCs w:val="22"/>
        </w:rPr>
        <w:t xml:space="preserve">, </w:t>
      </w:r>
      <w:r>
        <w:rPr>
          <w:rFonts w:cs="Arial"/>
          <w:sz w:val="22"/>
          <w:szCs w:val="22"/>
        </w:rPr>
        <w:t>and Director’s speeches.</w:t>
      </w:r>
      <w:r>
        <w:rPr>
          <w:bCs/>
          <w:sz w:val="22"/>
        </w:rPr>
        <w:t xml:space="preserve"> </w:t>
      </w:r>
      <w:r w:rsidR="005917AC">
        <w:rPr>
          <w:bCs/>
          <w:sz w:val="22"/>
        </w:rPr>
        <w:t>T</w:t>
      </w:r>
      <w:r>
        <w:rPr>
          <w:bCs/>
          <w:sz w:val="22"/>
        </w:rPr>
        <w:t xml:space="preserve">he following </w:t>
      </w:r>
      <w:r w:rsidR="007134F9">
        <w:rPr>
          <w:bCs/>
          <w:sz w:val="22"/>
        </w:rPr>
        <w:t xml:space="preserve">is a summary of </w:t>
      </w:r>
      <w:r>
        <w:rPr>
          <w:bCs/>
          <w:sz w:val="22"/>
        </w:rPr>
        <w:t xml:space="preserve">the main results </w:t>
      </w:r>
      <w:r w:rsidR="007134F9">
        <w:rPr>
          <w:bCs/>
          <w:sz w:val="22"/>
        </w:rPr>
        <w:t>yielded by th</w:t>
      </w:r>
      <w:r w:rsidR="005917AC">
        <w:rPr>
          <w:bCs/>
          <w:sz w:val="22"/>
        </w:rPr>
        <w:t>is assessment in PAHO:</w:t>
      </w:r>
      <w:r>
        <w:rPr>
          <w:sz w:val="22"/>
          <w:lang w:val="en-US"/>
        </w:rPr>
        <w:t xml:space="preserve"> </w:t>
      </w:r>
      <w:r w:rsidRPr="001F7AB8">
        <w:rPr>
          <w:sz w:val="22"/>
          <w:lang w:val="en-US"/>
        </w:rPr>
        <w:t xml:space="preserve"> </w:t>
      </w:r>
    </w:p>
    <w:p w:rsidR="009571FA" w:rsidRPr="00D60334" w:rsidRDefault="009571FA" w:rsidP="00734B13">
      <w:pPr>
        <w:rPr>
          <w:b/>
          <w:i/>
          <w:lang w:val="en-US"/>
        </w:rPr>
      </w:pPr>
    </w:p>
    <w:p w:rsidR="009571FA" w:rsidRPr="002C272C" w:rsidRDefault="009571FA" w:rsidP="00011EC5">
      <w:pPr>
        <w:rPr>
          <w:rFonts w:cs="Arial"/>
          <w:b/>
          <w:sz w:val="24"/>
          <w:szCs w:val="22"/>
        </w:rPr>
      </w:pPr>
      <w:r w:rsidRPr="002C272C">
        <w:rPr>
          <w:rFonts w:cs="Arial"/>
          <w:b/>
          <w:sz w:val="24"/>
          <w:szCs w:val="22"/>
        </w:rPr>
        <w:t>1.  Building the capacity for gender analysis and planning</w:t>
      </w:r>
      <w:r>
        <w:rPr>
          <w:rFonts w:cs="Arial"/>
          <w:b/>
          <w:sz w:val="24"/>
          <w:szCs w:val="22"/>
        </w:rPr>
        <w:t xml:space="preserve"> (SD1)</w:t>
      </w:r>
    </w:p>
    <w:p w:rsidR="009571FA" w:rsidRPr="003669D7" w:rsidRDefault="009571FA" w:rsidP="00734B13">
      <w:pPr>
        <w:rPr>
          <w:b/>
          <w:color w:val="000000"/>
          <w:sz w:val="16"/>
        </w:rPr>
      </w:pPr>
    </w:p>
    <w:p w:rsidR="009571FA" w:rsidRDefault="009571FA" w:rsidP="00AC129A">
      <w:pPr>
        <w:jc w:val="both"/>
        <w:rPr>
          <w:color w:val="000000"/>
          <w:sz w:val="22"/>
          <w:lang w:val="en-US"/>
        </w:rPr>
      </w:pPr>
      <w:r>
        <w:rPr>
          <w:color w:val="000000"/>
          <w:sz w:val="22"/>
          <w:lang w:val="en-US"/>
        </w:rPr>
        <w:t xml:space="preserve">The </w:t>
      </w:r>
      <w:r w:rsidR="003669D7">
        <w:rPr>
          <w:color w:val="000000"/>
          <w:sz w:val="22"/>
          <w:lang w:val="en-US"/>
        </w:rPr>
        <w:t xml:space="preserve">corresponding assessment </w:t>
      </w:r>
      <w:r>
        <w:rPr>
          <w:color w:val="000000"/>
          <w:sz w:val="22"/>
          <w:lang w:val="en-US"/>
        </w:rPr>
        <w:t xml:space="preserve">tool was an email survey on staff capacity for gender analysis and planning sent to all WHO staff. The </w:t>
      </w:r>
      <w:r w:rsidRPr="00D60334">
        <w:rPr>
          <w:b/>
          <w:i/>
          <w:color w:val="000000"/>
          <w:sz w:val="22"/>
          <w:lang w:val="en-US"/>
        </w:rPr>
        <w:t>response rate</w:t>
      </w:r>
      <w:r>
        <w:rPr>
          <w:color w:val="000000"/>
          <w:sz w:val="22"/>
          <w:lang w:val="en-US"/>
        </w:rPr>
        <w:t xml:space="preserve"> for PAHO was</w:t>
      </w:r>
      <w:r w:rsidRPr="00D60334">
        <w:rPr>
          <w:b/>
          <w:color w:val="000000"/>
          <w:sz w:val="22"/>
          <w:lang w:val="en-US"/>
        </w:rPr>
        <w:t xml:space="preserve"> 44%</w:t>
      </w:r>
      <w:r w:rsidR="00D444FC">
        <w:rPr>
          <w:b/>
          <w:color w:val="000000"/>
          <w:sz w:val="22"/>
          <w:lang w:val="en-US"/>
        </w:rPr>
        <w:t xml:space="preserve"> </w:t>
      </w:r>
      <w:r w:rsidR="00D444FC" w:rsidRPr="00D444FC">
        <w:rPr>
          <w:color w:val="000000"/>
          <w:sz w:val="22"/>
          <w:lang w:val="en-US"/>
        </w:rPr>
        <w:t>(390 of 889)</w:t>
      </w:r>
      <w:r w:rsidRPr="00D444FC">
        <w:rPr>
          <w:color w:val="000000"/>
          <w:sz w:val="22"/>
          <w:lang w:val="en-US"/>
        </w:rPr>
        <w:t>,</w:t>
      </w:r>
      <w:r w:rsidRPr="00D60334">
        <w:rPr>
          <w:b/>
          <w:color w:val="000000"/>
          <w:sz w:val="22"/>
          <w:lang w:val="en-US"/>
        </w:rPr>
        <w:t xml:space="preserve"> </w:t>
      </w:r>
      <w:r w:rsidR="00AB5E42">
        <w:rPr>
          <w:color w:val="000000"/>
          <w:sz w:val="22"/>
          <w:lang w:val="en-US"/>
        </w:rPr>
        <w:t xml:space="preserve">figure </w:t>
      </w:r>
      <w:r>
        <w:rPr>
          <w:color w:val="000000"/>
          <w:sz w:val="22"/>
          <w:lang w:val="en-US"/>
        </w:rPr>
        <w:t>well above both the 20% expected for this kind of surveys, and the 2</w:t>
      </w:r>
      <w:r w:rsidR="000E175B">
        <w:rPr>
          <w:color w:val="000000"/>
          <w:sz w:val="22"/>
          <w:lang w:val="en-US"/>
        </w:rPr>
        <w:t>5</w:t>
      </w:r>
      <w:r>
        <w:rPr>
          <w:color w:val="000000"/>
          <w:sz w:val="22"/>
          <w:lang w:val="en-US"/>
        </w:rPr>
        <w:t xml:space="preserve">% reached by WHO staff as a whole. </w:t>
      </w:r>
    </w:p>
    <w:p w:rsidR="009571FA" w:rsidRPr="003669D7" w:rsidRDefault="009571FA" w:rsidP="0038096D">
      <w:pPr>
        <w:jc w:val="both"/>
        <w:rPr>
          <w:color w:val="000000"/>
          <w:sz w:val="16"/>
          <w:lang w:val="en-US"/>
        </w:rPr>
      </w:pPr>
    </w:p>
    <w:p w:rsidR="009571FA" w:rsidRDefault="009571FA" w:rsidP="00581596">
      <w:pPr>
        <w:numPr>
          <w:ilvl w:val="0"/>
          <w:numId w:val="34"/>
        </w:numPr>
        <w:ind w:left="0" w:firstLine="0"/>
        <w:jc w:val="both"/>
        <w:rPr>
          <w:color w:val="000000"/>
          <w:sz w:val="22"/>
          <w:lang w:val="en-US"/>
        </w:rPr>
      </w:pPr>
      <w:r>
        <w:rPr>
          <w:color w:val="000000"/>
          <w:sz w:val="22"/>
          <w:lang w:val="en-US"/>
        </w:rPr>
        <w:t xml:space="preserve">    The </w:t>
      </w:r>
      <w:r w:rsidR="003669D7">
        <w:rPr>
          <w:color w:val="000000"/>
          <w:sz w:val="22"/>
          <w:lang w:val="en-US"/>
        </w:rPr>
        <w:t xml:space="preserve">survey </w:t>
      </w:r>
      <w:r>
        <w:rPr>
          <w:color w:val="000000"/>
          <w:sz w:val="22"/>
          <w:lang w:val="en-US"/>
        </w:rPr>
        <w:t xml:space="preserve">data indicated that in PAHO, approximately </w:t>
      </w:r>
      <w:r>
        <w:rPr>
          <w:b/>
          <w:color w:val="000000"/>
          <w:sz w:val="22"/>
          <w:lang w:val="en-US"/>
        </w:rPr>
        <w:t>nine out of</w:t>
      </w:r>
      <w:r w:rsidR="007134F9">
        <w:rPr>
          <w:b/>
          <w:color w:val="000000"/>
          <w:sz w:val="22"/>
          <w:lang w:val="en-US"/>
        </w:rPr>
        <w:t xml:space="preserve"> ten</w:t>
      </w:r>
      <w:r>
        <w:rPr>
          <w:color w:val="000000"/>
          <w:sz w:val="22"/>
          <w:lang w:val="en-US"/>
        </w:rPr>
        <w:t xml:space="preserve"> staff members, were aware of WHO and PAHO gender policies</w:t>
      </w:r>
      <w:r>
        <w:rPr>
          <w:b/>
          <w:color w:val="000000"/>
          <w:sz w:val="22"/>
          <w:lang w:val="en-US"/>
        </w:rPr>
        <w:t xml:space="preserve">, </w:t>
      </w:r>
      <w:r w:rsidR="007134F9">
        <w:rPr>
          <w:b/>
          <w:color w:val="000000"/>
          <w:sz w:val="22"/>
          <w:lang w:val="en-US"/>
        </w:rPr>
        <w:t>six</w:t>
      </w:r>
      <w:r w:rsidR="007134F9" w:rsidRPr="00D4789D">
        <w:rPr>
          <w:b/>
          <w:color w:val="000000"/>
          <w:sz w:val="22"/>
          <w:lang w:val="en-US"/>
        </w:rPr>
        <w:t xml:space="preserve"> </w:t>
      </w:r>
      <w:r w:rsidR="007134F9">
        <w:rPr>
          <w:color w:val="000000"/>
          <w:sz w:val="22"/>
          <w:lang w:val="en-US"/>
        </w:rPr>
        <w:t>had good knowledge of basic gender concepts</w:t>
      </w:r>
      <w:r w:rsidR="007134F9">
        <w:rPr>
          <w:b/>
          <w:color w:val="000000"/>
          <w:sz w:val="22"/>
          <w:lang w:val="en-US"/>
        </w:rPr>
        <w:t xml:space="preserve">, </w:t>
      </w:r>
      <w:r>
        <w:rPr>
          <w:b/>
          <w:color w:val="000000"/>
          <w:sz w:val="22"/>
          <w:lang w:val="en-US"/>
        </w:rPr>
        <w:t>s</w:t>
      </w:r>
      <w:r w:rsidR="007134F9">
        <w:rPr>
          <w:b/>
          <w:color w:val="000000"/>
          <w:sz w:val="22"/>
          <w:lang w:val="en-US"/>
        </w:rPr>
        <w:t>ix</w:t>
      </w:r>
      <w:r>
        <w:rPr>
          <w:b/>
          <w:color w:val="000000"/>
          <w:sz w:val="22"/>
          <w:lang w:val="en-US"/>
        </w:rPr>
        <w:t xml:space="preserve"> </w:t>
      </w:r>
      <w:r>
        <w:rPr>
          <w:color w:val="000000"/>
          <w:sz w:val="22"/>
          <w:lang w:val="en-US"/>
        </w:rPr>
        <w:t>felt that gender was relevant to their work,</w:t>
      </w:r>
      <w:r>
        <w:rPr>
          <w:b/>
          <w:color w:val="000000"/>
          <w:sz w:val="22"/>
          <w:lang w:val="en-US"/>
        </w:rPr>
        <w:t xml:space="preserve"> four </w:t>
      </w:r>
      <w:r>
        <w:rPr>
          <w:color w:val="000000"/>
          <w:sz w:val="22"/>
          <w:lang w:val="en-US"/>
        </w:rPr>
        <w:t>applied this knowledge to their work, and</w:t>
      </w:r>
      <w:r>
        <w:rPr>
          <w:b/>
          <w:color w:val="000000"/>
          <w:sz w:val="22"/>
          <w:lang w:val="en-US"/>
        </w:rPr>
        <w:t xml:space="preserve"> four </w:t>
      </w:r>
      <w:r>
        <w:rPr>
          <w:color w:val="000000"/>
          <w:sz w:val="22"/>
          <w:lang w:val="en-US"/>
        </w:rPr>
        <w:t xml:space="preserve">acknowledged having received institutional support for doing so. These figures clearly </w:t>
      </w:r>
      <w:r w:rsidR="003669D7">
        <w:rPr>
          <w:color w:val="000000"/>
          <w:sz w:val="22"/>
          <w:lang w:val="en-US"/>
        </w:rPr>
        <w:t xml:space="preserve">revealed a sizeable </w:t>
      </w:r>
      <w:r>
        <w:rPr>
          <w:color w:val="000000"/>
          <w:sz w:val="22"/>
          <w:lang w:val="en-US"/>
        </w:rPr>
        <w:t>institutional gap between awareness</w:t>
      </w:r>
      <w:r w:rsidR="003669D7">
        <w:rPr>
          <w:color w:val="000000"/>
          <w:sz w:val="22"/>
          <w:lang w:val="en-US"/>
        </w:rPr>
        <w:t xml:space="preserve"> and </w:t>
      </w:r>
      <w:r>
        <w:rPr>
          <w:color w:val="000000"/>
          <w:sz w:val="22"/>
          <w:lang w:val="en-US"/>
        </w:rPr>
        <w:t>knowledge</w:t>
      </w:r>
      <w:r w:rsidR="003669D7">
        <w:rPr>
          <w:color w:val="000000"/>
          <w:sz w:val="22"/>
          <w:lang w:val="en-US"/>
        </w:rPr>
        <w:t xml:space="preserve">, on one side and action, on the other, regarding </w:t>
      </w:r>
      <w:r>
        <w:rPr>
          <w:color w:val="000000"/>
          <w:sz w:val="22"/>
          <w:lang w:val="en-US"/>
        </w:rPr>
        <w:t xml:space="preserve">the promotion of gender equality. </w:t>
      </w:r>
    </w:p>
    <w:p w:rsidR="009571FA" w:rsidRPr="00E71FE5" w:rsidRDefault="009571FA" w:rsidP="00642B9B">
      <w:pPr>
        <w:jc w:val="both"/>
        <w:rPr>
          <w:color w:val="000000"/>
          <w:sz w:val="14"/>
          <w:lang w:val="en-US"/>
        </w:rPr>
      </w:pPr>
    </w:p>
    <w:p w:rsidR="009571FA" w:rsidRPr="007134F9" w:rsidRDefault="009571FA" w:rsidP="00581596">
      <w:pPr>
        <w:numPr>
          <w:ilvl w:val="0"/>
          <w:numId w:val="34"/>
        </w:numPr>
        <w:ind w:left="0" w:firstLine="0"/>
        <w:jc w:val="both"/>
        <w:rPr>
          <w:i/>
          <w:color w:val="000000"/>
          <w:sz w:val="14"/>
        </w:rPr>
      </w:pPr>
      <w:r w:rsidRPr="007134F9">
        <w:rPr>
          <w:color w:val="000000"/>
          <w:sz w:val="22"/>
          <w:lang w:val="en-US"/>
        </w:rPr>
        <w:t xml:space="preserve">    Large and statistically significant differentials were identified between </w:t>
      </w:r>
      <w:r w:rsidRPr="007134F9">
        <w:rPr>
          <w:b/>
          <w:color w:val="000000"/>
          <w:sz w:val="22"/>
          <w:lang w:val="en-US"/>
        </w:rPr>
        <w:t>professional (P) and general service (G)</w:t>
      </w:r>
      <w:r w:rsidRPr="007134F9">
        <w:rPr>
          <w:color w:val="000000"/>
          <w:sz w:val="22"/>
          <w:lang w:val="en-US"/>
        </w:rPr>
        <w:t xml:space="preserve"> staff</w:t>
      </w:r>
      <w:r w:rsidRPr="007134F9">
        <w:rPr>
          <w:b/>
          <w:color w:val="000000"/>
          <w:sz w:val="22"/>
          <w:lang w:val="en-US"/>
        </w:rPr>
        <w:t xml:space="preserve"> </w:t>
      </w:r>
      <w:r w:rsidRPr="007134F9">
        <w:rPr>
          <w:color w:val="000000"/>
          <w:sz w:val="22"/>
          <w:lang w:val="en-US"/>
        </w:rPr>
        <w:t xml:space="preserve">along the dimensions of </w:t>
      </w:r>
      <w:r w:rsidR="007134F9" w:rsidRPr="007134F9">
        <w:rPr>
          <w:color w:val="000000"/>
          <w:sz w:val="22"/>
          <w:lang w:val="en-US"/>
        </w:rPr>
        <w:t xml:space="preserve">perceived relevance, knowledge application </w:t>
      </w:r>
      <w:r w:rsidRPr="007134F9">
        <w:rPr>
          <w:color w:val="000000"/>
          <w:sz w:val="22"/>
          <w:lang w:val="en-US"/>
        </w:rPr>
        <w:t xml:space="preserve">and institutional </w:t>
      </w:r>
      <w:r w:rsidR="007134F9" w:rsidRPr="007134F9">
        <w:rPr>
          <w:color w:val="000000"/>
          <w:sz w:val="22"/>
          <w:lang w:val="en-US"/>
        </w:rPr>
        <w:t xml:space="preserve">support received </w:t>
      </w:r>
      <w:r w:rsidR="003669D7">
        <w:rPr>
          <w:color w:val="000000"/>
          <w:sz w:val="22"/>
          <w:lang w:val="en-US"/>
        </w:rPr>
        <w:t xml:space="preserve">with respect to </w:t>
      </w:r>
      <w:r w:rsidR="007134F9" w:rsidRPr="007134F9">
        <w:rPr>
          <w:color w:val="000000"/>
          <w:sz w:val="22"/>
          <w:lang w:val="en-US"/>
        </w:rPr>
        <w:t>g</w:t>
      </w:r>
      <w:r w:rsidRPr="007134F9">
        <w:rPr>
          <w:color w:val="000000"/>
          <w:sz w:val="22"/>
          <w:lang w:val="en-US"/>
        </w:rPr>
        <w:t>ender mainstreaming. This breach was a</w:t>
      </w:r>
      <w:r w:rsidR="007134F9" w:rsidRPr="007134F9">
        <w:rPr>
          <w:color w:val="000000"/>
          <w:sz w:val="22"/>
          <w:lang w:val="en-US"/>
        </w:rPr>
        <w:t>lso</w:t>
      </w:r>
      <w:r w:rsidRPr="007134F9">
        <w:rPr>
          <w:color w:val="000000"/>
          <w:sz w:val="22"/>
          <w:lang w:val="en-US"/>
        </w:rPr>
        <w:t xml:space="preserve"> evident from the low G response rate to the survey</w:t>
      </w:r>
      <w:r w:rsidR="003669D7">
        <w:rPr>
          <w:b/>
          <w:color w:val="000000"/>
          <w:sz w:val="22"/>
          <w:lang w:val="en-US"/>
        </w:rPr>
        <w:t xml:space="preserve"> (</w:t>
      </w:r>
      <w:r w:rsidRPr="007134F9">
        <w:rPr>
          <w:b/>
          <w:color w:val="000000"/>
          <w:sz w:val="22"/>
          <w:lang w:val="en-US"/>
        </w:rPr>
        <w:t>26%</w:t>
      </w:r>
      <w:r w:rsidR="003669D7">
        <w:rPr>
          <w:b/>
          <w:color w:val="000000"/>
          <w:sz w:val="22"/>
          <w:lang w:val="en-US"/>
        </w:rPr>
        <w:t>)</w:t>
      </w:r>
      <w:r w:rsidRPr="007134F9">
        <w:rPr>
          <w:color w:val="000000"/>
          <w:sz w:val="22"/>
          <w:lang w:val="en-US"/>
        </w:rPr>
        <w:t xml:space="preserve"> which was less than half that the P response</w:t>
      </w:r>
      <w:r w:rsidR="003669D7">
        <w:rPr>
          <w:color w:val="000000"/>
          <w:sz w:val="22"/>
          <w:lang w:val="en-US"/>
        </w:rPr>
        <w:t xml:space="preserve"> (</w:t>
      </w:r>
      <w:r w:rsidRPr="007134F9">
        <w:rPr>
          <w:color w:val="000000"/>
          <w:sz w:val="22"/>
          <w:lang w:val="en-US"/>
        </w:rPr>
        <w:t>59%</w:t>
      </w:r>
      <w:r w:rsidR="003669D7">
        <w:rPr>
          <w:color w:val="000000"/>
          <w:sz w:val="22"/>
          <w:lang w:val="en-US"/>
        </w:rPr>
        <w:t>)</w:t>
      </w:r>
      <w:r w:rsidRPr="007134F9">
        <w:rPr>
          <w:color w:val="000000"/>
          <w:sz w:val="22"/>
          <w:lang w:val="en-US"/>
        </w:rPr>
        <w:t>. These findings acquire particular relevance in the face of the PAHO Official Pe</w:t>
      </w:r>
      <w:r w:rsidRPr="007134F9">
        <w:rPr>
          <w:rFonts w:cs="Arial"/>
          <w:bCs/>
          <w:sz w:val="22"/>
          <w:szCs w:val="22"/>
        </w:rPr>
        <w:t>er Review Guidelines for the 2008-2009 Work Plans, explicitly declaring that</w:t>
      </w:r>
      <w:r w:rsidRPr="007134F9">
        <w:rPr>
          <w:rFonts w:cs="Arial"/>
          <w:b/>
          <w:bCs/>
          <w:sz w:val="22"/>
          <w:szCs w:val="22"/>
        </w:rPr>
        <w:t xml:space="preserve"> </w:t>
      </w:r>
      <w:r w:rsidRPr="007134F9">
        <w:rPr>
          <w:rFonts w:cs="Arial"/>
          <w:bCs/>
          <w:i/>
          <w:sz w:val="22"/>
          <w:szCs w:val="22"/>
        </w:rPr>
        <w:t xml:space="preserve">“the six cross-cutting issues </w:t>
      </w:r>
      <w:r w:rsidRPr="007134F9">
        <w:rPr>
          <w:rFonts w:cs="Arial"/>
          <w:bCs/>
          <w:sz w:val="22"/>
          <w:szCs w:val="22"/>
        </w:rPr>
        <w:t>(gender equality among them)</w:t>
      </w:r>
      <w:r w:rsidRPr="007134F9">
        <w:rPr>
          <w:rFonts w:cs="Arial"/>
          <w:bCs/>
          <w:i/>
          <w:sz w:val="22"/>
          <w:szCs w:val="22"/>
        </w:rPr>
        <w:t xml:space="preserve"> did not apply to administrative entities</w:t>
      </w:r>
      <w:r w:rsidRPr="007134F9">
        <w:rPr>
          <w:rFonts w:cs="Arial"/>
          <w:bCs/>
          <w:sz w:val="22"/>
          <w:szCs w:val="22"/>
        </w:rPr>
        <w:t>”</w:t>
      </w:r>
      <w:r w:rsidR="007134F9" w:rsidRPr="007134F9">
        <w:rPr>
          <w:rFonts w:cs="Arial"/>
          <w:bCs/>
          <w:sz w:val="22"/>
          <w:szCs w:val="22"/>
        </w:rPr>
        <w:t>.</w:t>
      </w:r>
    </w:p>
    <w:p w:rsidR="007134F9" w:rsidRPr="007134F9" w:rsidRDefault="007134F9" w:rsidP="007134F9">
      <w:pPr>
        <w:jc w:val="both"/>
        <w:rPr>
          <w:i/>
          <w:color w:val="000000"/>
          <w:sz w:val="14"/>
        </w:rPr>
      </w:pPr>
    </w:p>
    <w:p w:rsidR="009571FA" w:rsidRPr="00A52BDB" w:rsidRDefault="009571FA" w:rsidP="00581596">
      <w:pPr>
        <w:numPr>
          <w:ilvl w:val="0"/>
          <w:numId w:val="34"/>
        </w:numPr>
        <w:ind w:left="0" w:firstLine="0"/>
        <w:jc w:val="both"/>
        <w:rPr>
          <w:color w:val="000000"/>
          <w:sz w:val="22"/>
          <w:lang w:val="en-US"/>
        </w:rPr>
      </w:pPr>
      <w:r>
        <w:rPr>
          <w:color w:val="000000"/>
          <w:sz w:val="22"/>
          <w:lang w:val="en-US"/>
        </w:rPr>
        <w:t xml:space="preserve">    </w:t>
      </w:r>
      <w:r w:rsidR="00AB5E42">
        <w:rPr>
          <w:color w:val="000000"/>
          <w:sz w:val="22"/>
          <w:lang w:val="en-US"/>
        </w:rPr>
        <w:t>N</w:t>
      </w:r>
      <w:r w:rsidR="003669D7" w:rsidRPr="00A52BDB">
        <w:rPr>
          <w:color w:val="000000"/>
          <w:sz w:val="22"/>
          <w:lang w:val="en-US"/>
        </w:rPr>
        <w:t xml:space="preserve">o significant sex-differences </w:t>
      </w:r>
      <w:r w:rsidR="00AB5E42">
        <w:rPr>
          <w:color w:val="000000"/>
          <w:sz w:val="22"/>
          <w:lang w:val="en-US"/>
        </w:rPr>
        <w:t xml:space="preserve">were registered </w:t>
      </w:r>
      <w:r w:rsidR="009700B6">
        <w:rPr>
          <w:color w:val="000000"/>
          <w:sz w:val="22"/>
          <w:lang w:val="en-US"/>
        </w:rPr>
        <w:t xml:space="preserve">in PAHO </w:t>
      </w:r>
      <w:r w:rsidR="00AB5E42">
        <w:rPr>
          <w:color w:val="000000"/>
          <w:sz w:val="22"/>
          <w:lang w:val="en-US"/>
        </w:rPr>
        <w:t xml:space="preserve">with respect to </w:t>
      </w:r>
      <w:r w:rsidR="003669D7" w:rsidRPr="00A52BDB">
        <w:rPr>
          <w:color w:val="000000"/>
          <w:sz w:val="22"/>
          <w:lang w:val="en-US"/>
        </w:rPr>
        <w:t>gender r</w:t>
      </w:r>
      <w:r w:rsidR="009700B6">
        <w:rPr>
          <w:color w:val="000000"/>
          <w:sz w:val="22"/>
          <w:lang w:val="en-US"/>
        </w:rPr>
        <w:t>elated awareness and knowledge. Sex-</w:t>
      </w:r>
      <w:r w:rsidR="00C95733" w:rsidRPr="00A52BDB">
        <w:rPr>
          <w:color w:val="000000"/>
          <w:sz w:val="22"/>
          <w:lang w:val="en-US"/>
        </w:rPr>
        <w:t xml:space="preserve">differences </w:t>
      </w:r>
      <w:r w:rsidR="009700B6">
        <w:rPr>
          <w:color w:val="000000"/>
          <w:sz w:val="22"/>
          <w:lang w:val="en-US"/>
        </w:rPr>
        <w:t>were</w:t>
      </w:r>
      <w:r w:rsidR="00C95733" w:rsidRPr="00A52BDB">
        <w:rPr>
          <w:color w:val="000000"/>
          <w:sz w:val="22"/>
          <w:lang w:val="en-US"/>
        </w:rPr>
        <w:t xml:space="preserve"> </w:t>
      </w:r>
      <w:r w:rsidR="00CD35B1">
        <w:rPr>
          <w:color w:val="000000"/>
          <w:sz w:val="22"/>
          <w:lang w:val="en-US"/>
        </w:rPr>
        <w:t xml:space="preserve">statistically </w:t>
      </w:r>
      <w:r w:rsidR="00C95733" w:rsidRPr="00A52BDB">
        <w:rPr>
          <w:color w:val="000000"/>
          <w:sz w:val="22"/>
          <w:lang w:val="en-US"/>
        </w:rPr>
        <w:t>significant</w:t>
      </w:r>
      <w:r w:rsidR="00CD35B1">
        <w:rPr>
          <w:color w:val="000000"/>
          <w:sz w:val="22"/>
          <w:lang w:val="en-US"/>
        </w:rPr>
        <w:t xml:space="preserve">, favoring </w:t>
      </w:r>
      <w:r w:rsidR="00C95733" w:rsidRPr="00A52BDB">
        <w:rPr>
          <w:color w:val="000000"/>
          <w:sz w:val="22"/>
          <w:lang w:val="en-US"/>
        </w:rPr>
        <w:t>men</w:t>
      </w:r>
      <w:r w:rsidR="00CD35B1">
        <w:rPr>
          <w:color w:val="000000"/>
          <w:sz w:val="22"/>
          <w:lang w:val="en-US"/>
        </w:rPr>
        <w:t>,</w:t>
      </w:r>
      <w:r w:rsidR="00C95733" w:rsidRPr="00A52BDB">
        <w:rPr>
          <w:color w:val="000000"/>
          <w:sz w:val="22"/>
          <w:lang w:val="en-US"/>
        </w:rPr>
        <w:t xml:space="preserve"> </w:t>
      </w:r>
      <w:r w:rsidR="00CD35B1">
        <w:rPr>
          <w:color w:val="000000"/>
          <w:sz w:val="22"/>
          <w:lang w:val="en-US"/>
        </w:rPr>
        <w:t xml:space="preserve">when referred to perceived relevance of </w:t>
      </w:r>
      <w:r w:rsidR="00B42B9E" w:rsidRPr="00A52BDB">
        <w:rPr>
          <w:color w:val="000000"/>
          <w:sz w:val="22"/>
          <w:lang w:val="en-US"/>
        </w:rPr>
        <w:t xml:space="preserve">gender </w:t>
      </w:r>
      <w:r w:rsidR="009700B6">
        <w:rPr>
          <w:color w:val="000000"/>
          <w:sz w:val="22"/>
          <w:lang w:val="en-US"/>
        </w:rPr>
        <w:t xml:space="preserve">to </w:t>
      </w:r>
      <w:r w:rsidR="006C3E00">
        <w:rPr>
          <w:color w:val="000000"/>
          <w:sz w:val="22"/>
          <w:lang w:val="en-US"/>
        </w:rPr>
        <w:t xml:space="preserve">the </w:t>
      </w:r>
      <w:r w:rsidR="00A52BDB">
        <w:rPr>
          <w:color w:val="000000"/>
          <w:sz w:val="22"/>
          <w:lang w:val="en-US"/>
        </w:rPr>
        <w:t xml:space="preserve">respondent’s work, </w:t>
      </w:r>
      <w:r w:rsidR="00B42B9E" w:rsidRPr="00A52BDB">
        <w:rPr>
          <w:color w:val="000000"/>
          <w:sz w:val="22"/>
          <w:lang w:val="en-US"/>
        </w:rPr>
        <w:t>appl</w:t>
      </w:r>
      <w:r w:rsidR="009700B6">
        <w:rPr>
          <w:color w:val="000000"/>
          <w:sz w:val="22"/>
          <w:lang w:val="en-US"/>
        </w:rPr>
        <w:t xml:space="preserve">ication of </w:t>
      </w:r>
      <w:r w:rsidR="00CD35B1">
        <w:rPr>
          <w:color w:val="000000"/>
          <w:sz w:val="22"/>
          <w:lang w:val="en-US"/>
        </w:rPr>
        <w:t xml:space="preserve">gender concepts to </w:t>
      </w:r>
      <w:r w:rsidR="006C3E00">
        <w:rPr>
          <w:color w:val="000000"/>
          <w:sz w:val="22"/>
          <w:lang w:val="en-US"/>
        </w:rPr>
        <w:t xml:space="preserve">that </w:t>
      </w:r>
      <w:r w:rsidR="00CD35B1">
        <w:rPr>
          <w:color w:val="000000"/>
          <w:sz w:val="22"/>
          <w:lang w:val="en-US"/>
        </w:rPr>
        <w:t>work</w:t>
      </w:r>
      <w:r w:rsidR="00A52BDB">
        <w:rPr>
          <w:color w:val="000000"/>
          <w:sz w:val="22"/>
          <w:lang w:val="en-US"/>
        </w:rPr>
        <w:t xml:space="preserve">, and institutional support </w:t>
      </w:r>
      <w:r w:rsidR="009700B6">
        <w:rPr>
          <w:color w:val="000000"/>
          <w:sz w:val="22"/>
          <w:lang w:val="en-US"/>
        </w:rPr>
        <w:t xml:space="preserve">received </w:t>
      </w:r>
      <w:r w:rsidR="00A52BDB">
        <w:rPr>
          <w:color w:val="000000"/>
          <w:sz w:val="22"/>
          <w:lang w:val="en-US"/>
        </w:rPr>
        <w:t xml:space="preserve">for </w:t>
      </w:r>
      <w:r w:rsidR="009700B6">
        <w:rPr>
          <w:color w:val="000000"/>
          <w:sz w:val="22"/>
          <w:lang w:val="en-US"/>
        </w:rPr>
        <w:t xml:space="preserve">that purpose. </w:t>
      </w:r>
      <w:r w:rsidR="00A52BDB">
        <w:rPr>
          <w:color w:val="000000"/>
          <w:sz w:val="22"/>
          <w:lang w:val="en-US"/>
        </w:rPr>
        <w:t>T</w:t>
      </w:r>
      <w:r w:rsidR="00B42B9E" w:rsidRPr="00A52BDB">
        <w:rPr>
          <w:color w:val="000000"/>
          <w:sz w:val="22"/>
          <w:lang w:val="en-US"/>
        </w:rPr>
        <w:t xml:space="preserve">hese </w:t>
      </w:r>
      <w:r w:rsidR="00C95733" w:rsidRPr="00A52BDB">
        <w:rPr>
          <w:color w:val="000000"/>
          <w:sz w:val="22"/>
          <w:lang w:val="en-US"/>
        </w:rPr>
        <w:t>differentials</w:t>
      </w:r>
      <w:r w:rsidR="00B42B9E" w:rsidRPr="00A52BDB">
        <w:rPr>
          <w:color w:val="000000"/>
          <w:sz w:val="22"/>
          <w:lang w:val="en-US"/>
        </w:rPr>
        <w:t xml:space="preserve">, </w:t>
      </w:r>
      <w:r w:rsidR="00A52BDB">
        <w:rPr>
          <w:color w:val="000000"/>
          <w:sz w:val="22"/>
          <w:lang w:val="en-US"/>
        </w:rPr>
        <w:t xml:space="preserve">however, </w:t>
      </w:r>
      <w:r w:rsidR="009700B6">
        <w:rPr>
          <w:color w:val="000000"/>
          <w:sz w:val="22"/>
          <w:lang w:val="en-US"/>
        </w:rPr>
        <w:t xml:space="preserve">might very well have been </w:t>
      </w:r>
      <w:r w:rsidR="00C95733" w:rsidRPr="00A52BDB">
        <w:rPr>
          <w:color w:val="000000"/>
          <w:sz w:val="22"/>
          <w:lang w:val="en-US"/>
        </w:rPr>
        <w:t xml:space="preserve">the spurious result of </w:t>
      </w:r>
      <w:r w:rsidR="00B42B9E" w:rsidRPr="00A52BDB">
        <w:rPr>
          <w:color w:val="000000"/>
          <w:sz w:val="22"/>
          <w:lang w:val="en-US"/>
        </w:rPr>
        <w:t xml:space="preserve">the </w:t>
      </w:r>
      <w:r w:rsidR="009700B6" w:rsidRPr="00A52BDB">
        <w:rPr>
          <w:color w:val="000000"/>
          <w:sz w:val="22"/>
          <w:lang w:val="en-US"/>
        </w:rPr>
        <w:t xml:space="preserve">predominance of women (80%) </w:t>
      </w:r>
      <w:r w:rsidR="009700B6">
        <w:rPr>
          <w:color w:val="000000"/>
          <w:sz w:val="22"/>
          <w:lang w:val="en-US"/>
        </w:rPr>
        <w:t xml:space="preserve">among G staff, the </w:t>
      </w:r>
      <w:r w:rsidR="00C95733" w:rsidRPr="00A52BDB">
        <w:rPr>
          <w:color w:val="000000"/>
          <w:sz w:val="22"/>
          <w:lang w:val="en-US"/>
        </w:rPr>
        <w:t xml:space="preserve">large share of </w:t>
      </w:r>
      <w:r w:rsidR="00A52BDB" w:rsidRPr="00A52BDB">
        <w:rPr>
          <w:color w:val="000000"/>
          <w:sz w:val="22"/>
          <w:lang w:val="en-US"/>
        </w:rPr>
        <w:t>G</w:t>
      </w:r>
      <w:r w:rsidR="006C3E00">
        <w:rPr>
          <w:color w:val="000000"/>
          <w:sz w:val="22"/>
          <w:lang w:val="en-US"/>
        </w:rPr>
        <w:t>s</w:t>
      </w:r>
      <w:r w:rsidR="009700B6">
        <w:rPr>
          <w:color w:val="000000"/>
          <w:sz w:val="22"/>
          <w:lang w:val="en-US"/>
        </w:rPr>
        <w:t xml:space="preserve"> </w:t>
      </w:r>
      <w:r w:rsidR="00A52BDB" w:rsidRPr="00A52BDB">
        <w:rPr>
          <w:color w:val="000000"/>
          <w:sz w:val="22"/>
          <w:lang w:val="en-US"/>
        </w:rPr>
        <w:t>in the sample (45%)</w:t>
      </w:r>
      <w:r w:rsidR="009700B6">
        <w:rPr>
          <w:color w:val="000000"/>
          <w:sz w:val="22"/>
          <w:lang w:val="en-US"/>
        </w:rPr>
        <w:t xml:space="preserve">, </w:t>
      </w:r>
      <w:r w:rsidR="00A52BDB" w:rsidRPr="00A52BDB">
        <w:rPr>
          <w:color w:val="000000"/>
          <w:sz w:val="22"/>
          <w:lang w:val="en-US"/>
        </w:rPr>
        <w:t xml:space="preserve"> and </w:t>
      </w:r>
      <w:r w:rsidR="009700B6">
        <w:rPr>
          <w:color w:val="000000"/>
          <w:sz w:val="22"/>
          <w:lang w:val="en-US"/>
        </w:rPr>
        <w:t xml:space="preserve">the fact that this </w:t>
      </w:r>
      <w:r w:rsidR="006C3E00">
        <w:rPr>
          <w:color w:val="000000"/>
          <w:sz w:val="22"/>
          <w:lang w:val="en-US"/>
        </w:rPr>
        <w:t xml:space="preserve">staff </w:t>
      </w:r>
      <w:r w:rsidR="00A52BDB" w:rsidRPr="00A52BDB">
        <w:rPr>
          <w:color w:val="000000"/>
          <w:sz w:val="22"/>
          <w:lang w:val="en-US"/>
        </w:rPr>
        <w:t>category</w:t>
      </w:r>
      <w:r w:rsidR="00A52BDB">
        <w:rPr>
          <w:color w:val="000000"/>
          <w:sz w:val="22"/>
          <w:lang w:val="en-US"/>
        </w:rPr>
        <w:t xml:space="preserve"> </w:t>
      </w:r>
      <w:r w:rsidR="006C3E00">
        <w:rPr>
          <w:color w:val="000000"/>
          <w:sz w:val="22"/>
          <w:lang w:val="en-US"/>
        </w:rPr>
        <w:t xml:space="preserve">has not yet been </w:t>
      </w:r>
      <w:r w:rsidR="00C95733" w:rsidRPr="00A52BDB">
        <w:rPr>
          <w:color w:val="000000"/>
          <w:sz w:val="22"/>
          <w:lang w:val="en-US"/>
        </w:rPr>
        <w:t>targeted by gender mainstreaming efforts</w:t>
      </w:r>
      <w:r w:rsidR="00A52BDB" w:rsidRPr="00A52BDB">
        <w:rPr>
          <w:color w:val="000000"/>
          <w:sz w:val="22"/>
          <w:lang w:val="en-US"/>
        </w:rPr>
        <w:t>.</w:t>
      </w:r>
      <w:r w:rsidRPr="00A52BDB">
        <w:rPr>
          <w:color w:val="000000"/>
          <w:sz w:val="22"/>
          <w:lang w:val="en-US"/>
        </w:rPr>
        <w:t xml:space="preserve"> To arrive at any conclusion in this respect, sex differentials would have to be calculated within grades. </w:t>
      </w:r>
    </w:p>
    <w:p w:rsidR="009571FA" w:rsidRPr="006E3D80" w:rsidRDefault="009571FA" w:rsidP="00642B9B">
      <w:pPr>
        <w:jc w:val="both"/>
        <w:rPr>
          <w:color w:val="000000"/>
          <w:sz w:val="14"/>
          <w:lang w:val="en-US"/>
        </w:rPr>
      </w:pPr>
    </w:p>
    <w:p w:rsidR="009571FA" w:rsidRDefault="009571FA" w:rsidP="00581596">
      <w:pPr>
        <w:numPr>
          <w:ilvl w:val="0"/>
          <w:numId w:val="34"/>
        </w:numPr>
        <w:ind w:left="0" w:firstLine="0"/>
        <w:jc w:val="both"/>
        <w:rPr>
          <w:color w:val="000000"/>
          <w:sz w:val="22"/>
          <w:lang w:val="en-US"/>
        </w:rPr>
      </w:pPr>
      <w:r>
        <w:rPr>
          <w:color w:val="000000"/>
          <w:sz w:val="22"/>
          <w:lang w:val="en-US"/>
        </w:rPr>
        <w:t xml:space="preserve">    </w:t>
      </w:r>
      <w:r w:rsidR="006C3E00">
        <w:rPr>
          <w:color w:val="000000"/>
          <w:sz w:val="22"/>
          <w:lang w:val="en-US"/>
        </w:rPr>
        <w:t>Statistically s</w:t>
      </w:r>
      <w:r w:rsidR="00FA33D7">
        <w:rPr>
          <w:color w:val="000000"/>
          <w:sz w:val="22"/>
          <w:lang w:val="en-US"/>
        </w:rPr>
        <w:t xml:space="preserve">ignificant </w:t>
      </w:r>
      <w:r>
        <w:rPr>
          <w:b/>
          <w:color w:val="000000"/>
          <w:sz w:val="22"/>
          <w:lang w:val="en-US"/>
        </w:rPr>
        <w:t>differen</w:t>
      </w:r>
      <w:r w:rsidR="00A52BDB">
        <w:rPr>
          <w:b/>
          <w:color w:val="000000"/>
          <w:sz w:val="22"/>
          <w:lang w:val="en-US"/>
        </w:rPr>
        <w:t>ces</w:t>
      </w:r>
      <w:r>
        <w:rPr>
          <w:b/>
          <w:color w:val="000000"/>
          <w:sz w:val="22"/>
          <w:lang w:val="en-US"/>
        </w:rPr>
        <w:t xml:space="preserve"> </w:t>
      </w:r>
      <w:r w:rsidR="00D444FC">
        <w:rPr>
          <w:b/>
          <w:color w:val="000000"/>
          <w:sz w:val="22"/>
          <w:lang w:val="en-US"/>
        </w:rPr>
        <w:t xml:space="preserve">among the four </w:t>
      </w:r>
      <w:r>
        <w:rPr>
          <w:b/>
          <w:color w:val="000000"/>
          <w:sz w:val="22"/>
          <w:lang w:val="en-US"/>
        </w:rPr>
        <w:t>WHO Region</w:t>
      </w:r>
      <w:r w:rsidR="00D444FC">
        <w:rPr>
          <w:color w:val="000000"/>
          <w:sz w:val="22"/>
          <w:lang w:val="en-US"/>
        </w:rPr>
        <w:t xml:space="preserve">s </w:t>
      </w:r>
      <w:r w:rsidR="00D444FC" w:rsidRPr="00A52BDB">
        <w:rPr>
          <w:b/>
          <w:color w:val="000000"/>
          <w:sz w:val="22"/>
          <w:lang w:val="en-US"/>
        </w:rPr>
        <w:t>and WHO/HQ</w:t>
      </w:r>
      <w:r w:rsidR="00D444FC">
        <w:rPr>
          <w:color w:val="000000"/>
          <w:sz w:val="22"/>
          <w:lang w:val="en-US"/>
        </w:rPr>
        <w:t xml:space="preserve"> </w:t>
      </w:r>
      <w:r>
        <w:rPr>
          <w:color w:val="000000"/>
          <w:sz w:val="22"/>
          <w:lang w:val="en-US"/>
        </w:rPr>
        <w:t xml:space="preserve">were </w:t>
      </w:r>
      <w:r w:rsidR="00FA33D7">
        <w:rPr>
          <w:color w:val="000000"/>
          <w:sz w:val="22"/>
          <w:lang w:val="en-US"/>
        </w:rPr>
        <w:t>identified.</w:t>
      </w:r>
      <w:r>
        <w:rPr>
          <w:color w:val="000000"/>
          <w:sz w:val="22"/>
          <w:lang w:val="en-US"/>
        </w:rPr>
        <w:t xml:space="preserve"> PAHO ranked first among all regions along the dimensions of gender policy awareness, application of gender knowledge to work, and reported institutional support for gender mainstreaming. It ranked second to EURO in terms of level of knowledge of basic gender concepts, and to SEARO and AFRO respectively, regarding reported relevance of gender to office’s and individual</w:t>
      </w:r>
      <w:r w:rsidR="00A52BDB">
        <w:rPr>
          <w:color w:val="000000"/>
          <w:sz w:val="22"/>
          <w:lang w:val="en-US"/>
        </w:rPr>
        <w:t>’s</w:t>
      </w:r>
      <w:r>
        <w:rPr>
          <w:color w:val="000000"/>
          <w:sz w:val="22"/>
          <w:lang w:val="en-US"/>
        </w:rPr>
        <w:t xml:space="preserve"> work. </w:t>
      </w:r>
    </w:p>
    <w:p w:rsidR="009571FA" w:rsidRPr="006E3D80" w:rsidRDefault="009571FA" w:rsidP="00642B9B">
      <w:pPr>
        <w:jc w:val="both"/>
        <w:rPr>
          <w:color w:val="000000"/>
          <w:sz w:val="14"/>
          <w:lang w:val="en-US"/>
        </w:rPr>
      </w:pPr>
    </w:p>
    <w:p w:rsidR="009571FA" w:rsidRDefault="009571FA" w:rsidP="00581596">
      <w:pPr>
        <w:numPr>
          <w:ilvl w:val="0"/>
          <w:numId w:val="34"/>
        </w:numPr>
        <w:ind w:left="0" w:firstLine="0"/>
        <w:jc w:val="both"/>
        <w:rPr>
          <w:color w:val="000000"/>
          <w:sz w:val="22"/>
          <w:lang w:val="en-US"/>
        </w:rPr>
      </w:pPr>
      <w:r>
        <w:rPr>
          <w:color w:val="000000"/>
          <w:sz w:val="22"/>
          <w:lang w:val="en-US"/>
        </w:rPr>
        <w:t xml:space="preserve">The WHO global data illustrated the existence of significant differences between WHO/HQ and Country Offices and there were strong indications coming from the qualitative analysis of PAHO materials to surmise that important differences of this type could also be at play within each Region.  </w:t>
      </w:r>
      <w:r w:rsidR="00FA33D7">
        <w:rPr>
          <w:color w:val="000000"/>
          <w:sz w:val="22"/>
          <w:lang w:val="en-US"/>
        </w:rPr>
        <w:t xml:space="preserve">However, the disaggregation of the survey data by location </w:t>
      </w:r>
      <w:r w:rsidR="00FA33D7" w:rsidRPr="00FA33D7">
        <w:rPr>
          <w:color w:val="000000"/>
          <w:sz w:val="22"/>
          <w:lang w:val="en-US"/>
        </w:rPr>
        <w:t>(HQ and Country Offices) was</w:t>
      </w:r>
      <w:r w:rsidR="00FA33D7">
        <w:rPr>
          <w:b/>
          <w:color w:val="000000"/>
          <w:sz w:val="22"/>
          <w:lang w:val="en-US"/>
        </w:rPr>
        <w:t xml:space="preserve"> </w:t>
      </w:r>
      <w:r w:rsidR="00FA33D7">
        <w:rPr>
          <w:color w:val="000000"/>
          <w:sz w:val="22"/>
          <w:lang w:val="en-US"/>
        </w:rPr>
        <w:t xml:space="preserve">not yet available at the regional level.  </w:t>
      </w:r>
    </w:p>
    <w:p w:rsidR="009571FA" w:rsidRPr="006E3D80" w:rsidRDefault="009571FA" w:rsidP="00642B9B">
      <w:pPr>
        <w:jc w:val="both"/>
        <w:rPr>
          <w:color w:val="000000"/>
          <w:sz w:val="14"/>
          <w:lang w:val="en-US"/>
        </w:rPr>
      </w:pPr>
    </w:p>
    <w:p w:rsidR="009571FA" w:rsidRDefault="009571FA" w:rsidP="00581596">
      <w:pPr>
        <w:numPr>
          <w:ilvl w:val="0"/>
          <w:numId w:val="34"/>
        </w:numPr>
        <w:ind w:left="0" w:firstLine="0"/>
        <w:jc w:val="both"/>
        <w:rPr>
          <w:rFonts w:cs="Arial"/>
          <w:sz w:val="22"/>
          <w:lang w:val="en-US"/>
        </w:rPr>
      </w:pPr>
      <w:r>
        <w:rPr>
          <w:rFonts w:cs="Arial"/>
          <w:sz w:val="22"/>
          <w:lang w:val="en-US"/>
        </w:rPr>
        <w:t xml:space="preserve">    The nature of the factors most often noted </w:t>
      </w:r>
      <w:r w:rsidR="00E117DD">
        <w:rPr>
          <w:rFonts w:cs="Arial"/>
          <w:sz w:val="22"/>
          <w:lang w:val="en-US"/>
        </w:rPr>
        <w:t xml:space="preserve">by </w:t>
      </w:r>
      <w:r w:rsidR="00161754">
        <w:rPr>
          <w:rFonts w:cs="Arial"/>
          <w:sz w:val="22"/>
          <w:lang w:val="en-US"/>
        </w:rPr>
        <w:t xml:space="preserve">PAHO </w:t>
      </w:r>
      <w:r w:rsidR="00E117DD">
        <w:rPr>
          <w:rFonts w:cs="Arial"/>
          <w:sz w:val="22"/>
          <w:lang w:val="en-US"/>
        </w:rPr>
        <w:t>surveyed and interviewed staff</w:t>
      </w:r>
      <w:r>
        <w:rPr>
          <w:rFonts w:cs="Arial"/>
          <w:sz w:val="22"/>
          <w:lang w:val="en-US"/>
        </w:rPr>
        <w:t xml:space="preserve"> </w:t>
      </w:r>
      <w:r w:rsidR="00E117DD">
        <w:rPr>
          <w:rFonts w:cs="Arial"/>
          <w:sz w:val="22"/>
          <w:lang w:val="en-US"/>
        </w:rPr>
        <w:t xml:space="preserve">as </w:t>
      </w:r>
      <w:r w:rsidR="00E117DD" w:rsidRPr="00D60334">
        <w:rPr>
          <w:rFonts w:cs="Arial"/>
          <w:b/>
          <w:i/>
          <w:sz w:val="22"/>
          <w:lang w:val="en-US"/>
        </w:rPr>
        <w:t>challenges or barriers</w:t>
      </w:r>
      <w:r w:rsidR="00E117DD">
        <w:rPr>
          <w:rFonts w:cs="Arial"/>
          <w:sz w:val="22"/>
          <w:lang w:val="en-US"/>
        </w:rPr>
        <w:t xml:space="preserve"> for </w:t>
      </w:r>
      <w:r>
        <w:rPr>
          <w:rFonts w:cs="Arial"/>
          <w:sz w:val="22"/>
          <w:lang w:val="en-US"/>
        </w:rPr>
        <w:t xml:space="preserve">gender mainstreaming suggested that the knowledge--application gap was connected to the </w:t>
      </w:r>
      <w:r w:rsidRPr="00E07B13">
        <w:rPr>
          <w:rFonts w:cs="Arial"/>
          <w:b/>
          <w:sz w:val="22"/>
          <w:lang w:val="en-US"/>
        </w:rPr>
        <w:t>lack of specificity</w:t>
      </w:r>
      <w:r>
        <w:rPr>
          <w:rFonts w:cs="Arial"/>
          <w:sz w:val="22"/>
          <w:lang w:val="en-US"/>
        </w:rPr>
        <w:t xml:space="preserve"> of the gender knowledge held by staff in relation to their current </w:t>
      </w:r>
      <w:r w:rsidR="005F3F85">
        <w:rPr>
          <w:rFonts w:cs="Arial"/>
          <w:sz w:val="22"/>
          <w:lang w:val="en-US"/>
        </w:rPr>
        <w:t xml:space="preserve">work areas. Associated with this knowledge </w:t>
      </w:r>
      <w:r>
        <w:rPr>
          <w:rFonts w:cs="Arial"/>
          <w:sz w:val="22"/>
          <w:lang w:val="en-US"/>
        </w:rPr>
        <w:t xml:space="preserve">generality </w:t>
      </w:r>
      <w:r w:rsidR="005F3F85">
        <w:rPr>
          <w:rFonts w:cs="Arial"/>
          <w:sz w:val="22"/>
          <w:lang w:val="en-US"/>
        </w:rPr>
        <w:t xml:space="preserve">the following factors </w:t>
      </w:r>
      <w:r>
        <w:rPr>
          <w:rFonts w:cs="Arial"/>
          <w:sz w:val="22"/>
          <w:lang w:val="en-US"/>
        </w:rPr>
        <w:t>were</w:t>
      </w:r>
      <w:r w:rsidR="005F3F85">
        <w:rPr>
          <w:rFonts w:cs="Arial"/>
          <w:sz w:val="22"/>
          <w:lang w:val="en-US"/>
        </w:rPr>
        <w:t xml:space="preserve"> </w:t>
      </w:r>
      <w:r w:rsidR="004D2C8B">
        <w:rPr>
          <w:rFonts w:cs="Arial"/>
          <w:sz w:val="22"/>
          <w:lang w:val="en-US"/>
        </w:rPr>
        <w:t>emphasized</w:t>
      </w:r>
      <w:r w:rsidR="005F3F85">
        <w:rPr>
          <w:rFonts w:cs="Arial"/>
          <w:sz w:val="22"/>
          <w:lang w:val="en-US"/>
        </w:rPr>
        <w:t xml:space="preserve">: </w:t>
      </w:r>
      <w:r w:rsidRPr="004D2C8B">
        <w:rPr>
          <w:rFonts w:cs="Arial"/>
          <w:i/>
          <w:sz w:val="22"/>
          <w:lang w:val="en-US"/>
        </w:rPr>
        <w:t>in</w:t>
      </w:r>
      <w:r w:rsidR="005F3F85" w:rsidRPr="004D2C8B">
        <w:rPr>
          <w:rFonts w:cs="Arial"/>
          <w:i/>
          <w:sz w:val="22"/>
          <w:lang w:val="en-US"/>
        </w:rPr>
        <w:t>sufficient</w:t>
      </w:r>
      <w:r w:rsidRPr="004D2C8B">
        <w:rPr>
          <w:rFonts w:cs="Arial"/>
          <w:i/>
          <w:sz w:val="22"/>
          <w:lang w:val="en-US"/>
        </w:rPr>
        <w:t xml:space="preserve"> understanding of the role played by gender i</w:t>
      </w:r>
      <w:r w:rsidR="005F3F85" w:rsidRPr="004D2C8B">
        <w:rPr>
          <w:rFonts w:cs="Arial"/>
          <w:i/>
          <w:sz w:val="22"/>
          <w:lang w:val="en-US"/>
        </w:rPr>
        <w:t xml:space="preserve">n their particular work </w:t>
      </w:r>
      <w:r w:rsidR="004D2C8B" w:rsidRPr="004D2C8B">
        <w:rPr>
          <w:rFonts w:cs="Arial"/>
          <w:i/>
          <w:sz w:val="22"/>
          <w:lang w:val="en-US"/>
        </w:rPr>
        <w:t>field</w:t>
      </w:r>
      <w:r w:rsidR="005F3F85" w:rsidRPr="004D2C8B">
        <w:rPr>
          <w:rFonts w:cs="Arial"/>
          <w:i/>
          <w:sz w:val="22"/>
          <w:lang w:val="en-US"/>
        </w:rPr>
        <w:t>s</w:t>
      </w:r>
      <w:r w:rsidR="006C3E00">
        <w:rPr>
          <w:rFonts w:cs="Arial"/>
          <w:i/>
          <w:sz w:val="22"/>
          <w:lang w:val="en-US"/>
        </w:rPr>
        <w:t xml:space="preserve">; </w:t>
      </w:r>
      <w:r w:rsidR="004D2C8B">
        <w:rPr>
          <w:rFonts w:cs="Arial"/>
          <w:sz w:val="22"/>
          <w:lang w:val="en-US"/>
        </w:rPr>
        <w:t xml:space="preserve">the </w:t>
      </w:r>
      <w:r w:rsidR="006C3E00">
        <w:rPr>
          <w:rFonts w:cs="Arial"/>
          <w:sz w:val="22"/>
          <w:lang w:val="en-US"/>
        </w:rPr>
        <w:t>consequent</w:t>
      </w:r>
      <w:r w:rsidR="005F3F85">
        <w:rPr>
          <w:rFonts w:cs="Arial"/>
          <w:sz w:val="22"/>
          <w:lang w:val="en-US"/>
        </w:rPr>
        <w:t xml:space="preserve"> </w:t>
      </w:r>
      <w:r w:rsidR="005F3F85" w:rsidRPr="004D2C8B">
        <w:rPr>
          <w:rFonts w:cs="Arial"/>
          <w:i/>
          <w:sz w:val="22"/>
          <w:lang w:val="en-US"/>
        </w:rPr>
        <w:t>lack</w:t>
      </w:r>
      <w:r w:rsidR="006C3E00">
        <w:rPr>
          <w:rFonts w:cs="Arial"/>
          <w:i/>
          <w:sz w:val="22"/>
          <w:lang w:val="en-US"/>
        </w:rPr>
        <w:t xml:space="preserve"> of </w:t>
      </w:r>
      <w:r w:rsidRPr="004D2C8B">
        <w:rPr>
          <w:rFonts w:cs="Arial"/>
          <w:i/>
          <w:sz w:val="22"/>
          <w:lang w:val="en-US"/>
        </w:rPr>
        <w:t xml:space="preserve">“know how” to apply </w:t>
      </w:r>
      <w:r w:rsidR="006C3E00">
        <w:rPr>
          <w:rFonts w:cs="Arial"/>
          <w:i/>
          <w:sz w:val="22"/>
          <w:lang w:val="en-US"/>
        </w:rPr>
        <w:t>gender knowledge</w:t>
      </w:r>
      <w:r w:rsidR="005F3F85">
        <w:rPr>
          <w:rFonts w:cs="Arial"/>
          <w:sz w:val="22"/>
          <w:lang w:val="en-US"/>
        </w:rPr>
        <w:t xml:space="preserve">; and the </w:t>
      </w:r>
      <w:r w:rsidR="005F3F85" w:rsidRPr="004D2C8B">
        <w:rPr>
          <w:rFonts w:cs="Arial"/>
          <w:i/>
          <w:sz w:val="22"/>
          <w:lang w:val="en-US"/>
        </w:rPr>
        <w:t xml:space="preserve">absence or short supply </w:t>
      </w:r>
      <w:r w:rsidRPr="004D2C8B">
        <w:rPr>
          <w:rFonts w:cs="Arial"/>
          <w:i/>
          <w:sz w:val="22"/>
          <w:lang w:val="en-US"/>
        </w:rPr>
        <w:t xml:space="preserve">of area-specific gender evidence </w:t>
      </w:r>
      <w:r w:rsidR="005F3F85" w:rsidRPr="004D2C8B">
        <w:rPr>
          <w:rFonts w:cs="Arial"/>
          <w:i/>
          <w:sz w:val="22"/>
          <w:lang w:val="en-US"/>
        </w:rPr>
        <w:t xml:space="preserve">and </w:t>
      </w:r>
      <w:r w:rsidRPr="004D2C8B">
        <w:rPr>
          <w:rFonts w:cs="Arial"/>
          <w:i/>
          <w:sz w:val="22"/>
          <w:lang w:val="en-US"/>
        </w:rPr>
        <w:t>tools.</w:t>
      </w:r>
      <w:r>
        <w:rPr>
          <w:rFonts w:cs="Arial"/>
          <w:sz w:val="22"/>
          <w:lang w:val="en-US"/>
        </w:rPr>
        <w:t xml:space="preserve">  </w:t>
      </w:r>
    </w:p>
    <w:p w:rsidR="009571FA" w:rsidRPr="006E3D80" w:rsidRDefault="009571FA" w:rsidP="00642B9B">
      <w:pPr>
        <w:jc w:val="both"/>
        <w:rPr>
          <w:rFonts w:cs="Arial"/>
          <w:color w:val="000000"/>
          <w:sz w:val="14"/>
          <w:lang w:val="en-US"/>
        </w:rPr>
      </w:pPr>
    </w:p>
    <w:p w:rsidR="009571FA" w:rsidRDefault="009571FA" w:rsidP="00581596">
      <w:pPr>
        <w:numPr>
          <w:ilvl w:val="0"/>
          <w:numId w:val="34"/>
        </w:numPr>
        <w:ind w:left="0" w:firstLine="0"/>
        <w:jc w:val="both"/>
        <w:rPr>
          <w:rFonts w:cs="Arial"/>
          <w:lang w:val="en-US"/>
        </w:rPr>
      </w:pPr>
      <w:r>
        <w:rPr>
          <w:rFonts w:cs="Arial"/>
          <w:color w:val="000000"/>
          <w:sz w:val="22"/>
          <w:lang w:val="en-US"/>
        </w:rPr>
        <w:t xml:space="preserve">   Regarding </w:t>
      </w:r>
      <w:r w:rsidRPr="00D60334">
        <w:rPr>
          <w:rFonts w:cs="Arial"/>
          <w:b/>
          <w:i/>
          <w:color w:val="000000"/>
          <w:sz w:val="22"/>
          <w:lang w:val="en-US"/>
        </w:rPr>
        <w:t>facilitating factors</w:t>
      </w:r>
      <w:r>
        <w:rPr>
          <w:rFonts w:cs="Arial"/>
          <w:color w:val="000000"/>
          <w:sz w:val="22"/>
          <w:lang w:val="en-US"/>
        </w:rPr>
        <w:t xml:space="preserve"> for gender mainstreaming, the </w:t>
      </w:r>
      <w:r w:rsidR="00FA33D7">
        <w:rPr>
          <w:rFonts w:cs="Arial"/>
          <w:color w:val="000000"/>
          <w:sz w:val="22"/>
          <w:lang w:val="en-US"/>
        </w:rPr>
        <w:t xml:space="preserve">PAHO staff responses </w:t>
      </w:r>
      <w:r w:rsidR="006C3E00">
        <w:rPr>
          <w:rFonts w:cs="Arial"/>
          <w:sz w:val="22"/>
          <w:lang w:val="en-US"/>
        </w:rPr>
        <w:t xml:space="preserve">highlighted </w:t>
      </w:r>
      <w:r>
        <w:rPr>
          <w:rFonts w:cs="Arial"/>
          <w:sz w:val="22"/>
          <w:lang w:val="en-US"/>
        </w:rPr>
        <w:t xml:space="preserve">availability of information and </w:t>
      </w:r>
      <w:r>
        <w:rPr>
          <w:rFonts w:cs="Arial"/>
          <w:b/>
          <w:sz w:val="22"/>
          <w:lang w:val="en-US"/>
        </w:rPr>
        <w:t xml:space="preserve">hands-on </w:t>
      </w:r>
      <w:r w:rsidRPr="00B7270E">
        <w:rPr>
          <w:rFonts w:cs="Arial"/>
          <w:b/>
          <w:sz w:val="22"/>
          <w:lang w:val="en-US"/>
        </w:rPr>
        <w:t>technical collaboration</w:t>
      </w:r>
      <w:r>
        <w:rPr>
          <w:rFonts w:cs="Arial"/>
          <w:sz w:val="22"/>
          <w:lang w:val="en-US"/>
        </w:rPr>
        <w:t xml:space="preserve"> </w:t>
      </w:r>
      <w:r>
        <w:rPr>
          <w:rFonts w:cs="Arial"/>
          <w:b/>
          <w:sz w:val="22"/>
          <w:lang w:val="en-US"/>
        </w:rPr>
        <w:t>tailored to</w:t>
      </w:r>
      <w:r>
        <w:rPr>
          <w:rFonts w:cs="Arial"/>
          <w:sz w:val="22"/>
          <w:lang w:val="en-US"/>
        </w:rPr>
        <w:t xml:space="preserve"> </w:t>
      </w:r>
      <w:r w:rsidRPr="00B7270E">
        <w:rPr>
          <w:rFonts w:cs="Arial"/>
          <w:b/>
          <w:sz w:val="22"/>
          <w:lang w:val="en-US"/>
        </w:rPr>
        <w:t xml:space="preserve">specific </w:t>
      </w:r>
      <w:r>
        <w:rPr>
          <w:rFonts w:cs="Arial"/>
          <w:b/>
          <w:sz w:val="22"/>
          <w:lang w:val="en-US"/>
        </w:rPr>
        <w:t>areas of work.</w:t>
      </w:r>
      <w:r w:rsidR="00B14004">
        <w:rPr>
          <w:rFonts w:cs="Arial"/>
          <w:sz w:val="22"/>
          <w:lang w:val="en-US"/>
        </w:rPr>
        <w:t xml:space="preserve"> PAHO</w:t>
      </w:r>
      <w:r w:rsidR="004D2C8B">
        <w:rPr>
          <w:rFonts w:cs="Arial"/>
          <w:sz w:val="22"/>
          <w:lang w:val="en-US"/>
        </w:rPr>
        <w:t>’s</w:t>
      </w:r>
      <w:r w:rsidR="00B14004">
        <w:rPr>
          <w:rFonts w:cs="Arial"/>
          <w:sz w:val="22"/>
          <w:lang w:val="en-US"/>
        </w:rPr>
        <w:t xml:space="preserve"> </w:t>
      </w:r>
      <w:r w:rsidR="004D2C8B">
        <w:rPr>
          <w:rFonts w:cs="Arial"/>
          <w:sz w:val="22"/>
          <w:lang w:val="en-US"/>
        </w:rPr>
        <w:t xml:space="preserve">responses </w:t>
      </w:r>
      <w:r>
        <w:rPr>
          <w:rFonts w:cs="Arial"/>
          <w:color w:val="000000"/>
          <w:sz w:val="22"/>
          <w:lang w:val="en-US"/>
        </w:rPr>
        <w:t xml:space="preserve">coincided with those from the rest of </w:t>
      </w:r>
      <w:r w:rsidR="004D2C8B">
        <w:rPr>
          <w:rFonts w:cs="Arial"/>
          <w:color w:val="000000"/>
          <w:sz w:val="22"/>
          <w:lang w:val="en-US"/>
        </w:rPr>
        <w:t>WHO</w:t>
      </w:r>
      <w:r>
        <w:rPr>
          <w:rFonts w:cs="Arial"/>
          <w:color w:val="000000"/>
          <w:sz w:val="22"/>
          <w:lang w:val="en-US"/>
        </w:rPr>
        <w:t xml:space="preserve"> in underscoring the importance of: </w:t>
      </w:r>
      <w:r w:rsidRPr="002C272C">
        <w:rPr>
          <w:rFonts w:cs="Arial"/>
          <w:i/>
          <w:color w:val="000000"/>
          <w:sz w:val="22"/>
          <w:lang w:val="en-US"/>
        </w:rPr>
        <w:t>collaborating</w:t>
      </w:r>
      <w:r>
        <w:rPr>
          <w:rFonts w:cs="Arial"/>
          <w:color w:val="000000"/>
          <w:sz w:val="22"/>
          <w:lang w:val="en-US"/>
        </w:rPr>
        <w:t xml:space="preserve"> </w:t>
      </w:r>
      <w:r w:rsidRPr="004D2C8B">
        <w:rPr>
          <w:rFonts w:cs="Arial"/>
          <w:b/>
          <w:i/>
          <w:color w:val="000000"/>
          <w:sz w:val="22"/>
        </w:rPr>
        <w:t xml:space="preserve">with </w:t>
      </w:r>
      <w:r w:rsidRPr="004D2C8B">
        <w:rPr>
          <w:rFonts w:cs="Arial"/>
          <w:i/>
          <w:color w:val="000000"/>
          <w:sz w:val="22"/>
        </w:rPr>
        <w:t>c</w:t>
      </w:r>
      <w:r w:rsidRPr="004D2C8B">
        <w:rPr>
          <w:rFonts w:cs="Arial"/>
          <w:i/>
          <w:sz w:val="22"/>
        </w:rPr>
        <w:t>olleagues</w:t>
      </w:r>
      <w:r>
        <w:rPr>
          <w:rFonts w:cs="Arial"/>
          <w:sz w:val="22"/>
        </w:rPr>
        <w:t xml:space="preserve"> with gender expertise</w:t>
      </w:r>
      <w:r w:rsidR="003914D9">
        <w:rPr>
          <w:rFonts w:cs="Arial"/>
          <w:sz w:val="22"/>
        </w:rPr>
        <w:t>;</w:t>
      </w:r>
      <w:r>
        <w:rPr>
          <w:rFonts w:cs="Arial"/>
          <w:sz w:val="22"/>
        </w:rPr>
        <w:t xml:space="preserve"> sustaining </w:t>
      </w:r>
      <w:r w:rsidRPr="002C272C">
        <w:rPr>
          <w:rFonts w:cs="Arial"/>
          <w:i/>
          <w:sz w:val="22"/>
        </w:rPr>
        <w:t>discussions on gender in one’s area of work</w:t>
      </w:r>
      <w:r>
        <w:rPr>
          <w:rFonts w:cs="Arial"/>
          <w:sz w:val="22"/>
        </w:rPr>
        <w:t xml:space="preserve"> in office-staff meetings</w:t>
      </w:r>
      <w:r w:rsidR="003914D9">
        <w:rPr>
          <w:rFonts w:cs="Arial"/>
          <w:sz w:val="22"/>
        </w:rPr>
        <w:t xml:space="preserve">; </w:t>
      </w:r>
      <w:r>
        <w:rPr>
          <w:rFonts w:cs="Arial"/>
          <w:sz w:val="22"/>
        </w:rPr>
        <w:t xml:space="preserve">accessing </w:t>
      </w:r>
      <w:r w:rsidRPr="002C272C">
        <w:rPr>
          <w:rFonts w:cs="Arial"/>
          <w:i/>
          <w:sz w:val="22"/>
        </w:rPr>
        <w:t>gender information relevant to one’s area of work</w:t>
      </w:r>
      <w:r w:rsidR="003914D9">
        <w:rPr>
          <w:rFonts w:cs="Arial"/>
          <w:i/>
          <w:sz w:val="22"/>
        </w:rPr>
        <w:t xml:space="preserve">; </w:t>
      </w:r>
      <w:r w:rsidR="003914D9" w:rsidRPr="003914D9">
        <w:rPr>
          <w:rFonts w:cs="Arial"/>
          <w:i/>
          <w:sz w:val="22"/>
        </w:rPr>
        <w:t>and h</w:t>
      </w:r>
      <w:r w:rsidRPr="003914D9">
        <w:rPr>
          <w:rFonts w:cs="Arial"/>
          <w:i/>
          <w:sz w:val="22"/>
        </w:rPr>
        <w:t>aving designated gender focal points</w:t>
      </w:r>
      <w:r w:rsidR="003914D9" w:rsidRPr="003914D9">
        <w:rPr>
          <w:rFonts w:cs="Arial"/>
          <w:sz w:val="22"/>
        </w:rPr>
        <w:t>.</w:t>
      </w:r>
      <w:r w:rsidR="003914D9">
        <w:rPr>
          <w:rFonts w:cs="Arial"/>
          <w:sz w:val="22"/>
        </w:rPr>
        <w:t xml:space="preserve"> The latter </w:t>
      </w:r>
      <w:r>
        <w:rPr>
          <w:rFonts w:cs="Arial"/>
          <w:sz w:val="22"/>
        </w:rPr>
        <w:t>draw</w:t>
      </w:r>
      <w:r w:rsidR="003914D9">
        <w:rPr>
          <w:rFonts w:cs="Arial"/>
          <w:sz w:val="22"/>
        </w:rPr>
        <w:t>s</w:t>
      </w:r>
      <w:r>
        <w:rPr>
          <w:rFonts w:cs="Arial"/>
          <w:sz w:val="22"/>
        </w:rPr>
        <w:t xml:space="preserve"> attention to the importance assigned to </w:t>
      </w:r>
      <w:r w:rsidRPr="007E5D11">
        <w:rPr>
          <w:rFonts w:cs="Arial"/>
          <w:i/>
          <w:sz w:val="22"/>
          <w:u w:val="single"/>
        </w:rPr>
        <w:t xml:space="preserve">sustained </w:t>
      </w:r>
      <w:r>
        <w:rPr>
          <w:rFonts w:cs="Arial"/>
          <w:sz w:val="22"/>
        </w:rPr>
        <w:t xml:space="preserve">technical support. The relatively low rating assigned to training opportunities merits further exploration in view of the priority generally assigned to this component within gender mainstreaming strategies. </w:t>
      </w:r>
      <w:r w:rsidR="004D2C8B">
        <w:rPr>
          <w:rFonts w:cs="Arial"/>
          <w:sz w:val="22"/>
        </w:rPr>
        <w:t xml:space="preserve">It must be noted </w:t>
      </w:r>
      <w:r>
        <w:rPr>
          <w:rFonts w:cs="Arial"/>
          <w:sz w:val="22"/>
        </w:rPr>
        <w:t xml:space="preserve">that the present survey contained </w:t>
      </w:r>
      <w:r w:rsidR="003914D9">
        <w:rPr>
          <w:rFonts w:cs="Arial"/>
          <w:sz w:val="22"/>
        </w:rPr>
        <w:t>several</w:t>
      </w:r>
      <w:r>
        <w:rPr>
          <w:rFonts w:cs="Arial"/>
          <w:sz w:val="22"/>
        </w:rPr>
        <w:t xml:space="preserve"> questions on training yet to be processed and analyzed. This analysis will help to ascertain whether the low priority assigned to training stems from a small number of staff in the sample </w:t>
      </w:r>
      <w:r w:rsidR="004D2C8B">
        <w:rPr>
          <w:rFonts w:cs="Arial"/>
          <w:sz w:val="22"/>
        </w:rPr>
        <w:t>who</w:t>
      </w:r>
      <w:r>
        <w:rPr>
          <w:rFonts w:cs="Arial"/>
          <w:sz w:val="22"/>
        </w:rPr>
        <w:t xml:space="preserve"> had gender training, to a training received that was not considered helpful for action purposes, or from other factors.    </w:t>
      </w:r>
    </w:p>
    <w:p w:rsidR="009571FA" w:rsidRPr="006E3D80" w:rsidRDefault="009571FA" w:rsidP="00642B9B">
      <w:pPr>
        <w:jc w:val="both"/>
        <w:rPr>
          <w:rFonts w:cs="Arial"/>
          <w:sz w:val="14"/>
          <w:lang w:val="en-US"/>
        </w:rPr>
      </w:pPr>
    </w:p>
    <w:p w:rsidR="009571FA" w:rsidRPr="00A97632" w:rsidRDefault="009571FA" w:rsidP="00581596">
      <w:pPr>
        <w:numPr>
          <w:ilvl w:val="0"/>
          <w:numId w:val="34"/>
        </w:numPr>
        <w:ind w:left="0" w:firstLine="0"/>
        <w:jc w:val="both"/>
        <w:rPr>
          <w:i/>
          <w:color w:val="000000"/>
          <w:sz w:val="22"/>
          <w:lang w:val="en-US"/>
        </w:rPr>
      </w:pPr>
      <w:r>
        <w:rPr>
          <w:rFonts w:cs="Arial"/>
          <w:sz w:val="22"/>
          <w:lang w:val="en-US"/>
        </w:rPr>
        <w:t xml:space="preserve">   </w:t>
      </w:r>
      <w:r w:rsidR="003914D9">
        <w:rPr>
          <w:rFonts w:cs="Arial"/>
          <w:sz w:val="22"/>
          <w:lang w:val="en-US"/>
        </w:rPr>
        <w:t xml:space="preserve">Consequently, </w:t>
      </w:r>
      <w:r>
        <w:rPr>
          <w:rFonts w:cs="Arial"/>
          <w:sz w:val="22"/>
          <w:lang w:val="en-US"/>
        </w:rPr>
        <w:t>the</w:t>
      </w:r>
      <w:r w:rsidR="006C3E00">
        <w:rPr>
          <w:rFonts w:cs="Arial"/>
          <w:sz w:val="22"/>
          <w:lang w:val="en-US"/>
        </w:rPr>
        <w:t xml:space="preserve"> types of</w:t>
      </w:r>
      <w:r>
        <w:rPr>
          <w:rFonts w:cs="Arial"/>
          <w:sz w:val="22"/>
          <w:lang w:val="en-US"/>
        </w:rPr>
        <w:t xml:space="preserve"> </w:t>
      </w:r>
      <w:r w:rsidRPr="00D60334">
        <w:rPr>
          <w:rFonts w:cs="Arial"/>
          <w:b/>
          <w:i/>
          <w:sz w:val="22"/>
          <w:lang w:val="en-US"/>
        </w:rPr>
        <w:t>institutional support deemed necessary</w:t>
      </w:r>
      <w:r>
        <w:rPr>
          <w:rFonts w:cs="Arial"/>
          <w:sz w:val="22"/>
          <w:lang w:val="en-US"/>
        </w:rPr>
        <w:t xml:space="preserve"> to advance </w:t>
      </w:r>
      <w:r w:rsidR="003914D9">
        <w:rPr>
          <w:rFonts w:cs="Arial"/>
          <w:sz w:val="22"/>
          <w:lang w:val="en-US"/>
        </w:rPr>
        <w:t>gender mainstreaming</w:t>
      </w:r>
      <w:r w:rsidR="006C3E00">
        <w:rPr>
          <w:rFonts w:cs="Arial"/>
          <w:sz w:val="22"/>
          <w:lang w:val="en-US"/>
        </w:rPr>
        <w:t xml:space="preserve"> focused on </w:t>
      </w:r>
      <w:r w:rsidRPr="002C272C">
        <w:rPr>
          <w:i/>
          <w:color w:val="000000"/>
          <w:sz w:val="22"/>
          <w:lang w:val="en-US"/>
        </w:rPr>
        <w:t>develop</w:t>
      </w:r>
      <w:r w:rsidR="00A97632">
        <w:rPr>
          <w:i/>
          <w:color w:val="000000"/>
          <w:sz w:val="22"/>
          <w:lang w:val="en-US"/>
        </w:rPr>
        <w:t>ing</w:t>
      </w:r>
      <w:r w:rsidRPr="002C272C">
        <w:rPr>
          <w:i/>
          <w:color w:val="000000"/>
          <w:sz w:val="22"/>
          <w:lang w:val="en-US"/>
        </w:rPr>
        <w:t xml:space="preserve"> knowledge</w:t>
      </w:r>
      <w:r>
        <w:rPr>
          <w:color w:val="000000"/>
          <w:sz w:val="22"/>
          <w:lang w:val="en-US"/>
        </w:rPr>
        <w:t xml:space="preserve"> </w:t>
      </w:r>
      <w:r w:rsidRPr="00A97632">
        <w:rPr>
          <w:i/>
          <w:color w:val="000000"/>
          <w:sz w:val="22"/>
          <w:lang w:val="en-US"/>
        </w:rPr>
        <w:t>and skills;</w:t>
      </w:r>
      <w:r>
        <w:rPr>
          <w:color w:val="000000"/>
          <w:sz w:val="22"/>
          <w:lang w:val="en-US"/>
        </w:rPr>
        <w:t xml:space="preserve"> </w:t>
      </w:r>
      <w:r w:rsidRPr="00A97632">
        <w:rPr>
          <w:i/>
          <w:color w:val="000000"/>
          <w:sz w:val="22"/>
          <w:lang w:val="en-US"/>
        </w:rPr>
        <w:t>facilitat</w:t>
      </w:r>
      <w:r w:rsidR="00A97632" w:rsidRPr="00A97632">
        <w:rPr>
          <w:i/>
          <w:color w:val="000000"/>
          <w:sz w:val="22"/>
          <w:lang w:val="en-US"/>
        </w:rPr>
        <w:t>ing</w:t>
      </w:r>
      <w:r w:rsidRPr="00A97632">
        <w:rPr>
          <w:i/>
          <w:color w:val="000000"/>
          <w:sz w:val="22"/>
          <w:lang w:val="en-US"/>
        </w:rPr>
        <w:t xml:space="preserve"> access to area-specific gender data/evidence; and enabl</w:t>
      </w:r>
      <w:r w:rsidR="00A97632" w:rsidRPr="00A97632">
        <w:rPr>
          <w:i/>
          <w:color w:val="000000"/>
          <w:sz w:val="22"/>
          <w:lang w:val="en-US"/>
        </w:rPr>
        <w:t xml:space="preserve">ing </w:t>
      </w:r>
      <w:r w:rsidRPr="00A97632">
        <w:rPr>
          <w:i/>
          <w:color w:val="000000"/>
          <w:sz w:val="22"/>
          <w:lang w:val="en-US"/>
        </w:rPr>
        <w:t>a sustained technical collaboration from either Gender Focal Points or the Gender Unit.</w:t>
      </w:r>
    </w:p>
    <w:p w:rsidR="009571FA" w:rsidRDefault="009571FA" w:rsidP="00734B13">
      <w:pPr>
        <w:rPr>
          <w:lang w:val="en-US"/>
        </w:rPr>
      </w:pPr>
    </w:p>
    <w:p w:rsidR="009571FA" w:rsidRPr="003914D9" w:rsidRDefault="009571FA" w:rsidP="00734B13">
      <w:pPr>
        <w:rPr>
          <w:sz w:val="14"/>
          <w:lang w:val="en-US"/>
        </w:rPr>
      </w:pPr>
    </w:p>
    <w:p w:rsidR="009571FA" w:rsidRPr="002C272C" w:rsidRDefault="009571FA" w:rsidP="002B3217">
      <w:pPr>
        <w:tabs>
          <w:tab w:val="left" w:pos="9270"/>
        </w:tabs>
        <w:ind w:right="-270"/>
        <w:rPr>
          <w:rFonts w:cs="Arial"/>
          <w:b/>
          <w:sz w:val="24"/>
          <w:szCs w:val="22"/>
        </w:rPr>
      </w:pPr>
      <w:r w:rsidRPr="002C272C">
        <w:rPr>
          <w:rFonts w:cs="Arial"/>
          <w:b/>
          <w:sz w:val="24"/>
          <w:szCs w:val="22"/>
        </w:rPr>
        <w:t>2.  Bringing gender into the mainstream of PAHO’s programme management</w:t>
      </w:r>
      <w:r>
        <w:rPr>
          <w:rFonts w:cs="Arial"/>
          <w:b/>
          <w:sz w:val="24"/>
          <w:szCs w:val="22"/>
        </w:rPr>
        <w:t xml:space="preserve"> (SD2)</w:t>
      </w:r>
    </w:p>
    <w:p w:rsidR="009571FA" w:rsidRPr="003914D9" w:rsidRDefault="009571FA" w:rsidP="00734B13">
      <w:pPr>
        <w:rPr>
          <w:b/>
          <w:sz w:val="18"/>
        </w:rPr>
      </w:pPr>
    </w:p>
    <w:p w:rsidR="009571FA" w:rsidRDefault="003914D9" w:rsidP="00542313">
      <w:pPr>
        <w:rPr>
          <w:bCs/>
          <w:sz w:val="22"/>
          <w:szCs w:val="22"/>
        </w:rPr>
      </w:pPr>
      <w:r>
        <w:rPr>
          <w:bCs/>
          <w:sz w:val="22"/>
          <w:szCs w:val="22"/>
        </w:rPr>
        <w:t>T</w:t>
      </w:r>
      <w:r w:rsidR="009571FA">
        <w:rPr>
          <w:bCs/>
          <w:sz w:val="22"/>
          <w:szCs w:val="22"/>
        </w:rPr>
        <w:t>his strategy was drawn along three dimensions: (1) operational planning and programme cycle processes; (2) Country Cooperation Strategies (CCS) and corresponding two-year work plans; and (3) level of sex parity among staff.</w:t>
      </w:r>
    </w:p>
    <w:p w:rsidR="009571FA" w:rsidRPr="006E3D80" w:rsidRDefault="009571FA" w:rsidP="00A7362A">
      <w:pPr>
        <w:rPr>
          <w:sz w:val="14"/>
          <w:szCs w:val="22"/>
        </w:rPr>
      </w:pPr>
    </w:p>
    <w:p w:rsidR="009571FA" w:rsidRPr="002C272C" w:rsidRDefault="009571FA" w:rsidP="00A97632">
      <w:pPr>
        <w:rPr>
          <w:b/>
          <w:sz w:val="22"/>
          <w:szCs w:val="22"/>
        </w:rPr>
      </w:pPr>
      <w:r w:rsidRPr="002C272C">
        <w:rPr>
          <w:b/>
          <w:sz w:val="22"/>
          <w:szCs w:val="22"/>
        </w:rPr>
        <w:t xml:space="preserve"> </w:t>
      </w:r>
      <w:r w:rsidR="00A97632">
        <w:rPr>
          <w:b/>
          <w:sz w:val="22"/>
          <w:szCs w:val="22"/>
        </w:rPr>
        <w:t xml:space="preserve">   </w:t>
      </w:r>
      <w:r w:rsidRPr="002C272C">
        <w:rPr>
          <w:b/>
          <w:sz w:val="22"/>
          <w:szCs w:val="22"/>
        </w:rPr>
        <w:t>2.1. Operational planning and programme cycle processes</w:t>
      </w:r>
    </w:p>
    <w:p w:rsidR="009571FA" w:rsidRPr="006E3D80" w:rsidRDefault="009571FA" w:rsidP="00A7362A">
      <w:pPr>
        <w:rPr>
          <w:sz w:val="12"/>
          <w:szCs w:val="22"/>
        </w:rPr>
      </w:pPr>
    </w:p>
    <w:p w:rsidR="009571FA" w:rsidRDefault="00457A79" w:rsidP="00A7362A">
      <w:pPr>
        <w:rPr>
          <w:sz w:val="22"/>
          <w:szCs w:val="22"/>
        </w:rPr>
      </w:pPr>
      <w:r>
        <w:rPr>
          <w:sz w:val="22"/>
          <w:szCs w:val="22"/>
        </w:rPr>
        <w:t xml:space="preserve">Twenty one (21) </w:t>
      </w:r>
      <w:r w:rsidR="009571FA" w:rsidRPr="00777306">
        <w:rPr>
          <w:sz w:val="22"/>
          <w:szCs w:val="22"/>
        </w:rPr>
        <w:t>planning focal points</w:t>
      </w:r>
      <w:r>
        <w:rPr>
          <w:sz w:val="22"/>
          <w:szCs w:val="22"/>
        </w:rPr>
        <w:t xml:space="preserve"> (PFP)</w:t>
      </w:r>
      <w:r w:rsidR="009571FA" w:rsidRPr="00777306">
        <w:rPr>
          <w:sz w:val="22"/>
          <w:szCs w:val="22"/>
        </w:rPr>
        <w:t xml:space="preserve"> in </w:t>
      </w:r>
      <w:r w:rsidR="009571FA">
        <w:rPr>
          <w:sz w:val="22"/>
          <w:szCs w:val="22"/>
        </w:rPr>
        <w:t>PAHO/</w:t>
      </w:r>
      <w:r w:rsidR="009571FA" w:rsidRPr="00777306">
        <w:rPr>
          <w:sz w:val="22"/>
          <w:szCs w:val="22"/>
        </w:rPr>
        <w:t xml:space="preserve">HQ and CO </w:t>
      </w:r>
      <w:r w:rsidR="009571FA">
        <w:rPr>
          <w:sz w:val="22"/>
          <w:szCs w:val="22"/>
        </w:rPr>
        <w:t xml:space="preserve">were interviewed regarding the extent of </w:t>
      </w:r>
      <w:r w:rsidR="009571FA" w:rsidRPr="00777306">
        <w:rPr>
          <w:sz w:val="22"/>
          <w:szCs w:val="22"/>
        </w:rPr>
        <w:t xml:space="preserve">gender integration </w:t>
      </w:r>
      <w:r w:rsidR="009571FA">
        <w:rPr>
          <w:sz w:val="22"/>
          <w:szCs w:val="22"/>
        </w:rPr>
        <w:t>into</w:t>
      </w:r>
      <w:r w:rsidR="009571FA" w:rsidRPr="00777306">
        <w:rPr>
          <w:sz w:val="22"/>
          <w:szCs w:val="22"/>
        </w:rPr>
        <w:t xml:space="preserve"> the </w:t>
      </w:r>
      <w:r w:rsidR="009571FA">
        <w:rPr>
          <w:sz w:val="22"/>
          <w:szCs w:val="22"/>
        </w:rPr>
        <w:t xml:space="preserve">different phases of the </w:t>
      </w:r>
      <w:r w:rsidR="009571FA" w:rsidRPr="00777306">
        <w:rPr>
          <w:sz w:val="22"/>
          <w:szCs w:val="22"/>
        </w:rPr>
        <w:t>operational programming cycle</w:t>
      </w:r>
      <w:r w:rsidR="009571FA">
        <w:rPr>
          <w:sz w:val="22"/>
          <w:szCs w:val="22"/>
        </w:rPr>
        <w:t xml:space="preserve">: planning, implementation and monitoring/evaluation. </w:t>
      </w:r>
    </w:p>
    <w:p w:rsidR="00A97632" w:rsidRPr="00A97632" w:rsidRDefault="00A97632" w:rsidP="00A7362A">
      <w:pPr>
        <w:rPr>
          <w:sz w:val="4"/>
          <w:szCs w:val="22"/>
        </w:rPr>
      </w:pPr>
    </w:p>
    <w:p w:rsidR="009571FA" w:rsidRPr="008B214F" w:rsidRDefault="007B501C" w:rsidP="00A7362A">
      <w:pPr>
        <w:rPr>
          <w:i/>
          <w:sz w:val="22"/>
          <w:szCs w:val="22"/>
        </w:rPr>
      </w:pPr>
      <w:r w:rsidRPr="00A97632">
        <w:rPr>
          <w:i/>
          <w:sz w:val="2"/>
          <w:szCs w:val="22"/>
        </w:rPr>
        <w:t xml:space="preserve">      </w:t>
      </w:r>
      <w:r>
        <w:rPr>
          <w:i/>
          <w:sz w:val="22"/>
          <w:szCs w:val="22"/>
        </w:rPr>
        <w:t xml:space="preserve">   </w:t>
      </w:r>
      <w:r w:rsidR="00A97632">
        <w:rPr>
          <w:i/>
          <w:sz w:val="22"/>
          <w:szCs w:val="22"/>
        </w:rPr>
        <w:t xml:space="preserve">     </w:t>
      </w:r>
      <w:r>
        <w:rPr>
          <w:i/>
          <w:sz w:val="22"/>
          <w:szCs w:val="22"/>
        </w:rPr>
        <w:t>2.1.1. E</w:t>
      </w:r>
      <w:r w:rsidR="009571FA" w:rsidRPr="008B214F">
        <w:rPr>
          <w:i/>
          <w:sz w:val="22"/>
          <w:szCs w:val="22"/>
        </w:rPr>
        <w:t>xtent of gender integration</w:t>
      </w:r>
    </w:p>
    <w:p w:rsidR="009571FA" w:rsidRPr="00EF4104" w:rsidRDefault="009571FA" w:rsidP="00A7362A">
      <w:pPr>
        <w:rPr>
          <w:sz w:val="8"/>
          <w:szCs w:val="22"/>
        </w:rPr>
      </w:pPr>
    </w:p>
    <w:p w:rsidR="009571FA" w:rsidRDefault="009571FA" w:rsidP="00581596">
      <w:pPr>
        <w:numPr>
          <w:ilvl w:val="0"/>
          <w:numId w:val="33"/>
        </w:numPr>
        <w:ind w:left="0" w:firstLine="0"/>
        <w:outlineLvl w:val="1"/>
        <w:rPr>
          <w:sz w:val="22"/>
          <w:szCs w:val="22"/>
        </w:rPr>
      </w:pPr>
      <w:r w:rsidRPr="007510F0">
        <w:rPr>
          <w:i/>
          <w:sz w:val="22"/>
          <w:szCs w:val="22"/>
        </w:rPr>
        <w:t xml:space="preserve"> </w:t>
      </w:r>
      <w:r w:rsidR="00A97632" w:rsidRPr="007510F0">
        <w:rPr>
          <w:sz w:val="22"/>
          <w:szCs w:val="22"/>
        </w:rPr>
        <w:t xml:space="preserve">39% of the interviewed </w:t>
      </w:r>
      <w:r w:rsidR="00362096" w:rsidRPr="007510F0">
        <w:rPr>
          <w:sz w:val="22"/>
          <w:szCs w:val="22"/>
        </w:rPr>
        <w:t xml:space="preserve">PAHO </w:t>
      </w:r>
      <w:r w:rsidR="00457A79" w:rsidRPr="007510F0">
        <w:rPr>
          <w:sz w:val="22"/>
          <w:szCs w:val="22"/>
        </w:rPr>
        <w:t xml:space="preserve">PFPs </w:t>
      </w:r>
      <w:r w:rsidR="00FD666D" w:rsidRPr="007510F0">
        <w:rPr>
          <w:sz w:val="22"/>
          <w:szCs w:val="22"/>
        </w:rPr>
        <w:t xml:space="preserve">indicated that </w:t>
      </w:r>
      <w:r w:rsidR="00457A79" w:rsidRPr="007510F0">
        <w:rPr>
          <w:sz w:val="22"/>
          <w:szCs w:val="22"/>
        </w:rPr>
        <w:t xml:space="preserve">a </w:t>
      </w:r>
      <w:r w:rsidR="00464CB5" w:rsidRPr="007510F0">
        <w:rPr>
          <w:b/>
          <w:sz w:val="22"/>
          <w:szCs w:val="22"/>
        </w:rPr>
        <w:t>“</w:t>
      </w:r>
      <w:r w:rsidRPr="007510F0">
        <w:rPr>
          <w:b/>
          <w:i/>
          <w:sz w:val="22"/>
          <w:szCs w:val="22"/>
        </w:rPr>
        <w:t>strong</w:t>
      </w:r>
      <w:r w:rsidR="00464CB5" w:rsidRPr="007510F0">
        <w:rPr>
          <w:b/>
          <w:i/>
          <w:sz w:val="22"/>
          <w:szCs w:val="22"/>
        </w:rPr>
        <w:t>”</w:t>
      </w:r>
      <w:r w:rsidRPr="007510F0">
        <w:rPr>
          <w:i/>
          <w:sz w:val="22"/>
          <w:szCs w:val="22"/>
        </w:rPr>
        <w:t xml:space="preserve"> </w:t>
      </w:r>
      <w:r w:rsidRPr="007510F0">
        <w:rPr>
          <w:sz w:val="22"/>
          <w:szCs w:val="22"/>
        </w:rPr>
        <w:t>gender integration was achieved at the</w:t>
      </w:r>
      <w:r w:rsidRPr="007510F0">
        <w:rPr>
          <w:b/>
          <w:sz w:val="22"/>
          <w:szCs w:val="22"/>
        </w:rPr>
        <w:t xml:space="preserve"> planning</w:t>
      </w:r>
      <w:r w:rsidRPr="007510F0">
        <w:rPr>
          <w:sz w:val="22"/>
          <w:szCs w:val="22"/>
        </w:rPr>
        <w:t xml:space="preserve"> phase (2008-2012</w:t>
      </w:r>
      <w:r w:rsidR="00A97632" w:rsidRPr="007510F0">
        <w:rPr>
          <w:sz w:val="22"/>
          <w:szCs w:val="22"/>
        </w:rPr>
        <w:t xml:space="preserve"> Strategic Plan</w:t>
      </w:r>
      <w:r w:rsidRPr="007510F0">
        <w:rPr>
          <w:sz w:val="22"/>
          <w:szCs w:val="22"/>
        </w:rPr>
        <w:t xml:space="preserve">). In this respect PAHO fared slightly </w:t>
      </w:r>
      <w:r w:rsidR="00457A79" w:rsidRPr="007510F0">
        <w:rPr>
          <w:sz w:val="22"/>
          <w:szCs w:val="22"/>
        </w:rPr>
        <w:t xml:space="preserve">better than the </w:t>
      </w:r>
      <w:r w:rsidRPr="007510F0">
        <w:rPr>
          <w:sz w:val="22"/>
          <w:szCs w:val="22"/>
        </w:rPr>
        <w:t xml:space="preserve">WHO’s average for all Regions (37%).  </w:t>
      </w:r>
      <w:r w:rsidR="00457A79" w:rsidRPr="007510F0">
        <w:rPr>
          <w:sz w:val="22"/>
          <w:szCs w:val="22"/>
        </w:rPr>
        <w:t xml:space="preserve">On the other hand, </w:t>
      </w:r>
      <w:r w:rsidRPr="007510F0">
        <w:rPr>
          <w:sz w:val="22"/>
          <w:szCs w:val="22"/>
        </w:rPr>
        <w:t xml:space="preserve">no strong gender integration </w:t>
      </w:r>
      <w:r w:rsidR="00362096" w:rsidRPr="007510F0">
        <w:rPr>
          <w:sz w:val="22"/>
          <w:szCs w:val="22"/>
        </w:rPr>
        <w:t xml:space="preserve">was </w:t>
      </w:r>
      <w:r w:rsidR="00457A79" w:rsidRPr="007510F0">
        <w:rPr>
          <w:sz w:val="22"/>
          <w:szCs w:val="22"/>
        </w:rPr>
        <w:t xml:space="preserve">reported by PAHO PFPs for </w:t>
      </w:r>
      <w:r w:rsidR="00111E56" w:rsidRPr="007510F0">
        <w:rPr>
          <w:sz w:val="22"/>
          <w:szCs w:val="22"/>
        </w:rPr>
        <w:t xml:space="preserve">the implementation and evaluation phases </w:t>
      </w:r>
      <w:r w:rsidRPr="007510F0">
        <w:rPr>
          <w:sz w:val="22"/>
          <w:szCs w:val="22"/>
        </w:rPr>
        <w:t>of the</w:t>
      </w:r>
      <w:r w:rsidR="00362096" w:rsidRPr="007510F0">
        <w:rPr>
          <w:sz w:val="22"/>
          <w:szCs w:val="22"/>
        </w:rPr>
        <w:t xml:space="preserve"> past</w:t>
      </w:r>
      <w:r w:rsidRPr="007510F0">
        <w:rPr>
          <w:sz w:val="22"/>
          <w:szCs w:val="22"/>
        </w:rPr>
        <w:t xml:space="preserve"> 2006-2007 work plan, </w:t>
      </w:r>
      <w:r w:rsidR="00457A79" w:rsidRPr="007510F0">
        <w:rPr>
          <w:sz w:val="22"/>
          <w:szCs w:val="22"/>
        </w:rPr>
        <w:t xml:space="preserve">whereas </w:t>
      </w:r>
      <w:r w:rsidRPr="007510F0">
        <w:rPr>
          <w:sz w:val="22"/>
          <w:szCs w:val="22"/>
        </w:rPr>
        <w:t xml:space="preserve">the respective </w:t>
      </w:r>
      <w:r w:rsidR="00362096" w:rsidRPr="007510F0">
        <w:rPr>
          <w:sz w:val="22"/>
          <w:szCs w:val="22"/>
        </w:rPr>
        <w:t>WHO averages</w:t>
      </w:r>
      <w:r w:rsidRPr="007510F0">
        <w:rPr>
          <w:sz w:val="22"/>
          <w:szCs w:val="22"/>
        </w:rPr>
        <w:t xml:space="preserve"> </w:t>
      </w:r>
      <w:r w:rsidR="00457A79" w:rsidRPr="007510F0">
        <w:rPr>
          <w:sz w:val="22"/>
          <w:szCs w:val="22"/>
        </w:rPr>
        <w:t xml:space="preserve">were </w:t>
      </w:r>
      <w:r w:rsidRPr="007510F0">
        <w:rPr>
          <w:sz w:val="22"/>
          <w:szCs w:val="22"/>
        </w:rPr>
        <w:t xml:space="preserve">6% and 2%. </w:t>
      </w:r>
    </w:p>
    <w:p w:rsidR="007510F0" w:rsidRPr="007510F0" w:rsidRDefault="007510F0" w:rsidP="007510F0">
      <w:pPr>
        <w:outlineLvl w:val="1"/>
        <w:rPr>
          <w:sz w:val="22"/>
          <w:szCs w:val="22"/>
        </w:rPr>
      </w:pPr>
    </w:p>
    <w:p w:rsidR="009571FA" w:rsidRPr="007510F0" w:rsidRDefault="009571FA" w:rsidP="00581596">
      <w:pPr>
        <w:numPr>
          <w:ilvl w:val="0"/>
          <w:numId w:val="33"/>
        </w:numPr>
        <w:ind w:left="0" w:firstLine="0"/>
        <w:outlineLvl w:val="1"/>
        <w:rPr>
          <w:sz w:val="22"/>
          <w:szCs w:val="22"/>
        </w:rPr>
      </w:pPr>
      <w:r w:rsidRPr="007510F0">
        <w:rPr>
          <w:sz w:val="22"/>
          <w:szCs w:val="22"/>
        </w:rPr>
        <w:t xml:space="preserve">  </w:t>
      </w:r>
      <w:r w:rsidR="00457A79" w:rsidRPr="007510F0">
        <w:rPr>
          <w:sz w:val="22"/>
          <w:szCs w:val="22"/>
        </w:rPr>
        <w:t>Only a m</w:t>
      </w:r>
      <w:r w:rsidRPr="007510F0">
        <w:rPr>
          <w:sz w:val="22"/>
          <w:szCs w:val="22"/>
        </w:rPr>
        <w:t xml:space="preserve">oderate </w:t>
      </w:r>
      <w:r w:rsidR="00457A79" w:rsidRPr="007510F0">
        <w:rPr>
          <w:sz w:val="22"/>
          <w:szCs w:val="22"/>
        </w:rPr>
        <w:t xml:space="preserve">level of </w:t>
      </w:r>
      <w:r w:rsidRPr="007510F0">
        <w:rPr>
          <w:sz w:val="22"/>
          <w:szCs w:val="22"/>
        </w:rPr>
        <w:t xml:space="preserve">gender integration was </w:t>
      </w:r>
      <w:r w:rsidR="00457A79" w:rsidRPr="007510F0">
        <w:rPr>
          <w:sz w:val="22"/>
          <w:szCs w:val="22"/>
        </w:rPr>
        <w:t xml:space="preserve">acknowledged </w:t>
      </w:r>
      <w:r w:rsidR="00EB2FBD" w:rsidRPr="007510F0">
        <w:rPr>
          <w:sz w:val="22"/>
          <w:szCs w:val="22"/>
        </w:rPr>
        <w:t xml:space="preserve">for </w:t>
      </w:r>
      <w:r w:rsidRPr="007510F0">
        <w:rPr>
          <w:sz w:val="22"/>
          <w:szCs w:val="22"/>
        </w:rPr>
        <w:t>the</w:t>
      </w:r>
      <w:r w:rsidRPr="007510F0">
        <w:rPr>
          <w:b/>
          <w:sz w:val="22"/>
          <w:szCs w:val="22"/>
        </w:rPr>
        <w:t xml:space="preserve"> implementation</w:t>
      </w:r>
      <w:r w:rsidRPr="007510F0">
        <w:rPr>
          <w:sz w:val="22"/>
          <w:szCs w:val="22"/>
        </w:rPr>
        <w:t xml:space="preserve"> </w:t>
      </w:r>
      <w:r w:rsidR="00EB2FBD" w:rsidRPr="007510F0">
        <w:rPr>
          <w:sz w:val="22"/>
          <w:szCs w:val="22"/>
        </w:rPr>
        <w:t>and</w:t>
      </w:r>
      <w:r w:rsidR="00EB2FBD" w:rsidRPr="007510F0">
        <w:rPr>
          <w:b/>
          <w:sz w:val="22"/>
          <w:szCs w:val="22"/>
        </w:rPr>
        <w:t xml:space="preserve"> </w:t>
      </w:r>
      <w:r w:rsidRPr="007510F0">
        <w:rPr>
          <w:b/>
          <w:sz w:val="22"/>
          <w:szCs w:val="22"/>
        </w:rPr>
        <w:t>monitoring/ evaluation</w:t>
      </w:r>
      <w:r w:rsidRPr="007510F0">
        <w:rPr>
          <w:sz w:val="22"/>
          <w:szCs w:val="22"/>
        </w:rPr>
        <w:t xml:space="preserve"> phase</w:t>
      </w:r>
      <w:r w:rsidR="00EB2FBD" w:rsidRPr="007510F0">
        <w:rPr>
          <w:sz w:val="22"/>
          <w:szCs w:val="22"/>
        </w:rPr>
        <w:t>s by less than two thirds and one fifth of the PFPs, respectivel</w:t>
      </w:r>
      <w:r w:rsidR="00EB2FBD" w:rsidRPr="007510F0">
        <w:rPr>
          <w:b/>
          <w:sz w:val="22"/>
          <w:szCs w:val="22"/>
        </w:rPr>
        <w:t>y</w:t>
      </w:r>
      <w:r w:rsidRPr="007510F0">
        <w:rPr>
          <w:b/>
          <w:sz w:val="22"/>
          <w:szCs w:val="22"/>
        </w:rPr>
        <w:t>.</w:t>
      </w:r>
      <w:r w:rsidRPr="007510F0">
        <w:rPr>
          <w:sz w:val="22"/>
          <w:szCs w:val="22"/>
        </w:rPr>
        <w:t xml:space="preserve">  </w:t>
      </w:r>
      <w:r w:rsidR="007510F0" w:rsidRPr="007510F0">
        <w:rPr>
          <w:sz w:val="22"/>
          <w:szCs w:val="22"/>
        </w:rPr>
        <w:t xml:space="preserve">In general,  the proportion declaring “none or weak” gender integration in planning and implementation was lesser in PAHO than in WHO as a whole, but the reverse was true for monitoring/evaluation. </w:t>
      </w:r>
      <w:r w:rsidR="007510F0">
        <w:rPr>
          <w:sz w:val="22"/>
          <w:szCs w:val="22"/>
        </w:rPr>
        <w:t>In any case, both</w:t>
      </w:r>
      <w:r w:rsidR="007510F0" w:rsidRPr="007510F0">
        <w:rPr>
          <w:sz w:val="22"/>
          <w:szCs w:val="22"/>
        </w:rPr>
        <w:t xml:space="preserve"> in PAHO as in </w:t>
      </w:r>
      <w:r w:rsidR="00744A30">
        <w:rPr>
          <w:sz w:val="22"/>
          <w:szCs w:val="22"/>
        </w:rPr>
        <w:t xml:space="preserve">all </w:t>
      </w:r>
      <w:r w:rsidR="007510F0" w:rsidRPr="007510F0">
        <w:rPr>
          <w:sz w:val="22"/>
          <w:szCs w:val="22"/>
        </w:rPr>
        <w:t>WHO</w:t>
      </w:r>
      <w:r w:rsidR="007510F0">
        <w:rPr>
          <w:sz w:val="22"/>
          <w:szCs w:val="22"/>
        </w:rPr>
        <w:t xml:space="preserve">, gender integration was </w:t>
      </w:r>
      <w:r w:rsidR="00744A30">
        <w:rPr>
          <w:sz w:val="22"/>
          <w:szCs w:val="22"/>
        </w:rPr>
        <w:t xml:space="preserve">judged to be weakest in the monitoring/evaluation phase. </w:t>
      </w:r>
      <w:r w:rsidRPr="007510F0">
        <w:rPr>
          <w:sz w:val="22"/>
          <w:szCs w:val="22"/>
        </w:rPr>
        <w:t xml:space="preserve"> </w:t>
      </w:r>
    </w:p>
    <w:p w:rsidR="009571FA" w:rsidRPr="006E3D80" w:rsidRDefault="009571FA" w:rsidP="00642B9B">
      <w:pPr>
        <w:outlineLvl w:val="1"/>
        <w:rPr>
          <w:sz w:val="14"/>
          <w:szCs w:val="22"/>
        </w:rPr>
      </w:pPr>
    </w:p>
    <w:p w:rsidR="009571FA" w:rsidRPr="00362096" w:rsidRDefault="009571FA" w:rsidP="00581596">
      <w:pPr>
        <w:numPr>
          <w:ilvl w:val="0"/>
          <w:numId w:val="33"/>
        </w:numPr>
        <w:ind w:left="0" w:firstLine="0"/>
        <w:outlineLvl w:val="1"/>
        <w:rPr>
          <w:i/>
          <w:sz w:val="18"/>
          <w:szCs w:val="22"/>
        </w:rPr>
      </w:pPr>
      <w:r w:rsidRPr="00362096">
        <w:rPr>
          <w:sz w:val="22"/>
          <w:szCs w:val="22"/>
        </w:rPr>
        <w:t xml:space="preserve">  </w:t>
      </w:r>
      <w:r w:rsidR="00362096" w:rsidRPr="00362096">
        <w:rPr>
          <w:sz w:val="22"/>
          <w:szCs w:val="22"/>
        </w:rPr>
        <w:t xml:space="preserve">Due to the small sample size, </w:t>
      </w:r>
      <w:r w:rsidRPr="00362096">
        <w:rPr>
          <w:sz w:val="22"/>
          <w:szCs w:val="22"/>
        </w:rPr>
        <w:t xml:space="preserve">definite conclusions regarding </w:t>
      </w:r>
      <w:r w:rsidR="00362096" w:rsidRPr="00362096">
        <w:rPr>
          <w:sz w:val="22"/>
          <w:szCs w:val="22"/>
        </w:rPr>
        <w:t xml:space="preserve">grade </w:t>
      </w:r>
      <w:r w:rsidRPr="00362096">
        <w:rPr>
          <w:b/>
          <w:sz w:val="22"/>
          <w:szCs w:val="22"/>
        </w:rPr>
        <w:t>differentials</w:t>
      </w:r>
      <w:r w:rsidRPr="00362096">
        <w:rPr>
          <w:sz w:val="22"/>
          <w:szCs w:val="22"/>
        </w:rPr>
        <w:t xml:space="preserve"> in gender integration were not feasible</w:t>
      </w:r>
      <w:r w:rsidR="00362096" w:rsidRPr="00362096">
        <w:rPr>
          <w:sz w:val="22"/>
          <w:szCs w:val="22"/>
        </w:rPr>
        <w:t>, but</w:t>
      </w:r>
      <w:r w:rsidRPr="00362096">
        <w:rPr>
          <w:sz w:val="22"/>
          <w:szCs w:val="22"/>
        </w:rPr>
        <w:t xml:space="preserve"> some consistent associations </w:t>
      </w:r>
      <w:r w:rsidR="00362096" w:rsidRPr="00362096">
        <w:rPr>
          <w:sz w:val="22"/>
          <w:szCs w:val="22"/>
        </w:rPr>
        <w:t>were</w:t>
      </w:r>
      <w:r w:rsidRPr="00362096">
        <w:rPr>
          <w:sz w:val="22"/>
          <w:szCs w:val="22"/>
        </w:rPr>
        <w:t xml:space="preserve"> observed:  gender integration was more frequent (at both strong and moderate levels) among women relative to men, </w:t>
      </w:r>
      <w:r w:rsidR="00E117DD" w:rsidRPr="00362096">
        <w:rPr>
          <w:sz w:val="22"/>
          <w:szCs w:val="22"/>
        </w:rPr>
        <w:t xml:space="preserve">among </w:t>
      </w:r>
      <w:r w:rsidRPr="00362096">
        <w:rPr>
          <w:sz w:val="22"/>
          <w:szCs w:val="22"/>
        </w:rPr>
        <w:t xml:space="preserve">directors relative to professionals, and </w:t>
      </w:r>
      <w:r w:rsidR="00E117DD" w:rsidRPr="00362096">
        <w:rPr>
          <w:sz w:val="22"/>
          <w:szCs w:val="22"/>
        </w:rPr>
        <w:t xml:space="preserve">among </w:t>
      </w:r>
      <w:r w:rsidRPr="00362096">
        <w:rPr>
          <w:sz w:val="22"/>
          <w:szCs w:val="22"/>
        </w:rPr>
        <w:t xml:space="preserve">planners with </w:t>
      </w:r>
      <w:r w:rsidRPr="00362096">
        <w:rPr>
          <w:i/>
          <w:sz w:val="22"/>
          <w:szCs w:val="22"/>
        </w:rPr>
        <w:t>some,</w:t>
      </w:r>
      <w:r w:rsidRPr="00362096">
        <w:rPr>
          <w:sz w:val="22"/>
          <w:szCs w:val="22"/>
        </w:rPr>
        <w:t xml:space="preserve"> </w:t>
      </w:r>
      <w:r w:rsidR="00E117DD" w:rsidRPr="00362096">
        <w:rPr>
          <w:sz w:val="22"/>
          <w:szCs w:val="22"/>
        </w:rPr>
        <w:t xml:space="preserve">relative to </w:t>
      </w:r>
      <w:r w:rsidRPr="00362096">
        <w:rPr>
          <w:sz w:val="22"/>
          <w:szCs w:val="22"/>
        </w:rPr>
        <w:t xml:space="preserve">planners with </w:t>
      </w:r>
      <w:r w:rsidRPr="00362096">
        <w:rPr>
          <w:i/>
          <w:sz w:val="22"/>
          <w:szCs w:val="22"/>
        </w:rPr>
        <w:t xml:space="preserve">no </w:t>
      </w:r>
      <w:r w:rsidRPr="00362096">
        <w:rPr>
          <w:sz w:val="22"/>
          <w:szCs w:val="22"/>
        </w:rPr>
        <w:t>previous collaboration with the PAHO Gender Unit network</w:t>
      </w:r>
      <w:r w:rsidR="00362096" w:rsidRPr="00362096">
        <w:rPr>
          <w:sz w:val="22"/>
          <w:szCs w:val="22"/>
        </w:rPr>
        <w:t>.</w:t>
      </w:r>
    </w:p>
    <w:p w:rsidR="00362096" w:rsidRPr="00362096" w:rsidRDefault="00362096" w:rsidP="00362096">
      <w:pPr>
        <w:outlineLvl w:val="1"/>
        <w:rPr>
          <w:i/>
          <w:sz w:val="18"/>
          <w:szCs w:val="22"/>
        </w:rPr>
      </w:pPr>
    </w:p>
    <w:p w:rsidR="009571FA" w:rsidRPr="008B214F" w:rsidRDefault="00362096" w:rsidP="008B214F">
      <w:pPr>
        <w:pStyle w:val="ListParagraph"/>
        <w:ind w:left="0"/>
        <w:rPr>
          <w:i/>
          <w:sz w:val="22"/>
          <w:szCs w:val="22"/>
        </w:rPr>
      </w:pPr>
      <w:r>
        <w:rPr>
          <w:i/>
          <w:sz w:val="22"/>
          <w:szCs w:val="22"/>
        </w:rPr>
        <w:t xml:space="preserve">        2.1.2. P</w:t>
      </w:r>
      <w:r w:rsidR="009571FA">
        <w:rPr>
          <w:i/>
          <w:sz w:val="22"/>
          <w:szCs w:val="22"/>
        </w:rPr>
        <w:t xml:space="preserve">erceptions </w:t>
      </w:r>
      <w:r w:rsidR="00744A30">
        <w:rPr>
          <w:i/>
          <w:sz w:val="22"/>
          <w:szCs w:val="22"/>
        </w:rPr>
        <w:t>on</w:t>
      </w:r>
      <w:r w:rsidR="009571FA">
        <w:rPr>
          <w:i/>
          <w:sz w:val="22"/>
          <w:szCs w:val="22"/>
        </w:rPr>
        <w:t xml:space="preserve"> </w:t>
      </w:r>
      <w:r w:rsidR="009571FA" w:rsidRPr="008B214F">
        <w:rPr>
          <w:i/>
          <w:sz w:val="22"/>
          <w:szCs w:val="22"/>
        </w:rPr>
        <w:t>inhibiting and facilitating elements</w:t>
      </w:r>
      <w:r w:rsidR="00744A30">
        <w:rPr>
          <w:i/>
          <w:sz w:val="22"/>
          <w:szCs w:val="22"/>
        </w:rPr>
        <w:t xml:space="preserve"> for gender mainstreaming</w:t>
      </w:r>
      <w:r w:rsidR="009571FA" w:rsidRPr="008B214F">
        <w:rPr>
          <w:i/>
          <w:sz w:val="22"/>
          <w:szCs w:val="22"/>
        </w:rPr>
        <w:t xml:space="preserve"> </w:t>
      </w:r>
    </w:p>
    <w:p w:rsidR="009571FA" w:rsidRPr="006E3D80" w:rsidRDefault="009571FA" w:rsidP="0025148A">
      <w:pPr>
        <w:rPr>
          <w:i/>
          <w:sz w:val="14"/>
        </w:rPr>
      </w:pPr>
    </w:p>
    <w:p w:rsidR="009571FA" w:rsidRPr="00362096" w:rsidRDefault="009571FA" w:rsidP="00581596">
      <w:pPr>
        <w:pStyle w:val="ListParagraph"/>
        <w:numPr>
          <w:ilvl w:val="0"/>
          <w:numId w:val="62"/>
        </w:numPr>
        <w:rPr>
          <w:i/>
          <w:sz w:val="22"/>
        </w:rPr>
      </w:pPr>
      <w:r w:rsidRPr="00362096">
        <w:rPr>
          <w:i/>
          <w:sz w:val="22"/>
        </w:rPr>
        <w:t>Inhibiting factors</w:t>
      </w:r>
    </w:p>
    <w:p w:rsidR="009571FA" w:rsidRPr="006E3D80" w:rsidRDefault="009571FA" w:rsidP="0025148A">
      <w:pPr>
        <w:rPr>
          <w:i/>
          <w:sz w:val="8"/>
        </w:rPr>
      </w:pPr>
    </w:p>
    <w:p w:rsidR="009571FA" w:rsidRDefault="009571FA" w:rsidP="00581596">
      <w:pPr>
        <w:numPr>
          <w:ilvl w:val="0"/>
          <w:numId w:val="32"/>
        </w:numPr>
        <w:ind w:left="0" w:firstLine="0"/>
        <w:rPr>
          <w:sz w:val="22"/>
        </w:rPr>
      </w:pPr>
      <w:r>
        <w:rPr>
          <w:sz w:val="22"/>
          <w:szCs w:val="22"/>
        </w:rPr>
        <w:t xml:space="preserve">   G</w:t>
      </w:r>
      <w:r w:rsidRPr="00777306">
        <w:rPr>
          <w:sz w:val="22"/>
        </w:rPr>
        <w:t xml:space="preserve">ender integration </w:t>
      </w:r>
      <w:r w:rsidRPr="00777306">
        <w:rPr>
          <w:sz w:val="22"/>
          <w:szCs w:val="22"/>
        </w:rPr>
        <w:t>w</w:t>
      </w:r>
      <w:r w:rsidRPr="00777306">
        <w:rPr>
          <w:sz w:val="22"/>
        </w:rPr>
        <w:t xml:space="preserve">eaknesses in the </w:t>
      </w:r>
      <w:r w:rsidRPr="00777306">
        <w:rPr>
          <w:b/>
          <w:sz w:val="22"/>
        </w:rPr>
        <w:t>planning stage</w:t>
      </w:r>
      <w:r>
        <w:rPr>
          <w:b/>
          <w:sz w:val="22"/>
        </w:rPr>
        <w:t xml:space="preserve"> </w:t>
      </w:r>
      <w:r w:rsidR="00362096">
        <w:rPr>
          <w:sz w:val="22"/>
        </w:rPr>
        <w:t>(</w:t>
      </w:r>
      <w:r w:rsidRPr="006B4342">
        <w:rPr>
          <w:sz w:val="22"/>
        </w:rPr>
        <w:t>2006-2007 work plan)</w:t>
      </w:r>
      <w:r>
        <w:rPr>
          <w:b/>
          <w:sz w:val="22"/>
        </w:rPr>
        <w:t xml:space="preserve">, </w:t>
      </w:r>
      <w:r w:rsidRPr="006B4342">
        <w:rPr>
          <w:sz w:val="22"/>
        </w:rPr>
        <w:t>pa</w:t>
      </w:r>
      <w:r w:rsidRPr="00777306">
        <w:rPr>
          <w:sz w:val="22"/>
        </w:rPr>
        <w:t>rticularly in regards to the</w:t>
      </w:r>
      <w:r w:rsidRPr="00777306">
        <w:rPr>
          <w:b/>
          <w:sz w:val="22"/>
        </w:rPr>
        <w:t xml:space="preserve"> situation analysis,</w:t>
      </w:r>
      <w:r w:rsidRPr="00777306">
        <w:rPr>
          <w:sz w:val="22"/>
        </w:rPr>
        <w:t xml:space="preserve"> were </w:t>
      </w:r>
      <w:r>
        <w:rPr>
          <w:sz w:val="22"/>
        </w:rPr>
        <w:t xml:space="preserve">charged with </w:t>
      </w:r>
      <w:r w:rsidRPr="00777306">
        <w:rPr>
          <w:sz w:val="22"/>
        </w:rPr>
        <w:t>holding back gender visibility and integration in the subsequent stages of implementation and monitoring.</w:t>
      </w:r>
    </w:p>
    <w:p w:rsidR="009571FA" w:rsidRPr="006E3D80" w:rsidRDefault="009571FA" w:rsidP="00642B9B">
      <w:pPr>
        <w:rPr>
          <w:sz w:val="2"/>
        </w:rPr>
      </w:pPr>
    </w:p>
    <w:p w:rsidR="009571FA" w:rsidRPr="0069057A" w:rsidRDefault="009571FA" w:rsidP="00642B9B">
      <w:pPr>
        <w:rPr>
          <w:sz w:val="10"/>
        </w:rPr>
      </w:pPr>
    </w:p>
    <w:p w:rsidR="009571FA" w:rsidRPr="00071848" w:rsidRDefault="009571FA" w:rsidP="00581596">
      <w:pPr>
        <w:numPr>
          <w:ilvl w:val="0"/>
          <w:numId w:val="32"/>
        </w:numPr>
        <w:ind w:left="0" w:firstLine="0"/>
        <w:rPr>
          <w:i/>
          <w:sz w:val="22"/>
        </w:rPr>
      </w:pPr>
      <w:r>
        <w:rPr>
          <w:sz w:val="22"/>
        </w:rPr>
        <w:t xml:space="preserve">   T</w:t>
      </w:r>
      <w:r w:rsidRPr="00777306">
        <w:rPr>
          <w:sz w:val="22"/>
        </w:rPr>
        <w:t xml:space="preserve">he most important reported </w:t>
      </w:r>
      <w:r w:rsidRPr="0069057A">
        <w:rPr>
          <w:sz w:val="22"/>
        </w:rPr>
        <w:t>obstacles for</w:t>
      </w:r>
      <w:r w:rsidRPr="00777306">
        <w:rPr>
          <w:sz w:val="22"/>
        </w:rPr>
        <w:t xml:space="preserve"> gender mainstreaming were related to staff </w:t>
      </w:r>
      <w:r w:rsidRPr="006B4342">
        <w:rPr>
          <w:b/>
          <w:sz w:val="22"/>
        </w:rPr>
        <w:t>limited understanding and technical capacity</w:t>
      </w:r>
      <w:r w:rsidRPr="00777306">
        <w:rPr>
          <w:sz w:val="22"/>
        </w:rPr>
        <w:t xml:space="preserve"> </w:t>
      </w:r>
      <w:r>
        <w:rPr>
          <w:sz w:val="22"/>
        </w:rPr>
        <w:t>regarding</w:t>
      </w:r>
      <w:r w:rsidRPr="00777306">
        <w:rPr>
          <w:sz w:val="22"/>
        </w:rPr>
        <w:t xml:space="preserve"> gender and health. These limitations rested less on lack of awareness regarding organizational gender policies</w:t>
      </w:r>
      <w:r w:rsidR="00744A30">
        <w:rPr>
          <w:sz w:val="22"/>
        </w:rPr>
        <w:t>--</w:t>
      </w:r>
      <w:r w:rsidR="00362096">
        <w:rPr>
          <w:sz w:val="22"/>
        </w:rPr>
        <w:t>or on knowledge of basic gender concepts</w:t>
      </w:r>
      <w:r w:rsidR="00744A30">
        <w:rPr>
          <w:sz w:val="22"/>
        </w:rPr>
        <w:t>--</w:t>
      </w:r>
      <w:r w:rsidR="00362096">
        <w:rPr>
          <w:sz w:val="22"/>
        </w:rPr>
        <w:t xml:space="preserve"> </w:t>
      </w:r>
      <w:r w:rsidRPr="00777306">
        <w:rPr>
          <w:sz w:val="22"/>
        </w:rPr>
        <w:t xml:space="preserve">than on limited </w:t>
      </w:r>
      <w:r>
        <w:rPr>
          <w:sz w:val="22"/>
        </w:rPr>
        <w:t xml:space="preserve">understanding of </w:t>
      </w:r>
      <w:r w:rsidRPr="00777306">
        <w:rPr>
          <w:sz w:val="22"/>
        </w:rPr>
        <w:t xml:space="preserve">the relevance of gender </w:t>
      </w:r>
      <w:r>
        <w:rPr>
          <w:sz w:val="22"/>
        </w:rPr>
        <w:t>to</w:t>
      </w:r>
      <w:r w:rsidRPr="00777306">
        <w:rPr>
          <w:sz w:val="22"/>
        </w:rPr>
        <w:t xml:space="preserve"> their </w:t>
      </w:r>
      <w:r w:rsidRPr="00777306">
        <w:rPr>
          <w:b/>
          <w:sz w:val="22"/>
        </w:rPr>
        <w:t>specific work areas</w:t>
      </w:r>
      <w:r w:rsidRPr="00777306">
        <w:rPr>
          <w:sz w:val="22"/>
        </w:rPr>
        <w:t xml:space="preserve"> and </w:t>
      </w:r>
      <w:r w:rsidR="00A04EA7">
        <w:rPr>
          <w:sz w:val="22"/>
        </w:rPr>
        <w:t xml:space="preserve">on </w:t>
      </w:r>
      <w:r>
        <w:rPr>
          <w:sz w:val="22"/>
        </w:rPr>
        <w:t xml:space="preserve">the </w:t>
      </w:r>
      <w:r w:rsidRPr="00777306">
        <w:rPr>
          <w:sz w:val="22"/>
        </w:rPr>
        <w:t>ways to address gender equality issues in th</w:t>
      </w:r>
      <w:r w:rsidR="00A04EA7">
        <w:rPr>
          <w:sz w:val="22"/>
        </w:rPr>
        <w:t>ose</w:t>
      </w:r>
      <w:r w:rsidRPr="00777306">
        <w:rPr>
          <w:sz w:val="22"/>
        </w:rPr>
        <w:t xml:space="preserve"> areas. Emphasis was placed on the </w:t>
      </w:r>
      <w:r>
        <w:rPr>
          <w:sz w:val="22"/>
        </w:rPr>
        <w:t xml:space="preserve">lack of </w:t>
      </w:r>
      <w:r w:rsidRPr="00071848">
        <w:rPr>
          <w:i/>
          <w:sz w:val="22"/>
        </w:rPr>
        <w:t>shared conceptual frameworks</w:t>
      </w:r>
      <w:r w:rsidRPr="00777306">
        <w:rPr>
          <w:sz w:val="22"/>
        </w:rPr>
        <w:t xml:space="preserve">, access to </w:t>
      </w:r>
      <w:r w:rsidRPr="00071848">
        <w:rPr>
          <w:i/>
          <w:sz w:val="22"/>
        </w:rPr>
        <w:t>supporting empirical evidence</w:t>
      </w:r>
      <w:r w:rsidRPr="00777306">
        <w:rPr>
          <w:sz w:val="22"/>
        </w:rPr>
        <w:t xml:space="preserve">, availability of practical </w:t>
      </w:r>
      <w:r w:rsidRPr="00777306">
        <w:rPr>
          <w:b/>
          <w:sz w:val="22"/>
        </w:rPr>
        <w:t>tools</w:t>
      </w:r>
      <w:r w:rsidRPr="00777306">
        <w:rPr>
          <w:sz w:val="22"/>
        </w:rPr>
        <w:t xml:space="preserve"> to translate knowledge into action, and opportunities </w:t>
      </w:r>
      <w:r>
        <w:rPr>
          <w:sz w:val="22"/>
        </w:rPr>
        <w:t xml:space="preserve">to </w:t>
      </w:r>
      <w:r w:rsidRPr="00777306">
        <w:rPr>
          <w:sz w:val="22"/>
        </w:rPr>
        <w:t xml:space="preserve">discuss and </w:t>
      </w:r>
      <w:r w:rsidRPr="00071848">
        <w:rPr>
          <w:i/>
          <w:sz w:val="22"/>
        </w:rPr>
        <w:t xml:space="preserve">exchange pertinent ideas.  </w:t>
      </w:r>
    </w:p>
    <w:p w:rsidR="009571FA" w:rsidRPr="006E3D80" w:rsidRDefault="009571FA" w:rsidP="00642B9B">
      <w:pPr>
        <w:rPr>
          <w:sz w:val="2"/>
        </w:rPr>
      </w:pPr>
    </w:p>
    <w:p w:rsidR="009571FA" w:rsidRPr="0069057A" w:rsidRDefault="009571FA" w:rsidP="00642B9B">
      <w:pPr>
        <w:rPr>
          <w:sz w:val="8"/>
        </w:rPr>
      </w:pPr>
    </w:p>
    <w:p w:rsidR="009571FA" w:rsidRPr="0069057A" w:rsidRDefault="009571FA" w:rsidP="00581596">
      <w:pPr>
        <w:numPr>
          <w:ilvl w:val="0"/>
          <w:numId w:val="32"/>
        </w:numPr>
        <w:ind w:left="0" w:firstLine="0"/>
        <w:rPr>
          <w:sz w:val="22"/>
        </w:rPr>
      </w:pPr>
      <w:r>
        <w:rPr>
          <w:sz w:val="22"/>
        </w:rPr>
        <w:t xml:space="preserve">    </w:t>
      </w:r>
      <w:r w:rsidR="00A04EA7">
        <w:rPr>
          <w:sz w:val="22"/>
        </w:rPr>
        <w:t xml:space="preserve">Other </w:t>
      </w:r>
      <w:r w:rsidR="005158F6">
        <w:rPr>
          <w:sz w:val="22"/>
        </w:rPr>
        <w:t>key</w:t>
      </w:r>
      <w:r w:rsidR="00744A30">
        <w:rPr>
          <w:sz w:val="22"/>
        </w:rPr>
        <w:t xml:space="preserve"> </w:t>
      </w:r>
      <w:r w:rsidR="00A04EA7">
        <w:rPr>
          <w:sz w:val="22"/>
        </w:rPr>
        <w:t xml:space="preserve">factors </w:t>
      </w:r>
      <w:r w:rsidRPr="00777306">
        <w:rPr>
          <w:sz w:val="22"/>
        </w:rPr>
        <w:t>perceived as hindering the advancement of gender integration in the programming cycle were</w:t>
      </w:r>
      <w:r w:rsidR="00744A30">
        <w:rPr>
          <w:sz w:val="22"/>
        </w:rPr>
        <w:t>:</w:t>
      </w:r>
      <w:r w:rsidRPr="00777306">
        <w:rPr>
          <w:sz w:val="22"/>
        </w:rPr>
        <w:t xml:space="preserve"> the </w:t>
      </w:r>
      <w:r w:rsidRPr="00115D64">
        <w:rPr>
          <w:b/>
          <w:sz w:val="22"/>
        </w:rPr>
        <w:t>lack of organizational guidelines</w:t>
      </w:r>
      <w:r w:rsidRPr="00777306">
        <w:rPr>
          <w:sz w:val="22"/>
        </w:rPr>
        <w:t xml:space="preserve"> for gender integration into planning and evaluation; the </w:t>
      </w:r>
      <w:r w:rsidR="00744A30">
        <w:rPr>
          <w:sz w:val="22"/>
        </w:rPr>
        <w:t>seeming</w:t>
      </w:r>
      <w:r w:rsidRPr="00777306">
        <w:rPr>
          <w:sz w:val="22"/>
        </w:rPr>
        <w:t xml:space="preserve"> </w:t>
      </w:r>
      <w:r w:rsidRPr="00115D64">
        <w:rPr>
          <w:b/>
          <w:sz w:val="22"/>
        </w:rPr>
        <w:t>absence of accountability</w:t>
      </w:r>
      <w:r w:rsidRPr="00777306">
        <w:rPr>
          <w:sz w:val="22"/>
        </w:rPr>
        <w:t xml:space="preserve"> mechanisms and procedures in this respect; and the </w:t>
      </w:r>
      <w:r w:rsidRPr="00115D64">
        <w:rPr>
          <w:b/>
          <w:sz w:val="22"/>
        </w:rPr>
        <w:t>invisibility of gender in some manager’s agendas.</w:t>
      </w:r>
      <w:r w:rsidRPr="00777306">
        <w:rPr>
          <w:sz w:val="22"/>
        </w:rPr>
        <w:t xml:space="preserve"> Severe limitations in enabling resources, particularly</w:t>
      </w:r>
      <w:r>
        <w:rPr>
          <w:sz w:val="22"/>
        </w:rPr>
        <w:t xml:space="preserve">, in terms </w:t>
      </w:r>
      <w:r w:rsidRPr="0069057A">
        <w:rPr>
          <w:sz w:val="22"/>
        </w:rPr>
        <w:t xml:space="preserve">of </w:t>
      </w:r>
      <w:r w:rsidRPr="00115D64">
        <w:rPr>
          <w:b/>
          <w:sz w:val="22"/>
        </w:rPr>
        <w:t>gender-skilled human resources</w:t>
      </w:r>
      <w:r w:rsidRPr="0069057A">
        <w:rPr>
          <w:sz w:val="22"/>
        </w:rPr>
        <w:t xml:space="preserve">, were </w:t>
      </w:r>
      <w:r w:rsidR="00744A30">
        <w:rPr>
          <w:sz w:val="22"/>
        </w:rPr>
        <w:t xml:space="preserve">also </w:t>
      </w:r>
      <w:r w:rsidRPr="0069057A">
        <w:rPr>
          <w:sz w:val="22"/>
        </w:rPr>
        <w:t xml:space="preserve">emphasized.  </w:t>
      </w:r>
    </w:p>
    <w:p w:rsidR="009571FA" w:rsidRPr="006E3D80" w:rsidRDefault="009571FA" w:rsidP="00A7362A">
      <w:pPr>
        <w:rPr>
          <w:sz w:val="14"/>
        </w:rPr>
      </w:pPr>
    </w:p>
    <w:p w:rsidR="009571FA" w:rsidRDefault="009571FA" w:rsidP="0025148A">
      <w:pPr>
        <w:rPr>
          <w:i/>
          <w:sz w:val="22"/>
        </w:rPr>
      </w:pPr>
      <w:r>
        <w:rPr>
          <w:i/>
          <w:sz w:val="22"/>
        </w:rPr>
        <w:t xml:space="preserve">  </w:t>
      </w:r>
      <w:r w:rsidRPr="0069057A">
        <w:rPr>
          <w:i/>
          <w:sz w:val="22"/>
        </w:rPr>
        <w:t>Facilitating factors</w:t>
      </w:r>
    </w:p>
    <w:p w:rsidR="009571FA" w:rsidRPr="0069057A" w:rsidRDefault="009571FA" w:rsidP="0025148A">
      <w:pPr>
        <w:rPr>
          <w:i/>
          <w:sz w:val="10"/>
        </w:rPr>
      </w:pPr>
    </w:p>
    <w:p w:rsidR="009571FA" w:rsidRPr="00777306" w:rsidRDefault="009571FA" w:rsidP="00581596">
      <w:pPr>
        <w:pStyle w:val="ListParagraph"/>
        <w:numPr>
          <w:ilvl w:val="0"/>
          <w:numId w:val="31"/>
        </w:numPr>
        <w:ind w:left="0" w:firstLine="0"/>
        <w:rPr>
          <w:sz w:val="22"/>
        </w:rPr>
      </w:pPr>
      <w:r>
        <w:rPr>
          <w:sz w:val="22"/>
        </w:rPr>
        <w:t xml:space="preserve">    </w:t>
      </w:r>
      <w:r w:rsidRPr="0069057A">
        <w:rPr>
          <w:sz w:val="22"/>
        </w:rPr>
        <w:t>The facilitating factors</w:t>
      </w:r>
      <w:r w:rsidRPr="00777306">
        <w:rPr>
          <w:sz w:val="22"/>
        </w:rPr>
        <w:t xml:space="preserve"> most frequently mentioned referred to the </w:t>
      </w:r>
      <w:r w:rsidR="00A04EA7">
        <w:rPr>
          <w:sz w:val="22"/>
        </w:rPr>
        <w:t>institutional internal environment</w:t>
      </w:r>
      <w:r w:rsidR="005158F6">
        <w:rPr>
          <w:sz w:val="22"/>
        </w:rPr>
        <w:t xml:space="preserve">. They were: </w:t>
      </w:r>
      <w:r w:rsidRPr="005158F6">
        <w:rPr>
          <w:b/>
          <w:i/>
          <w:sz w:val="22"/>
        </w:rPr>
        <w:t>first,</w:t>
      </w:r>
      <w:r w:rsidRPr="00777306">
        <w:rPr>
          <w:sz w:val="22"/>
        </w:rPr>
        <w:t xml:space="preserve"> the decisive </w:t>
      </w:r>
      <w:r w:rsidRPr="002C272C">
        <w:rPr>
          <w:i/>
          <w:sz w:val="22"/>
        </w:rPr>
        <w:t>support from the PAHO Director</w:t>
      </w:r>
      <w:r w:rsidR="00744A30">
        <w:rPr>
          <w:sz w:val="22"/>
        </w:rPr>
        <w:t xml:space="preserve"> and </w:t>
      </w:r>
      <w:r w:rsidRPr="00777306">
        <w:rPr>
          <w:sz w:val="22"/>
        </w:rPr>
        <w:t>some senior managers in HQ and C</w:t>
      </w:r>
      <w:r w:rsidR="005158F6" w:rsidRPr="00777306">
        <w:rPr>
          <w:sz w:val="22"/>
        </w:rPr>
        <w:t>o</w:t>
      </w:r>
      <w:r w:rsidR="005158F6">
        <w:rPr>
          <w:sz w:val="22"/>
        </w:rPr>
        <w:t xml:space="preserve">; </w:t>
      </w:r>
      <w:r w:rsidR="005158F6" w:rsidRPr="005158F6">
        <w:rPr>
          <w:b/>
          <w:i/>
          <w:sz w:val="22"/>
        </w:rPr>
        <w:t>second</w:t>
      </w:r>
      <w:r w:rsidRPr="005158F6">
        <w:rPr>
          <w:b/>
          <w:sz w:val="22"/>
        </w:rPr>
        <w:t xml:space="preserve"> </w:t>
      </w:r>
      <w:r w:rsidRPr="00777306">
        <w:rPr>
          <w:sz w:val="22"/>
        </w:rPr>
        <w:t>the institutional pro-gender equality policies, with special emphasis on</w:t>
      </w:r>
      <w:r w:rsidR="00A04EA7">
        <w:rPr>
          <w:sz w:val="22"/>
        </w:rPr>
        <w:t xml:space="preserve"> the</w:t>
      </w:r>
      <w:r w:rsidRPr="00777306">
        <w:rPr>
          <w:sz w:val="22"/>
        </w:rPr>
        <w:t xml:space="preserve"> </w:t>
      </w:r>
      <w:r w:rsidRPr="002C272C">
        <w:rPr>
          <w:i/>
          <w:sz w:val="22"/>
        </w:rPr>
        <w:t>PAHO Gender Equality Policy</w:t>
      </w:r>
      <w:r w:rsidR="005158F6">
        <w:rPr>
          <w:i/>
          <w:sz w:val="22"/>
        </w:rPr>
        <w:t xml:space="preserve">; </w:t>
      </w:r>
      <w:r w:rsidR="005158F6" w:rsidRPr="005158F6">
        <w:rPr>
          <w:b/>
          <w:i/>
          <w:sz w:val="22"/>
        </w:rPr>
        <w:t>third</w:t>
      </w:r>
      <w:r w:rsidR="005158F6">
        <w:rPr>
          <w:i/>
          <w:sz w:val="22"/>
        </w:rPr>
        <w:t xml:space="preserve">, </w:t>
      </w:r>
      <w:r w:rsidRPr="00777306">
        <w:rPr>
          <w:sz w:val="22"/>
        </w:rPr>
        <w:t xml:space="preserve">the </w:t>
      </w:r>
      <w:r w:rsidRPr="002C272C">
        <w:rPr>
          <w:i/>
          <w:sz w:val="22"/>
        </w:rPr>
        <w:t xml:space="preserve">enhanced gender </w:t>
      </w:r>
      <w:r w:rsidR="00A04EA7">
        <w:rPr>
          <w:i/>
          <w:sz w:val="22"/>
        </w:rPr>
        <w:t>co</w:t>
      </w:r>
      <w:r w:rsidRPr="002C272C">
        <w:rPr>
          <w:i/>
          <w:sz w:val="22"/>
        </w:rPr>
        <w:t xml:space="preserve">mpetencies </w:t>
      </w:r>
      <w:r w:rsidRPr="00777306">
        <w:rPr>
          <w:sz w:val="22"/>
        </w:rPr>
        <w:t xml:space="preserve">on the part of </w:t>
      </w:r>
      <w:r w:rsidR="00A04EA7">
        <w:rPr>
          <w:sz w:val="22"/>
        </w:rPr>
        <w:t xml:space="preserve">the corresponding </w:t>
      </w:r>
      <w:r w:rsidRPr="00777306">
        <w:rPr>
          <w:sz w:val="22"/>
        </w:rPr>
        <w:t>technical teams,</w:t>
      </w:r>
      <w:r>
        <w:rPr>
          <w:sz w:val="22"/>
        </w:rPr>
        <w:t xml:space="preserve"> expanded with</w:t>
      </w:r>
      <w:r w:rsidRPr="00777306">
        <w:rPr>
          <w:sz w:val="22"/>
        </w:rPr>
        <w:t xml:space="preserve"> the hiring of professionals with gender expertise, and paired with increased</w:t>
      </w:r>
      <w:r>
        <w:rPr>
          <w:sz w:val="22"/>
        </w:rPr>
        <w:t xml:space="preserve"> access to relevant information</w:t>
      </w:r>
      <w:r w:rsidR="005158F6">
        <w:rPr>
          <w:sz w:val="22"/>
        </w:rPr>
        <w:t xml:space="preserve">; and </w:t>
      </w:r>
      <w:r w:rsidR="005158F6" w:rsidRPr="005158F6">
        <w:rPr>
          <w:b/>
          <w:i/>
          <w:sz w:val="22"/>
        </w:rPr>
        <w:t>fourth</w:t>
      </w:r>
      <w:r w:rsidRPr="005158F6">
        <w:rPr>
          <w:b/>
          <w:sz w:val="22"/>
        </w:rPr>
        <w:t>,</w:t>
      </w:r>
      <w:r w:rsidRPr="00777306">
        <w:rPr>
          <w:sz w:val="22"/>
        </w:rPr>
        <w:t xml:space="preserve"> the collaborat</w:t>
      </w:r>
      <w:r w:rsidR="00A04EA7">
        <w:rPr>
          <w:sz w:val="22"/>
        </w:rPr>
        <w:t xml:space="preserve">ion received </w:t>
      </w:r>
      <w:r w:rsidRPr="00777306">
        <w:rPr>
          <w:sz w:val="22"/>
        </w:rPr>
        <w:t xml:space="preserve">from the </w:t>
      </w:r>
      <w:r w:rsidRPr="00071848">
        <w:rPr>
          <w:i/>
          <w:sz w:val="22"/>
        </w:rPr>
        <w:t xml:space="preserve">PAHO gender network </w:t>
      </w:r>
      <w:r w:rsidRPr="00777306">
        <w:rPr>
          <w:sz w:val="22"/>
        </w:rPr>
        <w:t>in HQ (GE Unit) and in some countries (GE focal points).</w:t>
      </w:r>
    </w:p>
    <w:p w:rsidR="009571FA" w:rsidRPr="0069057A" w:rsidRDefault="009571FA" w:rsidP="00642B9B">
      <w:pPr>
        <w:pStyle w:val="ListParagraph"/>
        <w:ind w:left="0"/>
        <w:rPr>
          <w:sz w:val="10"/>
        </w:rPr>
      </w:pPr>
    </w:p>
    <w:p w:rsidR="009571FA" w:rsidRPr="00777306" w:rsidRDefault="009571FA" w:rsidP="00581596">
      <w:pPr>
        <w:pStyle w:val="ListParagraph"/>
        <w:numPr>
          <w:ilvl w:val="0"/>
          <w:numId w:val="31"/>
        </w:numPr>
        <w:ind w:left="0" w:firstLine="0"/>
        <w:rPr>
          <w:sz w:val="22"/>
          <w:szCs w:val="22"/>
        </w:rPr>
      </w:pPr>
      <w:r>
        <w:rPr>
          <w:sz w:val="22"/>
        </w:rPr>
        <w:t xml:space="preserve">    </w:t>
      </w:r>
      <w:r w:rsidRPr="00777306">
        <w:rPr>
          <w:sz w:val="22"/>
        </w:rPr>
        <w:t xml:space="preserve">Other </w:t>
      </w:r>
      <w:r w:rsidRPr="00071848">
        <w:rPr>
          <w:sz w:val="22"/>
        </w:rPr>
        <w:t>facilitating factors</w:t>
      </w:r>
      <w:r w:rsidRPr="00777306">
        <w:rPr>
          <w:sz w:val="22"/>
        </w:rPr>
        <w:t xml:space="preserve"> characterized as critically influential for gender mainstreaming </w:t>
      </w:r>
      <w:r w:rsidR="005158F6">
        <w:rPr>
          <w:sz w:val="22"/>
        </w:rPr>
        <w:t xml:space="preserve">had to do with </w:t>
      </w:r>
      <w:r w:rsidRPr="00777306">
        <w:rPr>
          <w:sz w:val="22"/>
        </w:rPr>
        <w:t xml:space="preserve">the external environment.  They </w:t>
      </w:r>
      <w:r w:rsidR="005158F6">
        <w:rPr>
          <w:sz w:val="22"/>
        </w:rPr>
        <w:t xml:space="preserve">referred </w:t>
      </w:r>
      <w:r w:rsidRPr="00777306">
        <w:rPr>
          <w:sz w:val="22"/>
        </w:rPr>
        <w:t xml:space="preserve">to financial and political </w:t>
      </w:r>
      <w:r w:rsidRPr="00071848">
        <w:rPr>
          <w:i/>
          <w:sz w:val="22"/>
        </w:rPr>
        <w:t>support received from progressive donors</w:t>
      </w:r>
      <w:r w:rsidRPr="00777306">
        <w:rPr>
          <w:sz w:val="22"/>
        </w:rPr>
        <w:t xml:space="preserve">; alliances </w:t>
      </w:r>
      <w:r w:rsidR="00E117DD">
        <w:rPr>
          <w:sz w:val="22"/>
        </w:rPr>
        <w:t>and</w:t>
      </w:r>
      <w:r w:rsidRPr="00777306">
        <w:rPr>
          <w:sz w:val="22"/>
        </w:rPr>
        <w:t xml:space="preserve"> partnerships with other </w:t>
      </w:r>
      <w:r w:rsidRPr="00071848">
        <w:rPr>
          <w:i/>
          <w:sz w:val="22"/>
        </w:rPr>
        <w:t xml:space="preserve">agencies from the UN and Inter American Systems </w:t>
      </w:r>
      <w:r w:rsidRPr="00777306">
        <w:rPr>
          <w:sz w:val="22"/>
        </w:rPr>
        <w:t xml:space="preserve">both at the regional and national levels, and </w:t>
      </w:r>
      <w:r w:rsidRPr="00071848">
        <w:rPr>
          <w:i/>
          <w:sz w:val="22"/>
        </w:rPr>
        <w:t xml:space="preserve">multi-sector work </w:t>
      </w:r>
      <w:r w:rsidRPr="00777306">
        <w:rPr>
          <w:sz w:val="22"/>
        </w:rPr>
        <w:t>in the countries involving Women’s Affairs Ministries or Bureaus.</w:t>
      </w:r>
      <w:r w:rsidRPr="00777306">
        <w:rPr>
          <w:sz w:val="22"/>
          <w:szCs w:val="22"/>
        </w:rPr>
        <w:t xml:space="preserve"> </w:t>
      </w:r>
    </w:p>
    <w:p w:rsidR="009571FA" w:rsidRPr="006E3D80" w:rsidRDefault="009571FA" w:rsidP="0025148A">
      <w:pPr>
        <w:pStyle w:val="ListParagraph"/>
        <w:ind w:left="0" w:right="540"/>
        <w:rPr>
          <w:sz w:val="18"/>
          <w:szCs w:val="22"/>
        </w:rPr>
      </w:pPr>
    </w:p>
    <w:p w:rsidR="009571FA" w:rsidRPr="006E3D80" w:rsidRDefault="009571FA" w:rsidP="00734B13">
      <w:pPr>
        <w:rPr>
          <w:sz w:val="10"/>
          <w:lang w:val="en-US"/>
        </w:rPr>
      </w:pPr>
    </w:p>
    <w:p w:rsidR="009571FA" w:rsidRPr="002C272C" w:rsidRDefault="009571FA" w:rsidP="000A02EF">
      <w:pPr>
        <w:rPr>
          <w:b/>
          <w:bCs/>
          <w:sz w:val="22"/>
        </w:rPr>
      </w:pPr>
      <w:r>
        <w:rPr>
          <w:b/>
          <w:bCs/>
          <w:sz w:val="22"/>
        </w:rPr>
        <w:t xml:space="preserve">      2.2.</w:t>
      </w:r>
      <w:r w:rsidRPr="002C272C">
        <w:rPr>
          <w:b/>
          <w:bCs/>
          <w:sz w:val="22"/>
        </w:rPr>
        <w:t xml:space="preserve"> Country cooperation strategies and corresponding work plans</w:t>
      </w:r>
    </w:p>
    <w:p w:rsidR="009571FA" w:rsidRPr="006E3D80" w:rsidRDefault="009571FA" w:rsidP="00A7362A">
      <w:pPr>
        <w:rPr>
          <w:bCs/>
          <w:i/>
          <w:sz w:val="14"/>
        </w:rPr>
      </w:pPr>
    </w:p>
    <w:p w:rsidR="009571FA" w:rsidRPr="000A02EF" w:rsidRDefault="009571FA" w:rsidP="00A7362A">
      <w:pPr>
        <w:rPr>
          <w:bCs/>
          <w:sz w:val="22"/>
        </w:rPr>
      </w:pPr>
      <w:r w:rsidRPr="000A02EF">
        <w:rPr>
          <w:bCs/>
          <w:sz w:val="22"/>
        </w:rPr>
        <w:t>Two countries were selected for this analysis: Honduras and Trinidad Tobago. The first had a long history of collaboration with the GE Unit, the second ha</w:t>
      </w:r>
      <w:r w:rsidR="00A04EA7">
        <w:rPr>
          <w:bCs/>
          <w:sz w:val="22"/>
        </w:rPr>
        <w:t>d</w:t>
      </w:r>
      <w:r w:rsidRPr="000A02EF">
        <w:rPr>
          <w:bCs/>
          <w:sz w:val="22"/>
        </w:rPr>
        <w:t xml:space="preserve"> not. Both countries’ CCS and work plans indicated </w:t>
      </w:r>
      <w:r w:rsidR="005158F6">
        <w:rPr>
          <w:bCs/>
          <w:sz w:val="22"/>
        </w:rPr>
        <w:t xml:space="preserve">only </w:t>
      </w:r>
      <w:r w:rsidRPr="000A02EF">
        <w:rPr>
          <w:bCs/>
          <w:sz w:val="22"/>
        </w:rPr>
        <w:t>medium values of gender integration. Although it was evident that gender equity concerns were making significant headway into the planning processes of these two countries, the resulting documents did not adequately reflect WHO and PAHO mandates on making gender equality a cross-cutting issue in the Organization’s work.</w:t>
      </w:r>
    </w:p>
    <w:p w:rsidR="009571FA" w:rsidRPr="006E3D80" w:rsidRDefault="009571FA" w:rsidP="00642B9B">
      <w:pPr>
        <w:rPr>
          <w:b/>
          <w:bCs/>
          <w:sz w:val="14"/>
        </w:rPr>
      </w:pPr>
    </w:p>
    <w:p w:rsidR="009571FA" w:rsidRPr="000A02EF" w:rsidRDefault="009571FA" w:rsidP="00581596">
      <w:pPr>
        <w:numPr>
          <w:ilvl w:val="0"/>
          <w:numId w:val="30"/>
        </w:numPr>
        <w:ind w:left="0" w:firstLine="0"/>
        <w:rPr>
          <w:bCs/>
          <w:sz w:val="22"/>
        </w:rPr>
      </w:pPr>
      <w:r>
        <w:rPr>
          <w:bCs/>
          <w:sz w:val="22"/>
        </w:rPr>
        <w:t xml:space="preserve">  </w:t>
      </w:r>
      <w:r w:rsidRPr="000A02EF">
        <w:rPr>
          <w:bCs/>
          <w:sz w:val="22"/>
        </w:rPr>
        <w:t xml:space="preserve">Advances were visible in both countries towards inscribing gender within the framework of health determinants and identifying it as a marker of socio-economic inequalities. </w:t>
      </w:r>
      <w:r w:rsidR="0001031C">
        <w:rPr>
          <w:bCs/>
          <w:sz w:val="22"/>
        </w:rPr>
        <w:t xml:space="preserve">Two gender issues were salient: </w:t>
      </w:r>
      <w:r w:rsidRPr="000A02EF">
        <w:rPr>
          <w:b/>
          <w:bCs/>
          <w:sz w:val="22"/>
        </w:rPr>
        <w:t>gender-based violence</w:t>
      </w:r>
      <w:r w:rsidR="00B93A2E">
        <w:rPr>
          <w:b/>
          <w:bCs/>
          <w:sz w:val="22"/>
        </w:rPr>
        <w:t xml:space="preserve">, </w:t>
      </w:r>
      <w:r w:rsidR="00B93A2E" w:rsidRPr="00B93A2E">
        <w:rPr>
          <w:bCs/>
          <w:sz w:val="22"/>
        </w:rPr>
        <w:t>in both countries,</w:t>
      </w:r>
      <w:r w:rsidR="00B93A2E">
        <w:rPr>
          <w:b/>
          <w:bCs/>
          <w:sz w:val="22"/>
        </w:rPr>
        <w:t xml:space="preserve"> </w:t>
      </w:r>
      <w:r w:rsidR="00B93A2E" w:rsidRPr="00B93A2E">
        <w:rPr>
          <w:bCs/>
          <w:sz w:val="22"/>
        </w:rPr>
        <w:t>a</w:t>
      </w:r>
      <w:r w:rsidR="0001031C">
        <w:rPr>
          <w:bCs/>
          <w:sz w:val="22"/>
        </w:rPr>
        <w:t xml:space="preserve">nd </w:t>
      </w:r>
      <w:r w:rsidRPr="000A02EF">
        <w:rPr>
          <w:bCs/>
          <w:sz w:val="22"/>
        </w:rPr>
        <w:t xml:space="preserve">sexual and reproductive health in Trinidad &amp; Tobago. </w:t>
      </w:r>
      <w:r w:rsidR="00B93A2E">
        <w:rPr>
          <w:bCs/>
          <w:sz w:val="22"/>
        </w:rPr>
        <w:t>A</w:t>
      </w:r>
      <w:r w:rsidRPr="000A02EF">
        <w:rPr>
          <w:sz w:val="22"/>
          <w:lang w:val="en-US"/>
        </w:rPr>
        <w:t xml:space="preserve">n active engagement with external actors --the Government Gender Bureau, the women’s network, and </w:t>
      </w:r>
      <w:r w:rsidR="0001031C">
        <w:rPr>
          <w:sz w:val="22"/>
          <w:lang w:val="en-US"/>
        </w:rPr>
        <w:t xml:space="preserve">the </w:t>
      </w:r>
      <w:r w:rsidRPr="000A02EF">
        <w:rPr>
          <w:sz w:val="22"/>
          <w:lang w:val="en-US"/>
        </w:rPr>
        <w:t>UN national gender officers</w:t>
      </w:r>
      <w:r w:rsidR="00B93A2E">
        <w:rPr>
          <w:sz w:val="22"/>
          <w:lang w:val="en-US"/>
        </w:rPr>
        <w:t xml:space="preserve"> was clear in both countries.</w:t>
      </w:r>
      <w:r w:rsidRPr="000A02EF">
        <w:rPr>
          <w:bCs/>
          <w:sz w:val="22"/>
        </w:rPr>
        <w:t xml:space="preserve"> </w:t>
      </w:r>
    </w:p>
    <w:p w:rsidR="009571FA" w:rsidRPr="006E3D80" w:rsidRDefault="009571FA" w:rsidP="00642B9B">
      <w:pPr>
        <w:rPr>
          <w:bCs/>
          <w:sz w:val="14"/>
        </w:rPr>
      </w:pPr>
    </w:p>
    <w:p w:rsidR="009571FA" w:rsidRPr="000A02EF" w:rsidRDefault="009571FA" w:rsidP="00581596">
      <w:pPr>
        <w:numPr>
          <w:ilvl w:val="0"/>
          <w:numId w:val="30"/>
        </w:numPr>
        <w:ind w:left="0" w:firstLine="0"/>
        <w:rPr>
          <w:rFonts w:cs="Arial"/>
          <w:bCs/>
          <w:sz w:val="22"/>
          <w:szCs w:val="22"/>
          <w:lang w:val="en-US"/>
        </w:rPr>
      </w:pPr>
      <w:r>
        <w:rPr>
          <w:bCs/>
          <w:sz w:val="22"/>
        </w:rPr>
        <w:t xml:space="preserve">  </w:t>
      </w:r>
      <w:r w:rsidRPr="000A02EF">
        <w:rPr>
          <w:bCs/>
          <w:sz w:val="22"/>
        </w:rPr>
        <w:t xml:space="preserve">Awareness of gender equality mandates was </w:t>
      </w:r>
      <w:r w:rsidR="00B93A2E" w:rsidRPr="000A02EF">
        <w:rPr>
          <w:b/>
          <w:bCs/>
          <w:sz w:val="22"/>
        </w:rPr>
        <w:t>explicit</w:t>
      </w:r>
      <w:r w:rsidR="00B93A2E">
        <w:rPr>
          <w:b/>
          <w:bCs/>
          <w:sz w:val="22"/>
        </w:rPr>
        <w:t>ly</w:t>
      </w:r>
      <w:r w:rsidR="00B93A2E">
        <w:rPr>
          <w:bCs/>
          <w:sz w:val="22"/>
        </w:rPr>
        <w:t xml:space="preserve"> manifested </w:t>
      </w:r>
      <w:r w:rsidRPr="000A02EF">
        <w:rPr>
          <w:bCs/>
          <w:sz w:val="22"/>
        </w:rPr>
        <w:t xml:space="preserve">in the Honduras’ CCS and </w:t>
      </w:r>
      <w:r w:rsidR="00B93A2E">
        <w:rPr>
          <w:bCs/>
          <w:sz w:val="22"/>
        </w:rPr>
        <w:t xml:space="preserve">BWP through </w:t>
      </w:r>
      <w:r w:rsidRPr="000A02EF">
        <w:rPr>
          <w:bCs/>
          <w:sz w:val="22"/>
        </w:rPr>
        <w:t>propos</w:t>
      </w:r>
      <w:r w:rsidR="00B93A2E">
        <w:rPr>
          <w:bCs/>
          <w:sz w:val="22"/>
        </w:rPr>
        <w:t xml:space="preserve">als </w:t>
      </w:r>
      <w:r w:rsidRPr="000A02EF">
        <w:rPr>
          <w:i/>
          <w:sz w:val="22"/>
          <w:lang w:val="en-US"/>
        </w:rPr>
        <w:t>t</w:t>
      </w:r>
      <w:r w:rsidRPr="000A02EF">
        <w:rPr>
          <w:rFonts w:cs="Arial"/>
          <w:bCs/>
          <w:i/>
          <w:sz w:val="22"/>
          <w:szCs w:val="22"/>
          <w:lang w:val="en-US"/>
        </w:rPr>
        <w:t>o ensure a gender approach in policies and programs</w:t>
      </w:r>
      <w:r w:rsidRPr="000A02EF">
        <w:rPr>
          <w:rFonts w:cs="Arial"/>
          <w:bCs/>
          <w:sz w:val="22"/>
          <w:szCs w:val="22"/>
          <w:lang w:val="en-US"/>
        </w:rPr>
        <w:t xml:space="preserve">. These </w:t>
      </w:r>
      <w:r w:rsidR="00B93A2E">
        <w:rPr>
          <w:rFonts w:cs="Arial"/>
          <w:bCs/>
          <w:sz w:val="22"/>
          <w:szCs w:val="22"/>
          <w:lang w:val="en-US"/>
        </w:rPr>
        <w:t>proposals</w:t>
      </w:r>
      <w:r w:rsidRPr="000A02EF">
        <w:rPr>
          <w:rFonts w:cs="Arial"/>
          <w:bCs/>
          <w:sz w:val="22"/>
          <w:szCs w:val="22"/>
          <w:lang w:val="en-US"/>
        </w:rPr>
        <w:t xml:space="preserve"> were formulated from the </w:t>
      </w:r>
      <w:r w:rsidR="0001031C">
        <w:rPr>
          <w:rFonts w:cs="Arial"/>
          <w:bCs/>
          <w:sz w:val="22"/>
          <w:szCs w:val="22"/>
          <w:lang w:val="en-US"/>
        </w:rPr>
        <w:t xml:space="preserve">perspective of </w:t>
      </w:r>
      <w:r w:rsidR="00B93A2E">
        <w:rPr>
          <w:rFonts w:cs="Arial"/>
          <w:bCs/>
          <w:sz w:val="22"/>
          <w:szCs w:val="22"/>
          <w:lang w:val="en-US"/>
        </w:rPr>
        <w:t>laying the groundwork for</w:t>
      </w:r>
      <w:r w:rsidR="0001031C">
        <w:rPr>
          <w:rFonts w:cs="Arial"/>
          <w:bCs/>
          <w:sz w:val="22"/>
          <w:szCs w:val="22"/>
          <w:lang w:val="en-US"/>
        </w:rPr>
        <w:t xml:space="preserve"> subsequent interventions</w:t>
      </w:r>
      <w:r w:rsidR="008E3687">
        <w:rPr>
          <w:rFonts w:cs="Arial"/>
          <w:bCs/>
          <w:sz w:val="22"/>
          <w:szCs w:val="22"/>
          <w:lang w:val="en-US"/>
        </w:rPr>
        <w:t xml:space="preserve"> and </w:t>
      </w:r>
      <w:r w:rsidR="00B93A2E">
        <w:rPr>
          <w:rFonts w:cs="Arial"/>
          <w:bCs/>
          <w:sz w:val="22"/>
          <w:szCs w:val="22"/>
          <w:lang w:val="en-US"/>
        </w:rPr>
        <w:t>included</w:t>
      </w:r>
      <w:r w:rsidR="008E3687">
        <w:rPr>
          <w:rFonts w:cs="Arial"/>
          <w:bCs/>
          <w:sz w:val="22"/>
          <w:szCs w:val="22"/>
          <w:lang w:val="en-US"/>
        </w:rPr>
        <w:t>:</w:t>
      </w:r>
      <w:r w:rsidR="00B93A2E">
        <w:rPr>
          <w:rFonts w:cs="Arial"/>
          <w:bCs/>
          <w:sz w:val="22"/>
          <w:szCs w:val="22"/>
          <w:lang w:val="en-US"/>
        </w:rPr>
        <w:t xml:space="preserve"> </w:t>
      </w:r>
      <w:r w:rsidRPr="000A02EF">
        <w:rPr>
          <w:rFonts w:cs="Arial"/>
          <w:bCs/>
          <w:sz w:val="22"/>
          <w:szCs w:val="22"/>
          <w:lang w:val="en-US"/>
        </w:rPr>
        <w:t xml:space="preserve">strengthening staff’s capacities in gender planning; establishing coordination with other gender-aware government sectors and civil society; strengthening information on gender based violence; and </w:t>
      </w:r>
      <w:r w:rsidRPr="000A02EF">
        <w:rPr>
          <w:sz w:val="22"/>
          <w:lang w:val="en-US"/>
        </w:rPr>
        <w:t>guaranteeing the sustained participation of skilled staff in the process.</w:t>
      </w:r>
      <w:r w:rsidRPr="000A02EF">
        <w:rPr>
          <w:rFonts w:cs="Arial"/>
          <w:bCs/>
          <w:sz w:val="22"/>
          <w:szCs w:val="22"/>
          <w:lang w:val="en-US"/>
        </w:rPr>
        <w:t xml:space="preserve"> </w:t>
      </w:r>
    </w:p>
    <w:p w:rsidR="009571FA" w:rsidRPr="006E3D80" w:rsidRDefault="009571FA" w:rsidP="00642B9B">
      <w:pPr>
        <w:rPr>
          <w:rFonts w:cs="Arial"/>
          <w:bCs/>
          <w:sz w:val="14"/>
          <w:szCs w:val="22"/>
          <w:lang w:val="en-US"/>
        </w:rPr>
      </w:pPr>
    </w:p>
    <w:p w:rsidR="009571FA" w:rsidRPr="000A02EF" w:rsidRDefault="009571FA" w:rsidP="00581596">
      <w:pPr>
        <w:numPr>
          <w:ilvl w:val="0"/>
          <w:numId w:val="30"/>
        </w:numPr>
        <w:ind w:left="0" w:firstLine="0"/>
        <w:rPr>
          <w:bCs/>
          <w:sz w:val="22"/>
        </w:rPr>
      </w:pPr>
      <w:r>
        <w:rPr>
          <w:bCs/>
          <w:sz w:val="22"/>
        </w:rPr>
        <w:t xml:space="preserve">  </w:t>
      </w:r>
      <w:r w:rsidR="008E3687">
        <w:rPr>
          <w:bCs/>
          <w:sz w:val="22"/>
        </w:rPr>
        <w:t>D</w:t>
      </w:r>
      <w:r w:rsidR="00B93A2E" w:rsidRPr="000A02EF">
        <w:rPr>
          <w:bCs/>
          <w:sz w:val="22"/>
        </w:rPr>
        <w:t xml:space="preserve">espite reiterated endorsements of </w:t>
      </w:r>
      <w:r w:rsidR="006F643D" w:rsidRPr="000A02EF">
        <w:rPr>
          <w:bCs/>
          <w:sz w:val="22"/>
        </w:rPr>
        <w:t>the MDG</w:t>
      </w:r>
      <w:r w:rsidR="00B93A2E" w:rsidRPr="000A02EF">
        <w:rPr>
          <w:bCs/>
          <w:sz w:val="22"/>
        </w:rPr>
        <w:t xml:space="preserve"> framework and, specifically, </w:t>
      </w:r>
      <w:r w:rsidR="008E3687">
        <w:rPr>
          <w:bCs/>
          <w:sz w:val="22"/>
        </w:rPr>
        <w:t xml:space="preserve">of </w:t>
      </w:r>
      <w:r w:rsidR="00B93A2E" w:rsidRPr="000A02EF">
        <w:rPr>
          <w:bCs/>
          <w:sz w:val="22"/>
        </w:rPr>
        <w:t>the MDG 3</w:t>
      </w:r>
      <w:r w:rsidR="008E3687">
        <w:rPr>
          <w:bCs/>
          <w:sz w:val="22"/>
        </w:rPr>
        <w:t>,</w:t>
      </w:r>
      <w:r w:rsidR="00B93A2E" w:rsidRPr="000A02EF">
        <w:rPr>
          <w:bCs/>
          <w:sz w:val="22"/>
        </w:rPr>
        <w:t xml:space="preserve"> </w:t>
      </w:r>
      <w:r w:rsidR="008E3687">
        <w:rPr>
          <w:bCs/>
          <w:sz w:val="22"/>
        </w:rPr>
        <w:t xml:space="preserve">no planning document of </w:t>
      </w:r>
      <w:r w:rsidRPr="000A02EF">
        <w:rPr>
          <w:bCs/>
          <w:sz w:val="22"/>
        </w:rPr>
        <w:t xml:space="preserve">either country attempted to translate the concepts of </w:t>
      </w:r>
      <w:r w:rsidRPr="000A02EF">
        <w:rPr>
          <w:b/>
          <w:bCs/>
          <w:sz w:val="22"/>
        </w:rPr>
        <w:t>gender equality</w:t>
      </w:r>
      <w:r w:rsidRPr="000A02EF">
        <w:rPr>
          <w:bCs/>
          <w:sz w:val="22"/>
        </w:rPr>
        <w:t xml:space="preserve"> and </w:t>
      </w:r>
      <w:r w:rsidRPr="000A02EF">
        <w:rPr>
          <w:b/>
          <w:bCs/>
          <w:sz w:val="22"/>
        </w:rPr>
        <w:t>women’s empowerment</w:t>
      </w:r>
      <w:r w:rsidRPr="000A02EF">
        <w:rPr>
          <w:bCs/>
          <w:sz w:val="22"/>
        </w:rPr>
        <w:t xml:space="preserve"> into concr</w:t>
      </w:r>
      <w:r w:rsidR="00B93A2E">
        <w:rPr>
          <w:bCs/>
          <w:sz w:val="22"/>
        </w:rPr>
        <w:t>ete actions in the health field.</w:t>
      </w:r>
      <w:r w:rsidRPr="000A02EF">
        <w:rPr>
          <w:bCs/>
          <w:sz w:val="22"/>
        </w:rPr>
        <w:t xml:space="preserve"> Most </w:t>
      </w:r>
      <w:r w:rsidR="005675A8">
        <w:rPr>
          <w:bCs/>
          <w:sz w:val="22"/>
        </w:rPr>
        <w:t xml:space="preserve">significantly, </w:t>
      </w:r>
      <w:r w:rsidRPr="000A02EF">
        <w:rPr>
          <w:bCs/>
          <w:sz w:val="22"/>
        </w:rPr>
        <w:t xml:space="preserve">neither country used these or other gender notions as criteria for </w:t>
      </w:r>
      <w:r w:rsidR="005675A8">
        <w:rPr>
          <w:bCs/>
          <w:sz w:val="22"/>
        </w:rPr>
        <w:t xml:space="preserve">developing </w:t>
      </w:r>
      <w:r w:rsidRPr="000A02EF">
        <w:rPr>
          <w:bCs/>
          <w:sz w:val="22"/>
        </w:rPr>
        <w:t xml:space="preserve">their health situation analysis and identifying problems in need of response.  </w:t>
      </w:r>
    </w:p>
    <w:p w:rsidR="009571FA" w:rsidRPr="006E3D80" w:rsidRDefault="009571FA" w:rsidP="00642B9B">
      <w:pPr>
        <w:rPr>
          <w:bCs/>
          <w:sz w:val="14"/>
        </w:rPr>
      </w:pPr>
    </w:p>
    <w:p w:rsidR="009571FA" w:rsidRPr="000A02EF" w:rsidRDefault="009571FA" w:rsidP="00581596">
      <w:pPr>
        <w:numPr>
          <w:ilvl w:val="0"/>
          <w:numId w:val="30"/>
        </w:numPr>
        <w:ind w:left="0" w:firstLine="0"/>
        <w:rPr>
          <w:b/>
          <w:bCs/>
          <w:sz w:val="22"/>
        </w:rPr>
      </w:pPr>
      <w:r>
        <w:rPr>
          <w:bCs/>
          <w:sz w:val="22"/>
        </w:rPr>
        <w:t xml:space="preserve">  </w:t>
      </w:r>
      <w:r w:rsidRPr="000A02EF">
        <w:rPr>
          <w:bCs/>
          <w:sz w:val="22"/>
        </w:rPr>
        <w:t xml:space="preserve">The use of </w:t>
      </w:r>
      <w:r w:rsidRPr="000A02EF">
        <w:rPr>
          <w:b/>
          <w:bCs/>
          <w:sz w:val="22"/>
        </w:rPr>
        <w:t>sex-disaggregated data</w:t>
      </w:r>
      <w:r w:rsidRPr="000A02EF">
        <w:rPr>
          <w:bCs/>
          <w:sz w:val="22"/>
        </w:rPr>
        <w:t xml:space="preserve"> was thin in </w:t>
      </w:r>
      <w:r w:rsidR="0001031C">
        <w:rPr>
          <w:bCs/>
          <w:sz w:val="22"/>
        </w:rPr>
        <w:t xml:space="preserve">both </w:t>
      </w:r>
      <w:r w:rsidRPr="000A02EF">
        <w:rPr>
          <w:bCs/>
          <w:sz w:val="22"/>
        </w:rPr>
        <w:t xml:space="preserve">types of documents, particularly in Honduras. SDD was mostly confined to demographics and violence, with the exception of some epidemiological data in Trinidad &amp; Tobago. None of the documents </w:t>
      </w:r>
      <w:r w:rsidRPr="000A02EF">
        <w:rPr>
          <w:b/>
          <w:bCs/>
          <w:sz w:val="22"/>
        </w:rPr>
        <w:t>explicitly</w:t>
      </w:r>
      <w:r w:rsidRPr="000A02EF">
        <w:rPr>
          <w:bCs/>
          <w:sz w:val="22"/>
        </w:rPr>
        <w:t xml:space="preserve"> acknowledged the importance of SDD for analysis and planning, or devised specific strategies towards producing and using this type of information, except in the case of violence. Beyond single-sex-data</w:t>
      </w:r>
      <w:r w:rsidR="005675A8">
        <w:rPr>
          <w:bCs/>
          <w:sz w:val="22"/>
        </w:rPr>
        <w:t xml:space="preserve"> (</w:t>
      </w:r>
      <w:r w:rsidRPr="000A02EF">
        <w:rPr>
          <w:bCs/>
          <w:sz w:val="22"/>
        </w:rPr>
        <w:t>such as maternal health</w:t>
      </w:r>
      <w:r w:rsidR="005675A8">
        <w:rPr>
          <w:bCs/>
          <w:sz w:val="22"/>
        </w:rPr>
        <w:t>)</w:t>
      </w:r>
      <w:r w:rsidRPr="000A02EF">
        <w:rPr>
          <w:bCs/>
          <w:sz w:val="22"/>
        </w:rPr>
        <w:t xml:space="preserve">, when </w:t>
      </w:r>
      <w:r w:rsidR="005675A8" w:rsidRPr="000A02EF">
        <w:rPr>
          <w:bCs/>
          <w:sz w:val="22"/>
        </w:rPr>
        <w:t xml:space="preserve">health SDD </w:t>
      </w:r>
      <w:r w:rsidR="005675A8">
        <w:rPr>
          <w:bCs/>
          <w:sz w:val="22"/>
        </w:rPr>
        <w:t>was</w:t>
      </w:r>
      <w:r w:rsidR="005675A8" w:rsidRPr="000A02EF">
        <w:rPr>
          <w:bCs/>
          <w:sz w:val="22"/>
        </w:rPr>
        <w:t xml:space="preserve"> </w:t>
      </w:r>
      <w:r w:rsidRPr="000A02EF">
        <w:rPr>
          <w:bCs/>
          <w:sz w:val="22"/>
        </w:rPr>
        <w:t xml:space="preserve">presented, </w:t>
      </w:r>
      <w:r w:rsidR="005675A8">
        <w:rPr>
          <w:bCs/>
          <w:sz w:val="22"/>
        </w:rPr>
        <w:t xml:space="preserve">it </w:t>
      </w:r>
      <w:r w:rsidRPr="000A02EF">
        <w:rPr>
          <w:bCs/>
          <w:sz w:val="22"/>
        </w:rPr>
        <w:t xml:space="preserve">was not followed by </w:t>
      </w:r>
      <w:r w:rsidR="005675A8">
        <w:rPr>
          <w:bCs/>
          <w:sz w:val="22"/>
        </w:rPr>
        <w:t xml:space="preserve">any </w:t>
      </w:r>
      <w:r w:rsidRPr="000A02EF">
        <w:rPr>
          <w:b/>
          <w:bCs/>
          <w:sz w:val="22"/>
        </w:rPr>
        <w:t>analysis</w:t>
      </w:r>
      <w:r w:rsidRPr="000A02EF">
        <w:rPr>
          <w:bCs/>
          <w:sz w:val="22"/>
        </w:rPr>
        <w:t xml:space="preserve"> of causes, consequences, or actions to address those differences. </w:t>
      </w:r>
    </w:p>
    <w:p w:rsidR="009571FA" w:rsidRPr="006E3D80" w:rsidRDefault="009571FA" w:rsidP="00642B9B">
      <w:pPr>
        <w:rPr>
          <w:bCs/>
          <w:sz w:val="14"/>
        </w:rPr>
      </w:pPr>
    </w:p>
    <w:p w:rsidR="009571FA" w:rsidRPr="000A02EF" w:rsidRDefault="009571FA" w:rsidP="00581596">
      <w:pPr>
        <w:numPr>
          <w:ilvl w:val="0"/>
          <w:numId w:val="30"/>
        </w:numPr>
        <w:ind w:left="0" w:firstLine="0"/>
        <w:rPr>
          <w:bCs/>
          <w:sz w:val="22"/>
        </w:rPr>
      </w:pPr>
      <w:r>
        <w:rPr>
          <w:bCs/>
          <w:sz w:val="22"/>
        </w:rPr>
        <w:t xml:space="preserve">  </w:t>
      </w:r>
      <w:r w:rsidRPr="000A02EF">
        <w:rPr>
          <w:bCs/>
          <w:sz w:val="22"/>
        </w:rPr>
        <w:t xml:space="preserve">An important distinction </w:t>
      </w:r>
      <w:r>
        <w:rPr>
          <w:bCs/>
          <w:sz w:val="22"/>
        </w:rPr>
        <w:t xml:space="preserve">drawn </w:t>
      </w:r>
      <w:r w:rsidRPr="000A02EF">
        <w:rPr>
          <w:bCs/>
          <w:sz w:val="22"/>
        </w:rPr>
        <w:t>between the two countries was associated with the occurrence of a long-term GE technical cooperation relationship and the presence of a gender focal point in the Country Office. This distinction referred to the much stronger visibility of gender themes in the Honduras work plan</w:t>
      </w:r>
      <w:r w:rsidR="005675A8">
        <w:rPr>
          <w:bCs/>
          <w:sz w:val="22"/>
        </w:rPr>
        <w:t>, f</w:t>
      </w:r>
      <w:r w:rsidRPr="000A02EF">
        <w:rPr>
          <w:bCs/>
          <w:sz w:val="22"/>
        </w:rPr>
        <w:t xml:space="preserve">eature </w:t>
      </w:r>
      <w:r w:rsidR="005675A8">
        <w:rPr>
          <w:bCs/>
          <w:sz w:val="22"/>
        </w:rPr>
        <w:t xml:space="preserve">that </w:t>
      </w:r>
      <w:r w:rsidRPr="000A02EF">
        <w:rPr>
          <w:bCs/>
          <w:sz w:val="22"/>
        </w:rPr>
        <w:t xml:space="preserve">did not translate into scoring differences </w:t>
      </w:r>
      <w:r w:rsidR="005675A8">
        <w:rPr>
          <w:bCs/>
          <w:sz w:val="22"/>
        </w:rPr>
        <w:t xml:space="preserve">given </w:t>
      </w:r>
      <w:r w:rsidRPr="000A02EF">
        <w:rPr>
          <w:bCs/>
          <w:sz w:val="22"/>
        </w:rPr>
        <w:t xml:space="preserve">the </w:t>
      </w:r>
      <w:r w:rsidR="005675A8">
        <w:rPr>
          <w:bCs/>
          <w:sz w:val="22"/>
        </w:rPr>
        <w:t xml:space="preserve">low-stringency in the </w:t>
      </w:r>
      <w:r w:rsidRPr="000A02EF">
        <w:rPr>
          <w:bCs/>
          <w:sz w:val="22"/>
        </w:rPr>
        <w:t xml:space="preserve">criterion of </w:t>
      </w:r>
      <w:r w:rsidR="005675A8">
        <w:rPr>
          <w:bCs/>
          <w:sz w:val="22"/>
        </w:rPr>
        <w:t xml:space="preserve">merely </w:t>
      </w:r>
      <w:r w:rsidRPr="000A02EF">
        <w:rPr>
          <w:bCs/>
          <w:sz w:val="22"/>
        </w:rPr>
        <w:t>having “</w:t>
      </w:r>
      <w:r w:rsidRPr="005675A8">
        <w:rPr>
          <w:b/>
          <w:bCs/>
          <w:sz w:val="22"/>
        </w:rPr>
        <w:t>at least one</w:t>
      </w:r>
      <w:r w:rsidRPr="000A02EF">
        <w:rPr>
          <w:bCs/>
          <w:sz w:val="22"/>
        </w:rPr>
        <w:t xml:space="preserve"> OSER, activity or product addressing gender”.  It must be noted however, that this strong gender visibility tended to stay within the boundaries of gender-specific objectives, without explicitly permeating the situation analysis or other expected results.  One important exception in this respect within this Honduras work plan was the insertion of gender within the broader OSER on human security.</w:t>
      </w:r>
    </w:p>
    <w:p w:rsidR="009571FA" w:rsidRPr="006E3D80" w:rsidRDefault="009571FA" w:rsidP="00642B9B">
      <w:pPr>
        <w:rPr>
          <w:bCs/>
          <w:sz w:val="14"/>
        </w:rPr>
      </w:pPr>
    </w:p>
    <w:p w:rsidR="009571FA" w:rsidRPr="000A02EF" w:rsidRDefault="009571FA" w:rsidP="00581596">
      <w:pPr>
        <w:numPr>
          <w:ilvl w:val="0"/>
          <w:numId w:val="30"/>
        </w:numPr>
        <w:ind w:left="0" w:firstLine="0"/>
        <w:rPr>
          <w:rFonts w:cs="Arial"/>
          <w:sz w:val="22"/>
          <w:szCs w:val="22"/>
        </w:rPr>
      </w:pPr>
      <w:r>
        <w:rPr>
          <w:bCs/>
          <w:sz w:val="22"/>
        </w:rPr>
        <w:t xml:space="preserve">  </w:t>
      </w:r>
      <w:r w:rsidRPr="000A02EF">
        <w:rPr>
          <w:bCs/>
          <w:sz w:val="22"/>
        </w:rPr>
        <w:t xml:space="preserve">Summing up, the examined CCSs and corresponding work plans, although evidencing gender policy awareness, do not yet reflect an understanding or sense of ownership regarding </w:t>
      </w:r>
      <w:r w:rsidR="000D39F5" w:rsidRPr="000A02EF">
        <w:rPr>
          <w:bCs/>
          <w:sz w:val="22"/>
        </w:rPr>
        <w:t>the PAHO Gender Equality Policy (or its precursor mandates</w:t>
      </w:r>
      <w:r w:rsidR="000D39F5">
        <w:rPr>
          <w:bCs/>
          <w:sz w:val="22"/>
        </w:rPr>
        <w:t xml:space="preserve">), the WHO directives, or the third MDG, that make gender a </w:t>
      </w:r>
      <w:r w:rsidR="005675A8">
        <w:rPr>
          <w:bCs/>
          <w:sz w:val="22"/>
        </w:rPr>
        <w:t>cross-cutting issue</w:t>
      </w:r>
      <w:r w:rsidR="000D39F5">
        <w:rPr>
          <w:bCs/>
          <w:sz w:val="22"/>
        </w:rPr>
        <w:t xml:space="preserve"> in the cooperation with countries</w:t>
      </w:r>
      <w:r w:rsidR="005675A8">
        <w:rPr>
          <w:bCs/>
          <w:sz w:val="22"/>
        </w:rPr>
        <w:t xml:space="preserve">. </w:t>
      </w:r>
      <w:r w:rsidRPr="000A02EF">
        <w:rPr>
          <w:bCs/>
          <w:sz w:val="22"/>
        </w:rPr>
        <w:t xml:space="preserve">Relevant but relatively isolated actions addressing gender themes were included in the </w:t>
      </w:r>
      <w:r w:rsidR="000D39F5">
        <w:rPr>
          <w:bCs/>
          <w:sz w:val="22"/>
        </w:rPr>
        <w:t>s</w:t>
      </w:r>
      <w:r w:rsidRPr="000A02EF">
        <w:rPr>
          <w:bCs/>
          <w:sz w:val="22"/>
        </w:rPr>
        <w:t>trategies and work plans</w:t>
      </w:r>
      <w:r w:rsidR="000D39F5">
        <w:rPr>
          <w:bCs/>
          <w:sz w:val="22"/>
        </w:rPr>
        <w:t xml:space="preserve">. </w:t>
      </w:r>
      <w:r w:rsidR="000D39F5" w:rsidRPr="000D39F5">
        <w:rPr>
          <w:bCs/>
          <w:sz w:val="22"/>
        </w:rPr>
        <w:t>G</w:t>
      </w:r>
      <w:r w:rsidRPr="000D39F5">
        <w:rPr>
          <w:bCs/>
          <w:sz w:val="22"/>
        </w:rPr>
        <w:t>ender-based violence constituted the issue most effectively mainstreamed.</w:t>
      </w:r>
      <w:r w:rsidRPr="000A02EF">
        <w:rPr>
          <w:bCs/>
          <w:sz w:val="22"/>
        </w:rPr>
        <w:t xml:space="preserve"> </w:t>
      </w:r>
      <w:r w:rsidRPr="000A02EF">
        <w:rPr>
          <w:bCs/>
          <w:sz w:val="22"/>
          <w:szCs w:val="22"/>
        </w:rPr>
        <w:t xml:space="preserve">These findings must be pondered, however, by the understanding that both the </w:t>
      </w:r>
      <w:r w:rsidRPr="000A02EF">
        <w:rPr>
          <w:rFonts w:cs="Arial"/>
          <w:sz w:val="22"/>
          <w:szCs w:val="22"/>
        </w:rPr>
        <w:t xml:space="preserve">strategic agendas and the work plans were not the work of PAHO officers alone. These planning instruments reflect a joint agreement between PAHO and the country’s government regarding </w:t>
      </w:r>
      <w:r w:rsidR="00B25F0A">
        <w:rPr>
          <w:rFonts w:cs="Arial"/>
          <w:sz w:val="22"/>
          <w:szCs w:val="22"/>
        </w:rPr>
        <w:t>s</w:t>
      </w:r>
      <w:r w:rsidRPr="000A02EF">
        <w:rPr>
          <w:rFonts w:cs="Arial"/>
          <w:sz w:val="22"/>
          <w:szCs w:val="22"/>
        </w:rPr>
        <w:t>pecific areas of cooperation in and with the country.</w:t>
      </w:r>
    </w:p>
    <w:p w:rsidR="009571FA" w:rsidRPr="006E3D80" w:rsidRDefault="009571FA" w:rsidP="00642B9B">
      <w:pPr>
        <w:rPr>
          <w:bCs/>
          <w:sz w:val="12"/>
          <w:szCs w:val="22"/>
        </w:rPr>
      </w:pPr>
    </w:p>
    <w:p w:rsidR="009571FA" w:rsidRPr="006E3D80" w:rsidRDefault="009571FA" w:rsidP="00AB0DC6">
      <w:pPr>
        <w:rPr>
          <w:rFonts w:cs="Arial"/>
          <w:bCs/>
          <w:sz w:val="14"/>
        </w:rPr>
      </w:pPr>
    </w:p>
    <w:p w:rsidR="009571FA" w:rsidRPr="0038096D" w:rsidRDefault="009571FA" w:rsidP="0038096D">
      <w:pPr>
        <w:rPr>
          <w:b/>
          <w:sz w:val="32"/>
          <w:szCs w:val="22"/>
        </w:rPr>
      </w:pPr>
      <w:r>
        <w:rPr>
          <w:rFonts w:cs="Arial"/>
          <w:b/>
          <w:bCs/>
          <w:sz w:val="22"/>
        </w:rPr>
        <w:t xml:space="preserve">      </w:t>
      </w:r>
      <w:r w:rsidRPr="003C4FBF">
        <w:rPr>
          <w:rFonts w:cs="Arial"/>
          <w:b/>
          <w:bCs/>
          <w:sz w:val="22"/>
        </w:rPr>
        <w:t>2.3. Achieving sex parity in staffing</w:t>
      </w:r>
    </w:p>
    <w:p w:rsidR="009571FA" w:rsidRPr="000A02EF" w:rsidRDefault="009571FA" w:rsidP="00734B13">
      <w:pPr>
        <w:rPr>
          <w:b/>
          <w:sz w:val="12"/>
          <w:szCs w:val="22"/>
        </w:rPr>
      </w:pPr>
    </w:p>
    <w:p w:rsidR="009571FA" w:rsidRPr="006A07B7" w:rsidRDefault="009571FA" w:rsidP="00734B13">
      <w:pPr>
        <w:rPr>
          <w:sz w:val="22"/>
          <w:szCs w:val="20"/>
        </w:rPr>
      </w:pPr>
      <w:r>
        <w:rPr>
          <w:sz w:val="22"/>
        </w:rPr>
        <w:t xml:space="preserve">Sex parity in staffing –-i.e., equal number of women and men at each and all levels of the Organization-- is regarded as an important requisite for ensuring that the concerns of both sexes are considered in the work of WHO/PAHO. </w:t>
      </w:r>
      <w:r w:rsidRPr="006A07B7">
        <w:rPr>
          <w:sz w:val="22"/>
          <w:szCs w:val="22"/>
        </w:rPr>
        <w:t xml:space="preserve">The indicators selected </w:t>
      </w:r>
      <w:r>
        <w:rPr>
          <w:sz w:val="22"/>
          <w:szCs w:val="22"/>
        </w:rPr>
        <w:t xml:space="preserve">to measure sex parity </w:t>
      </w:r>
      <w:r w:rsidRPr="006A07B7">
        <w:rPr>
          <w:sz w:val="22"/>
          <w:szCs w:val="22"/>
        </w:rPr>
        <w:t xml:space="preserve">referred </w:t>
      </w:r>
      <w:r w:rsidR="000D39F5">
        <w:rPr>
          <w:sz w:val="22"/>
          <w:szCs w:val="22"/>
        </w:rPr>
        <w:t xml:space="preserve">to two broad categories:  </w:t>
      </w:r>
      <w:r w:rsidRPr="006A07B7">
        <w:rPr>
          <w:sz w:val="22"/>
          <w:szCs w:val="22"/>
        </w:rPr>
        <w:t xml:space="preserve">all </w:t>
      </w:r>
      <w:r w:rsidR="000D39F5">
        <w:rPr>
          <w:sz w:val="22"/>
          <w:szCs w:val="22"/>
        </w:rPr>
        <w:t xml:space="preserve">existing staff at December 2007, </w:t>
      </w:r>
      <w:r w:rsidRPr="006A07B7">
        <w:rPr>
          <w:sz w:val="22"/>
          <w:szCs w:val="22"/>
        </w:rPr>
        <w:t xml:space="preserve">and all new appointments </w:t>
      </w:r>
      <w:r>
        <w:rPr>
          <w:sz w:val="22"/>
          <w:szCs w:val="22"/>
        </w:rPr>
        <w:t>taken place</w:t>
      </w:r>
      <w:r w:rsidRPr="006A07B7">
        <w:rPr>
          <w:sz w:val="22"/>
          <w:szCs w:val="22"/>
        </w:rPr>
        <w:t xml:space="preserve"> during </w:t>
      </w:r>
      <w:r w:rsidR="000D39F5">
        <w:rPr>
          <w:sz w:val="22"/>
          <w:szCs w:val="22"/>
        </w:rPr>
        <w:t>the same year</w:t>
      </w:r>
      <w:r w:rsidRPr="006A07B7">
        <w:rPr>
          <w:sz w:val="22"/>
          <w:szCs w:val="22"/>
        </w:rPr>
        <w:t xml:space="preserve">. </w:t>
      </w:r>
      <w:r w:rsidRPr="006A07B7">
        <w:rPr>
          <w:sz w:val="22"/>
          <w:szCs w:val="20"/>
        </w:rPr>
        <w:t xml:space="preserve">  </w:t>
      </w:r>
    </w:p>
    <w:p w:rsidR="009571FA" w:rsidRPr="006E3D80" w:rsidRDefault="009571FA" w:rsidP="00734B13">
      <w:pPr>
        <w:ind w:left="630"/>
        <w:rPr>
          <w:sz w:val="14"/>
          <w:szCs w:val="20"/>
        </w:rPr>
      </w:pPr>
    </w:p>
    <w:p w:rsidR="009571FA" w:rsidRPr="003C4FBF" w:rsidRDefault="009571FA" w:rsidP="00734B13">
      <w:pPr>
        <w:rPr>
          <w:i/>
          <w:sz w:val="22"/>
          <w:szCs w:val="20"/>
        </w:rPr>
      </w:pPr>
      <w:r>
        <w:rPr>
          <w:b/>
          <w:i/>
          <w:sz w:val="22"/>
          <w:szCs w:val="20"/>
        </w:rPr>
        <w:t xml:space="preserve">         </w:t>
      </w:r>
      <w:r w:rsidRPr="003C4FBF">
        <w:rPr>
          <w:b/>
          <w:i/>
          <w:sz w:val="22"/>
          <w:szCs w:val="20"/>
        </w:rPr>
        <w:t>2.3.1.</w:t>
      </w:r>
      <w:r w:rsidRPr="003C4FBF">
        <w:rPr>
          <w:i/>
          <w:sz w:val="22"/>
          <w:szCs w:val="20"/>
        </w:rPr>
        <w:t xml:space="preserve"> Sex parity among all active staff at December 31 2007</w:t>
      </w:r>
    </w:p>
    <w:p w:rsidR="009571FA" w:rsidRPr="00634C32" w:rsidRDefault="009571FA" w:rsidP="00734B13">
      <w:pPr>
        <w:rPr>
          <w:sz w:val="6"/>
          <w:szCs w:val="20"/>
        </w:rPr>
      </w:pPr>
    </w:p>
    <w:p w:rsidR="009571FA" w:rsidRPr="006A07B7" w:rsidRDefault="009571FA" w:rsidP="00581596">
      <w:pPr>
        <w:numPr>
          <w:ilvl w:val="0"/>
          <w:numId w:val="35"/>
        </w:numPr>
        <w:ind w:left="0" w:firstLine="0"/>
        <w:rPr>
          <w:i/>
          <w:sz w:val="24"/>
          <w:szCs w:val="20"/>
        </w:rPr>
      </w:pPr>
      <w:r>
        <w:rPr>
          <w:sz w:val="22"/>
          <w:szCs w:val="20"/>
        </w:rPr>
        <w:t xml:space="preserve">   W</w:t>
      </w:r>
      <w:r w:rsidRPr="006A07B7">
        <w:rPr>
          <w:sz w:val="22"/>
          <w:szCs w:val="20"/>
        </w:rPr>
        <w:t xml:space="preserve">omen comprised </w:t>
      </w:r>
      <w:r w:rsidRPr="006A07B7">
        <w:rPr>
          <w:b/>
          <w:sz w:val="22"/>
          <w:szCs w:val="20"/>
        </w:rPr>
        <w:t>60%</w:t>
      </w:r>
      <w:r w:rsidRPr="006A07B7">
        <w:rPr>
          <w:sz w:val="22"/>
          <w:szCs w:val="20"/>
        </w:rPr>
        <w:t xml:space="preserve"> of all PAHO staff, </w:t>
      </w:r>
      <w:r w:rsidRPr="006A07B7">
        <w:rPr>
          <w:b/>
          <w:sz w:val="22"/>
          <w:szCs w:val="20"/>
        </w:rPr>
        <w:t>41%</w:t>
      </w:r>
      <w:r w:rsidRPr="006A07B7">
        <w:rPr>
          <w:sz w:val="22"/>
          <w:szCs w:val="20"/>
        </w:rPr>
        <w:t xml:space="preserve"> of International Professionals, </w:t>
      </w:r>
      <w:r w:rsidRPr="006A07B7">
        <w:rPr>
          <w:b/>
          <w:sz w:val="22"/>
          <w:szCs w:val="20"/>
        </w:rPr>
        <w:t>70%</w:t>
      </w:r>
      <w:r w:rsidRPr="006A07B7">
        <w:rPr>
          <w:sz w:val="22"/>
          <w:szCs w:val="20"/>
        </w:rPr>
        <w:t xml:space="preserve"> of National Professional Officers, </w:t>
      </w:r>
      <w:r w:rsidRPr="006A07B7">
        <w:rPr>
          <w:b/>
          <w:sz w:val="22"/>
          <w:szCs w:val="20"/>
        </w:rPr>
        <w:t>80%</w:t>
      </w:r>
      <w:r w:rsidRPr="006A07B7">
        <w:rPr>
          <w:sz w:val="22"/>
          <w:szCs w:val="20"/>
        </w:rPr>
        <w:t xml:space="preserve"> of General Service staff, </w:t>
      </w:r>
      <w:r w:rsidRPr="006A07B7">
        <w:rPr>
          <w:b/>
          <w:sz w:val="22"/>
          <w:szCs w:val="20"/>
        </w:rPr>
        <w:t>59%</w:t>
      </w:r>
      <w:r w:rsidR="000D39F5">
        <w:rPr>
          <w:sz w:val="22"/>
          <w:szCs w:val="20"/>
        </w:rPr>
        <w:t xml:space="preserve"> of </w:t>
      </w:r>
      <w:r w:rsidRPr="006A07B7">
        <w:rPr>
          <w:sz w:val="22"/>
          <w:szCs w:val="20"/>
        </w:rPr>
        <w:t>long-term appointments,</w:t>
      </w:r>
      <w:r w:rsidRPr="006A07B7">
        <w:rPr>
          <w:b/>
          <w:sz w:val="22"/>
          <w:szCs w:val="20"/>
        </w:rPr>
        <w:t xml:space="preserve"> 60%</w:t>
      </w:r>
      <w:r w:rsidR="000D39F5">
        <w:rPr>
          <w:sz w:val="22"/>
          <w:szCs w:val="20"/>
        </w:rPr>
        <w:t xml:space="preserve"> of </w:t>
      </w:r>
      <w:r w:rsidRPr="006A07B7">
        <w:rPr>
          <w:sz w:val="22"/>
          <w:szCs w:val="20"/>
        </w:rPr>
        <w:t xml:space="preserve">temporary recruitments, </w:t>
      </w:r>
      <w:r w:rsidRPr="006A07B7">
        <w:rPr>
          <w:b/>
          <w:sz w:val="22"/>
          <w:szCs w:val="20"/>
        </w:rPr>
        <w:t>53%</w:t>
      </w:r>
      <w:r w:rsidRPr="006A07B7">
        <w:rPr>
          <w:sz w:val="22"/>
          <w:szCs w:val="20"/>
        </w:rPr>
        <w:t xml:space="preserve"> of Country Offices</w:t>
      </w:r>
      <w:r w:rsidR="000D39F5" w:rsidRPr="000D39F5">
        <w:rPr>
          <w:sz w:val="22"/>
          <w:szCs w:val="20"/>
        </w:rPr>
        <w:t xml:space="preserve"> </w:t>
      </w:r>
      <w:r w:rsidR="000D39F5" w:rsidRPr="006A07B7">
        <w:rPr>
          <w:sz w:val="22"/>
          <w:szCs w:val="20"/>
        </w:rPr>
        <w:t>staff</w:t>
      </w:r>
      <w:r w:rsidRPr="006A07B7">
        <w:rPr>
          <w:sz w:val="22"/>
          <w:szCs w:val="20"/>
        </w:rPr>
        <w:t xml:space="preserve">, and </w:t>
      </w:r>
      <w:r w:rsidRPr="006A07B7">
        <w:rPr>
          <w:b/>
          <w:sz w:val="22"/>
          <w:szCs w:val="20"/>
        </w:rPr>
        <w:t>65%</w:t>
      </w:r>
      <w:r w:rsidRPr="006A07B7">
        <w:rPr>
          <w:sz w:val="22"/>
          <w:szCs w:val="20"/>
        </w:rPr>
        <w:t xml:space="preserve"> of </w:t>
      </w:r>
      <w:r w:rsidR="000D39F5" w:rsidRPr="006A07B7">
        <w:rPr>
          <w:sz w:val="22"/>
          <w:szCs w:val="20"/>
        </w:rPr>
        <w:t xml:space="preserve">HQ </w:t>
      </w:r>
      <w:r w:rsidRPr="006A07B7">
        <w:rPr>
          <w:sz w:val="22"/>
          <w:szCs w:val="20"/>
        </w:rPr>
        <w:t>staff</w:t>
      </w:r>
      <w:r w:rsidR="000D39F5">
        <w:rPr>
          <w:sz w:val="22"/>
          <w:szCs w:val="20"/>
        </w:rPr>
        <w:t>.</w:t>
      </w:r>
      <w:r w:rsidRPr="006A07B7">
        <w:rPr>
          <w:sz w:val="22"/>
          <w:szCs w:val="20"/>
        </w:rPr>
        <w:t xml:space="preserve"> In other words, women outnumbered men in the total and in all subcategories under analysis, except one</w:t>
      </w:r>
      <w:r w:rsidRPr="006A07B7">
        <w:rPr>
          <w:i/>
          <w:sz w:val="22"/>
          <w:szCs w:val="20"/>
        </w:rPr>
        <w:t>: international professionals</w:t>
      </w:r>
      <w:r w:rsidR="00C30CF7">
        <w:rPr>
          <w:i/>
          <w:sz w:val="22"/>
          <w:szCs w:val="20"/>
        </w:rPr>
        <w:t xml:space="preserve"> (P)</w:t>
      </w:r>
      <w:r w:rsidRPr="006A07B7">
        <w:rPr>
          <w:i/>
          <w:sz w:val="22"/>
          <w:szCs w:val="20"/>
        </w:rPr>
        <w:t xml:space="preserve">. </w:t>
      </w:r>
    </w:p>
    <w:p w:rsidR="009571FA" w:rsidRPr="006E3D80" w:rsidRDefault="009571FA" w:rsidP="00E90F06">
      <w:pPr>
        <w:rPr>
          <w:sz w:val="14"/>
          <w:szCs w:val="20"/>
        </w:rPr>
      </w:pPr>
    </w:p>
    <w:p w:rsidR="009571FA" w:rsidRPr="006A07B7" w:rsidRDefault="009571FA" w:rsidP="00581596">
      <w:pPr>
        <w:numPr>
          <w:ilvl w:val="0"/>
          <w:numId w:val="35"/>
        </w:numPr>
        <w:ind w:left="0" w:firstLine="0"/>
        <w:rPr>
          <w:sz w:val="22"/>
          <w:szCs w:val="22"/>
        </w:rPr>
      </w:pPr>
      <w:r>
        <w:rPr>
          <w:sz w:val="22"/>
          <w:szCs w:val="20"/>
        </w:rPr>
        <w:t xml:space="preserve">   </w:t>
      </w:r>
      <w:r w:rsidRPr="006A07B7">
        <w:rPr>
          <w:sz w:val="22"/>
          <w:szCs w:val="20"/>
        </w:rPr>
        <w:t xml:space="preserve">Among </w:t>
      </w:r>
      <w:r w:rsidR="00C30CF7" w:rsidRPr="00C30CF7">
        <w:rPr>
          <w:b/>
          <w:sz w:val="22"/>
          <w:szCs w:val="20"/>
        </w:rPr>
        <w:t>Ps</w:t>
      </w:r>
      <w:r w:rsidRPr="00C30CF7">
        <w:rPr>
          <w:b/>
          <w:sz w:val="22"/>
          <w:szCs w:val="20"/>
        </w:rPr>
        <w:t>,</w:t>
      </w:r>
      <w:r w:rsidRPr="006A07B7">
        <w:rPr>
          <w:sz w:val="22"/>
          <w:szCs w:val="20"/>
        </w:rPr>
        <w:t xml:space="preserve"> w</w:t>
      </w:r>
      <w:r w:rsidRPr="006A07B7">
        <w:rPr>
          <w:sz w:val="22"/>
        </w:rPr>
        <w:t>omen outweighed men in the two extremes of the scale: the two lowest grades (P1 and P2) and the top managerial positions (UG). In fact, all three of the highest Directorial positions-- Regional, Assistant, and Deputy—were occupied by women. On the other hand, women were underrepresented at professional ranks higher than P2</w:t>
      </w:r>
      <w:r w:rsidR="00C30CF7">
        <w:rPr>
          <w:sz w:val="22"/>
        </w:rPr>
        <w:t xml:space="preserve"> (particularly, P4)</w:t>
      </w:r>
      <w:r w:rsidRPr="006A07B7">
        <w:rPr>
          <w:sz w:val="22"/>
        </w:rPr>
        <w:t>, among Ds, and among long-term professionals.</w:t>
      </w:r>
      <w:r>
        <w:rPr>
          <w:sz w:val="22"/>
        </w:rPr>
        <w:t xml:space="preserve"> </w:t>
      </w:r>
      <w:r w:rsidRPr="006A07B7">
        <w:rPr>
          <w:sz w:val="22"/>
        </w:rPr>
        <w:t xml:space="preserve">Attention </w:t>
      </w:r>
      <w:r>
        <w:rPr>
          <w:sz w:val="22"/>
        </w:rPr>
        <w:t>should be drawn</w:t>
      </w:r>
      <w:r w:rsidRPr="006A07B7">
        <w:rPr>
          <w:sz w:val="22"/>
        </w:rPr>
        <w:t xml:space="preserve"> to the fact that </w:t>
      </w:r>
      <w:r w:rsidRPr="003C4FBF">
        <w:rPr>
          <w:b/>
          <w:sz w:val="22"/>
          <w:u w:val="single"/>
        </w:rPr>
        <w:t xml:space="preserve">sex parity among </w:t>
      </w:r>
      <w:r w:rsidRPr="003C4FBF">
        <w:rPr>
          <w:b/>
          <w:sz w:val="22"/>
          <w:szCs w:val="22"/>
          <w:u w:val="single"/>
        </w:rPr>
        <w:t xml:space="preserve">professionals </w:t>
      </w:r>
      <w:r w:rsidRPr="003C4FBF">
        <w:rPr>
          <w:b/>
          <w:sz w:val="22"/>
          <w:u w:val="single"/>
        </w:rPr>
        <w:t>was reached at</w:t>
      </w:r>
      <w:r w:rsidRPr="003C4FBF">
        <w:rPr>
          <w:b/>
          <w:sz w:val="22"/>
          <w:szCs w:val="22"/>
          <w:u w:val="single"/>
        </w:rPr>
        <w:t xml:space="preserve"> PAHO/HQ</w:t>
      </w:r>
      <w:r w:rsidRPr="006A07B7">
        <w:rPr>
          <w:sz w:val="22"/>
          <w:szCs w:val="22"/>
        </w:rPr>
        <w:t xml:space="preserve"> (Washington DC).  At country offices, </w:t>
      </w:r>
      <w:r w:rsidR="00BD3BA4">
        <w:rPr>
          <w:sz w:val="22"/>
          <w:szCs w:val="22"/>
        </w:rPr>
        <w:t xml:space="preserve">however, </w:t>
      </w:r>
      <w:r w:rsidRPr="006A07B7">
        <w:rPr>
          <w:sz w:val="22"/>
          <w:szCs w:val="22"/>
        </w:rPr>
        <w:t xml:space="preserve">women’s share of the total professional staff </w:t>
      </w:r>
      <w:r w:rsidR="00BD3BA4">
        <w:rPr>
          <w:sz w:val="22"/>
          <w:szCs w:val="22"/>
        </w:rPr>
        <w:t>was</w:t>
      </w:r>
      <w:r>
        <w:rPr>
          <w:sz w:val="22"/>
          <w:szCs w:val="22"/>
        </w:rPr>
        <w:t xml:space="preserve"> </w:t>
      </w:r>
      <w:r w:rsidRPr="006A07B7">
        <w:rPr>
          <w:sz w:val="22"/>
          <w:szCs w:val="22"/>
        </w:rPr>
        <w:t xml:space="preserve">30%, </w:t>
      </w:r>
      <w:r>
        <w:rPr>
          <w:sz w:val="22"/>
          <w:szCs w:val="22"/>
        </w:rPr>
        <w:t xml:space="preserve">share that is </w:t>
      </w:r>
      <w:r w:rsidRPr="006A07B7">
        <w:rPr>
          <w:sz w:val="22"/>
          <w:szCs w:val="22"/>
        </w:rPr>
        <w:t xml:space="preserve">markedly </w:t>
      </w:r>
      <w:r>
        <w:rPr>
          <w:sz w:val="22"/>
          <w:szCs w:val="22"/>
        </w:rPr>
        <w:t>higher at</w:t>
      </w:r>
      <w:r w:rsidRPr="006A07B7">
        <w:rPr>
          <w:sz w:val="22"/>
          <w:szCs w:val="22"/>
        </w:rPr>
        <w:t xml:space="preserve"> the lowest P levels (100% at P1</w:t>
      </w:r>
      <w:r>
        <w:rPr>
          <w:sz w:val="22"/>
          <w:szCs w:val="22"/>
        </w:rPr>
        <w:t>, 63% at P2</w:t>
      </w:r>
      <w:r w:rsidRPr="006A07B7">
        <w:rPr>
          <w:sz w:val="22"/>
          <w:szCs w:val="22"/>
        </w:rPr>
        <w:t xml:space="preserve">).  </w:t>
      </w:r>
    </w:p>
    <w:p w:rsidR="009571FA" w:rsidRPr="006E3D80" w:rsidRDefault="009571FA" w:rsidP="00E90F06">
      <w:pPr>
        <w:rPr>
          <w:sz w:val="12"/>
          <w:szCs w:val="22"/>
          <w:highlight w:val="yellow"/>
        </w:rPr>
      </w:pPr>
    </w:p>
    <w:p w:rsidR="009571FA" w:rsidRPr="006A07B7" w:rsidRDefault="009571FA" w:rsidP="00581596">
      <w:pPr>
        <w:numPr>
          <w:ilvl w:val="0"/>
          <w:numId w:val="35"/>
        </w:numPr>
        <w:ind w:left="0" w:firstLine="0"/>
        <w:rPr>
          <w:sz w:val="22"/>
          <w:szCs w:val="22"/>
        </w:rPr>
      </w:pPr>
      <w:r>
        <w:rPr>
          <w:sz w:val="22"/>
          <w:szCs w:val="22"/>
        </w:rPr>
        <w:t xml:space="preserve">   </w:t>
      </w:r>
      <w:r w:rsidRPr="006A07B7">
        <w:rPr>
          <w:sz w:val="22"/>
          <w:szCs w:val="22"/>
        </w:rPr>
        <w:t xml:space="preserve">In the </w:t>
      </w:r>
      <w:r w:rsidRPr="006A07B7">
        <w:rPr>
          <w:b/>
          <w:sz w:val="22"/>
          <w:szCs w:val="22"/>
        </w:rPr>
        <w:t>National Professional Officers</w:t>
      </w:r>
      <w:r w:rsidRPr="006A07B7">
        <w:rPr>
          <w:sz w:val="22"/>
          <w:szCs w:val="22"/>
        </w:rPr>
        <w:t xml:space="preserve"> (NPO) category, women’s </w:t>
      </w:r>
      <w:r w:rsidR="00BD3BA4">
        <w:rPr>
          <w:sz w:val="22"/>
          <w:szCs w:val="22"/>
        </w:rPr>
        <w:t xml:space="preserve">percentage was </w:t>
      </w:r>
      <w:r w:rsidRPr="006A07B7">
        <w:rPr>
          <w:b/>
          <w:sz w:val="22"/>
          <w:szCs w:val="22"/>
        </w:rPr>
        <w:t>7</w:t>
      </w:r>
      <w:r w:rsidR="00BD3BA4">
        <w:rPr>
          <w:b/>
          <w:sz w:val="22"/>
          <w:szCs w:val="22"/>
        </w:rPr>
        <w:t>0</w:t>
      </w:r>
      <w:r w:rsidRPr="006A07B7">
        <w:rPr>
          <w:sz w:val="22"/>
          <w:szCs w:val="22"/>
        </w:rPr>
        <w:t xml:space="preserve">, surpassing or equalling men’s in all four NPO levels. This advantage is tempered by the fact that compared to their mostly male </w:t>
      </w:r>
      <w:r w:rsidR="00B25F0A">
        <w:rPr>
          <w:sz w:val="22"/>
          <w:szCs w:val="22"/>
        </w:rPr>
        <w:t xml:space="preserve">international </w:t>
      </w:r>
      <w:r w:rsidRPr="006A07B7">
        <w:rPr>
          <w:sz w:val="22"/>
          <w:szCs w:val="22"/>
        </w:rPr>
        <w:t xml:space="preserve">P counterparts stationed in the field, NPOs enjoy lower levels of salary, benefits, decision making authority and job stability. </w:t>
      </w:r>
    </w:p>
    <w:p w:rsidR="009571FA" w:rsidRPr="006E3D80" w:rsidRDefault="009571FA" w:rsidP="00B25F0A">
      <w:pPr>
        <w:ind w:right="-180"/>
        <w:rPr>
          <w:sz w:val="14"/>
          <w:szCs w:val="22"/>
        </w:rPr>
      </w:pPr>
    </w:p>
    <w:p w:rsidR="009571FA" w:rsidRPr="006A07B7" w:rsidRDefault="009571FA" w:rsidP="00581596">
      <w:pPr>
        <w:numPr>
          <w:ilvl w:val="0"/>
          <w:numId w:val="35"/>
        </w:numPr>
        <w:ind w:left="0" w:right="-180" w:firstLine="0"/>
        <w:rPr>
          <w:sz w:val="22"/>
          <w:szCs w:val="22"/>
        </w:rPr>
      </w:pPr>
      <w:r>
        <w:rPr>
          <w:sz w:val="22"/>
          <w:szCs w:val="22"/>
        </w:rPr>
        <w:t xml:space="preserve">   </w:t>
      </w:r>
      <w:r w:rsidRPr="006A07B7">
        <w:rPr>
          <w:sz w:val="22"/>
          <w:szCs w:val="22"/>
        </w:rPr>
        <w:t xml:space="preserve">Among the </w:t>
      </w:r>
      <w:r w:rsidRPr="006A07B7">
        <w:rPr>
          <w:b/>
          <w:sz w:val="22"/>
          <w:szCs w:val="22"/>
        </w:rPr>
        <w:t>General Service staff,</w:t>
      </w:r>
      <w:r w:rsidRPr="006A07B7">
        <w:rPr>
          <w:sz w:val="22"/>
          <w:szCs w:val="22"/>
        </w:rPr>
        <w:t xml:space="preserve"> women amounted to </w:t>
      </w:r>
      <w:r w:rsidRPr="006A07B7">
        <w:rPr>
          <w:b/>
          <w:sz w:val="22"/>
          <w:szCs w:val="22"/>
        </w:rPr>
        <w:t xml:space="preserve">80% </w:t>
      </w:r>
      <w:r w:rsidRPr="006A07B7">
        <w:rPr>
          <w:sz w:val="22"/>
          <w:szCs w:val="22"/>
        </w:rPr>
        <w:t>of the total and</w:t>
      </w:r>
      <w:r w:rsidRPr="006A07B7">
        <w:rPr>
          <w:b/>
          <w:sz w:val="22"/>
          <w:szCs w:val="22"/>
        </w:rPr>
        <w:t xml:space="preserve"> </w:t>
      </w:r>
      <w:r w:rsidRPr="006A07B7">
        <w:rPr>
          <w:sz w:val="22"/>
          <w:szCs w:val="22"/>
        </w:rPr>
        <w:t>predominated in the G0 and G4-G7 grades. Men, on the other hand, outnumbered women in the G1-G3 levels</w:t>
      </w:r>
      <w:r w:rsidR="00B25F0A">
        <w:rPr>
          <w:sz w:val="22"/>
          <w:szCs w:val="22"/>
        </w:rPr>
        <w:t>.</w:t>
      </w:r>
      <w:r w:rsidRPr="006A07B7">
        <w:rPr>
          <w:sz w:val="22"/>
          <w:szCs w:val="22"/>
        </w:rPr>
        <w:t xml:space="preserve">  </w:t>
      </w:r>
    </w:p>
    <w:p w:rsidR="009571FA" w:rsidRPr="006E3D80" w:rsidRDefault="009571FA" w:rsidP="00B25F0A">
      <w:pPr>
        <w:ind w:right="-180"/>
        <w:rPr>
          <w:sz w:val="14"/>
          <w:szCs w:val="22"/>
        </w:rPr>
      </w:pPr>
    </w:p>
    <w:p w:rsidR="009571FA" w:rsidRPr="003C4FBF" w:rsidRDefault="009571FA" w:rsidP="00B25F0A">
      <w:pPr>
        <w:ind w:right="-180"/>
        <w:rPr>
          <w:i/>
          <w:sz w:val="22"/>
          <w:szCs w:val="22"/>
        </w:rPr>
      </w:pPr>
      <w:r>
        <w:rPr>
          <w:b/>
          <w:i/>
          <w:sz w:val="22"/>
          <w:szCs w:val="22"/>
        </w:rPr>
        <w:t xml:space="preserve">        </w:t>
      </w:r>
      <w:r w:rsidRPr="003C4FBF">
        <w:rPr>
          <w:b/>
          <w:i/>
          <w:sz w:val="22"/>
          <w:szCs w:val="22"/>
        </w:rPr>
        <w:t>2.3.2.</w:t>
      </w:r>
      <w:r w:rsidRPr="003C4FBF">
        <w:rPr>
          <w:i/>
          <w:sz w:val="22"/>
          <w:szCs w:val="22"/>
        </w:rPr>
        <w:t xml:space="preserve">  Sex parity in new appointments during 2007 </w:t>
      </w:r>
    </w:p>
    <w:p w:rsidR="009571FA" w:rsidRPr="00634C32" w:rsidRDefault="009571FA" w:rsidP="00B25F0A">
      <w:pPr>
        <w:ind w:right="-180"/>
        <w:rPr>
          <w:sz w:val="8"/>
          <w:szCs w:val="22"/>
        </w:rPr>
      </w:pPr>
    </w:p>
    <w:p w:rsidR="009571FA" w:rsidRDefault="009571FA" w:rsidP="00B25F0A">
      <w:pPr>
        <w:ind w:right="-180"/>
        <w:rPr>
          <w:sz w:val="22"/>
          <w:szCs w:val="22"/>
        </w:rPr>
      </w:pPr>
      <w:r>
        <w:rPr>
          <w:sz w:val="22"/>
          <w:szCs w:val="22"/>
        </w:rPr>
        <w:t xml:space="preserve"> W</w:t>
      </w:r>
      <w:r w:rsidRPr="006A07B7">
        <w:rPr>
          <w:sz w:val="22"/>
          <w:szCs w:val="22"/>
        </w:rPr>
        <w:t xml:space="preserve">omen represented </w:t>
      </w:r>
      <w:r w:rsidRPr="006A07B7">
        <w:rPr>
          <w:b/>
          <w:sz w:val="22"/>
          <w:szCs w:val="22"/>
        </w:rPr>
        <w:t>60%</w:t>
      </w:r>
      <w:r w:rsidRPr="006A07B7">
        <w:rPr>
          <w:sz w:val="22"/>
          <w:szCs w:val="22"/>
        </w:rPr>
        <w:t xml:space="preserve"> of all new recruitments, </w:t>
      </w:r>
      <w:r w:rsidRPr="006A07B7">
        <w:rPr>
          <w:b/>
          <w:sz w:val="22"/>
          <w:szCs w:val="22"/>
        </w:rPr>
        <w:t xml:space="preserve">52% </w:t>
      </w:r>
      <w:r w:rsidRPr="006A07B7">
        <w:rPr>
          <w:sz w:val="22"/>
          <w:szCs w:val="22"/>
        </w:rPr>
        <w:t xml:space="preserve">at P and higher grades-- including the appointment of a Deputy Director-- </w:t>
      </w:r>
      <w:r w:rsidRPr="006A07B7">
        <w:rPr>
          <w:b/>
          <w:sz w:val="22"/>
          <w:szCs w:val="22"/>
        </w:rPr>
        <w:t>88%</w:t>
      </w:r>
      <w:r w:rsidRPr="006A07B7">
        <w:rPr>
          <w:sz w:val="22"/>
          <w:szCs w:val="22"/>
        </w:rPr>
        <w:t xml:space="preserve"> of National Officers and </w:t>
      </w:r>
      <w:r w:rsidRPr="006A07B7">
        <w:rPr>
          <w:b/>
          <w:sz w:val="22"/>
          <w:szCs w:val="22"/>
        </w:rPr>
        <w:t>78%</w:t>
      </w:r>
      <w:r w:rsidRPr="006A07B7">
        <w:rPr>
          <w:sz w:val="22"/>
          <w:szCs w:val="22"/>
        </w:rPr>
        <w:t xml:space="preserve"> of GS. However, women continued to be under-represented in relation to men in the recruitment of </w:t>
      </w:r>
      <w:r w:rsidRPr="006A07B7">
        <w:rPr>
          <w:b/>
          <w:sz w:val="22"/>
          <w:szCs w:val="22"/>
        </w:rPr>
        <w:t>long-term P</w:t>
      </w:r>
      <w:r>
        <w:rPr>
          <w:b/>
          <w:sz w:val="22"/>
          <w:szCs w:val="22"/>
        </w:rPr>
        <w:t>s</w:t>
      </w:r>
      <w:r w:rsidRPr="006A07B7">
        <w:rPr>
          <w:b/>
          <w:sz w:val="22"/>
          <w:szCs w:val="22"/>
        </w:rPr>
        <w:t xml:space="preserve"> </w:t>
      </w:r>
      <w:r>
        <w:rPr>
          <w:b/>
          <w:sz w:val="22"/>
          <w:szCs w:val="22"/>
        </w:rPr>
        <w:t xml:space="preserve">and </w:t>
      </w:r>
      <w:r w:rsidRPr="006A07B7">
        <w:rPr>
          <w:b/>
          <w:sz w:val="22"/>
          <w:szCs w:val="22"/>
        </w:rPr>
        <w:t>D</w:t>
      </w:r>
      <w:r>
        <w:rPr>
          <w:b/>
          <w:sz w:val="22"/>
          <w:szCs w:val="22"/>
        </w:rPr>
        <w:t>s</w:t>
      </w:r>
      <w:r w:rsidRPr="006A07B7">
        <w:rPr>
          <w:b/>
          <w:sz w:val="22"/>
          <w:szCs w:val="22"/>
        </w:rPr>
        <w:t xml:space="preserve"> </w:t>
      </w:r>
      <w:r w:rsidRPr="006A07B7">
        <w:rPr>
          <w:sz w:val="22"/>
          <w:szCs w:val="22"/>
        </w:rPr>
        <w:t>(</w:t>
      </w:r>
      <w:r w:rsidRPr="006A07B7">
        <w:rPr>
          <w:b/>
          <w:sz w:val="22"/>
          <w:szCs w:val="22"/>
        </w:rPr>
        <w:t>41%</w:t>
      </w:r>
      <w:r w:rsidRPr="006A07B7">
        <w:rPr>
          <w:sz w:val="22"/>
          <w:szCs w:val="22"/>
        </w:rPr>
        <w:t>), particularly for C</w:t>
      </w:r>
      <w:r>
        <w:rPr>
          <w:sz w:val="22"/>
          <w:szCs w:val="22"/>
        </w:rPr>
        <w:t>ountry Offices.</w:t>
      </w:r>
    </w:p>
    <w:p w:rsidR="009571FA" w:rsidRPr="00634C32" w:rsidRDefault="009571FA" w:rsidP="00B25F0A">
      <w:pPr>
        <w:ind w:right="-180"/>
        <w:rPr>
          <w:sz w:val="8"/>
          <w:szCs w:val="22"/>
        </w:rPr>
      </w:pPr>
    </w:p>
    <w:p w:rsidR="009571FA" w:rsidRPr="00985F19" w:rsidRDefault="009571FA" w:rsidP="00B25F0A">
      <w:pPr>
        <w:ind w:right="-180"/>
        <w:rPr>
          <w:sz w:val="22"/>
          <w:szCs w:val="22"/>
        </w:rPr>
      </w:pPr>
      <w:r w:rsidRPr="00985F19">
        <w:rPr>
          <w:sz w:val="22"/>
          <w:szCs w:val="22"/>
        </w:rPr>
        <w:t xml:space="preserve">Special attention is called to the composition and changes of the P staff. </w:t>
      </w:r>
      <w:r w:rsidRPr="00985F19">
        <w:rPr>
          <w:b/>
          <w:sz w:val="22"/>
          <w:szCs w:val="22"/>
        </w:rPr>
        <w:t>P4 stands out as the most unequal P category,</w:t>
      </w:r>
      <w:r w:rsidRPr="00985F19">
        <w:rPr>
          <w:sz w:val="22"/>
          <w:szCs w:val="22"/>
        </w:rPr>
        <w:t xml:space="preserve"> showing the lowest female representation, whether all staff or new appointments is </w:t>
      </w:r>
      <w:r>
        <w:rPr>
          <w:sz w:val="22"/>
          <w:szCs w:val="22"/>
        </w:rPr>
        <w:t>considered</w:t>
      </w:r>
      <w:r w:rsidRPr="00985F19">
        <w:rPr>
          <w:sz w:val="22"/>
          <w:szCs w:val="22"/>
        </w:rPr>
        <w:t xml:space="preserve">. </w:t>
      </w:r>
    </w:p>
    <w:p w:rsidR="009571FA" w:rsidRPr="006E3D80" w:rsidRDefault="009571FA" w:rsidP="00B25F0A">
      <w:pPr>
        <w:ind w:right="-180"/>
        <w:rPr>
          <w:rFonts w:cs="Arial"/>
          <w:bCs/>
          <w:sz w:val="14"/>
        </w:rPr>
      </w:pPr>
    </w:p>
    <w:p w:rsidR="009571FA" w:rsidRPr="00546BD5" w:rsidRDefault="009571FA" w:rsidP="00B25F0A">
      <w:pPr>
        <w:ind w:right="-180"/>
        <w:rPr>
          <w:rFonts w:cs="Arial"/>
          <w:b/>
          <w:sz w:val="22"/>
        </w:rPr>
      </w:pPr>
      <w:r>
        <w:rPr>
          <w:rFonts w:cs="Arial"/>
          <w:b/>
          <w:iCs/>
          <w:sz w:val="24"/>
        </w:rPr>
        <w:t xml:space="preserve">3.   </w:t>
      </w:r>
      <w:r w:rsidRPr="00546BD5">
        <w:rPr>
          <w:rFonts w:cs="Arial"/>
          <w:b/>
          <w:iCs/>
          <w:sz w:val="24"/>
        </w:rPr>
        <w:t xml:space="preserve">Promote </w:t>
      </w:r>
      <w:r w:rsidR="00730C34">
        <w:rPr>
          <w:rFonts w:cs="Arial"/>
          <w:b/>
          <w:iCs/>
          <w:sz w:val="24"/>
        </w:rPr>
        <w:t xml:space="preserve">or use </w:t>
      </w:r>
      <w:r w:rsidRPr="00546BD5">
        <w:rPr>
          <w:rFonts w:cs="Arial"/>
          <w:b/>
          <w:iCs/>
          <w:sz w:val="24"/>
        </w:rPr>
        <w:t>sex-disaggregated data</w:t>
      </w:r>
      <w:r w:rsidR="00B25F0A">
        <w:rPr>
          <w:rFonts w:cs="Arial"/>
          <w:b/>
          <w:iCs/>
          <w:sz w:val="24"/>
        </w:rPr>
        <w:t xml:space="preserve"> </w:t>
      </w:r>
      <w:r w:rsidRPr="00546BD5">
        <w:rPr>
          <w:rFonts w:cs="Arial"/>
          <w:b/>
          <w:iCs/>
          <w:sz w:val="24"/>
        </w:rPr>
        <w:t>and gender analysis</w:t>
      </w:r>
      <w:r>
        <w:rPr>
          <w:rFonts w:cs="Arial"/>
          <w:b/>
          <w:iCs/>
          <w:sz w:val="24"/>
        </w:rPr>
        <w:t xml:space="preserve"> (SD3)</w:t>
      </w:r>
      <w:r w:rsidRPr="00546BD5">
        <w:rPr>
          <w:rFonts w:cs="Arial"/>
          <w:b/>
          <w:sz w:val="24"/>
        </w:rPr>
        <w:t xml:space="preserve"> </w:t>
      </w:r>
    </w:p>
    <w:p w:rsidR="009571FA" w:rsidRPr="00634C32" w:rsidRDefault="009571FA" w:rsidP="00B25F0A">
      <w:pPr>
        <w:ind w:right="-180"/>
        <w:rPr>
          <w:sz w:val="6"/>
        </w:rPr>
      </w:pPr>
    </w:p>
    <w:p w:rsidR="009571FA" w:rsidRPr="00027BF9" w:rsidRDefault="009571FA" w:rsidP="00B25F0A">
      <w:pPr>
        <w:ind w:right="-180"/>
        <w:rPr>
          <w:sz w:val="22"/>
          <w:szCs w:val="22"/>
        </w:rPr>
      </w:pPr>
      <w:r>
        <w:rPr>
          <w:sz w:val="22"/>
        </w:rPr>
        <w:t xml:space="preserve">An analysis to assess the extent to which key PAHO documents promote </w:t>
      </w:r>
      <w:r w:rsidR="00730C34">
        <w:rPr>
          <w:sz w:val="22"/>
        </w:rPr>
        <w:t>or</w:t>
      </w:r>
      <w:r>
        <w:rPr>
          <w:sz w:val="22"/>
        </w:rPr>
        <w:t xml:space="preserve"> use </w:t>
      </w:r>
      <w:r w:rsidR="00B25F0A">
        <w:rPr>
          <w:sz w:val="22"/>
        </w:rPr>
        <w:t xml:space="preserve">sex-disaggregated data (SDD) </w:t>
      </w:r>
      <w:r>
        <w:rPr>
          <w:sz w:val="22"/>
        </w:rPr>
        <w:t xml:space="preserve">and gender analysis in health was carried out for four categories of documents: Seminal institution- wide publications; Policy/ Governing Bodies documents; evidence type </w:t>
      </w:r>
      <w:r w:rsidR="00B25F0A">
        <w:rPr>
          <w:sz w:val="22"/>
        </w:rPr>
        <w:t xml:space="preserve">(research) </w:t>
      </w:r>
      <w:r>
        <w:rPr>
          <w:sz w:val="22"/>
        </w:rPr>
        <w:t>publications; and tools/normative guidelines. Th</w:t>
      </w:r>
      <w:r w:rsidRPr="00027BF9">
        <w:rPr>
          <w:sz w:val="22"/>
        </w:rPr>
        <w:t xml:space="preserve">e following 2007 </w:t>
      </w:r>
      <w:r>
        <w:rPr>
          <w:sz w:val="22"/>
        </w:rPr>
        <w:t xml:space="preserve">PAHO </w:t>
      </w:r>
      <w:r w:rsidRPr="00027BF9">
        <w:rPr>
          <w:sz w:val="22"/>
        </w:rPr>
        <w:t>publications and papers</w:t>
      </w:r>
      <w:r>
        <w:rPr>
          <w:sz w:val="22"/>
        </w:rPr>
        <w:t xml:space="preserve"> were analyzed:</w:t>
      </w:r>
      <w:r w:rsidRPr="00027BF9">
        <w:rPr>
          <w:sz w:val="22"/>
        </w:rPr>
        <w:t xml:space="preserve">  “</w:t>
      </w:r>
      <w:r w:rsidRPr="00027BF9">
        <w:rPr>
          <w:i/>
          <w:sz w:val="22"/>
        </w:rPr>
        <w:t>Health in the Americas</w:t>
      </w:r>
      <w:r w:rsidRPr="00027BF9">
        <w:rPr>
          <w:sz w:val="22"/>
        </w:rPr>
        <w:t xml:space="preserve"> 2007”</w:t>
      </w:r>
      <w:r w:rsidR="00BD3BA4">
        <w:rPr>
          <w:sz w:val="22"/>
        </w:rPr>
        <w:t xml:space="preserve">, </w:t>
      </w:r>
      <w:r w:rsidRPr="00027BF9">
        <w:rPr>
          <w:sz w:val="22"/>
        </w:rPr>
        <w:t>“</w:t>
      </w:r>
      <w:r w:rsidRPr="00027BF9">
        <w:rPr>
          <w:i/>
          <w:sz w:val="22"/>
          <w:szCs w:val="22"/>
        </w:rPr>
        <w:t>Renewing Primary Health Care in the Americas”, “</w:t>
      </w:r>
      <w:r w:rsidRPr="00027BF9">
        <w:rPr>
          <w:i/>
          <w:sz w:val="22"/>
        </w:rPr>
        <w:t>Social Protection in Health</w:t>
      </w:r>
      <w:r w:rsidRPr="00027BF9">
        <w:rPr>
          <w:sz w:val="22"/>
        </w:rPr>
        <w:t xml:space="preserve"> </w:t>
      </w:r>
      <w:r w:rsidRPr="00027BF9">
        <w:rPr>
          <w:i/>
          <w:sz w:val="22"/>
          <w:szCs w:val="22"/>
        </w:rPr>
        <w:t xml:space="preserve">Schemes for Mother, Newborn and Child Populations”, </w:t>
      </w:r>
      <w:r w:rsidRPr="00027BF9">
        <w:rPr>
          <w:sz w:val="22"/>
        </w:rPr>
        <w:t>and “</w:t>
      </w:r>
      <w:r w:rsidRPr="00027BF9">
        <w:rPr>
          <w:sz w:val="22"/>
          <w:szCs w:val="22"/>
        </w:rPr>
        <w:t xml:space="preserve">Guidelines to HQ and CO for the preparation and review of PAHO </w:t>
      </w:r>
      <w:r w:rsidRPr="00027BF9">
        <w:rPr>
          <w:rFonts w:cs="Arial"/>
          <w:bCs/>
          <w:color w:val="000000"/>
          <w:sz w:val="22"/>
          <w:szCs w:val="22"/>
        </w:rPr>
        <w:t xml:space="preserve">Biennial Work Plans 2008-2009. </w:t>
      </w:r>
      <w:r w:rsidRPr="00027BF9">
        <w:rPr>
          <w:i/>
          <w:sz w:val="22"/>
          <w:szCs w:val="22"/>
        </w:rPr>
        <w:t xml:space="preserve">Health </w:t>
      </w:r>
      <w:r w:rsidR="00BD3BA4">
        <w:rPr>
          <w:i/>
          <w:sz w:val="22"/>
          <w:szCs w:val="22"/>
        </w:rPr>
        <w:t>i</w:t>
      </w:r>
      <w:r w:rsidRPr="00027BF9">
        <w:rPr>
          <w:i/>
          <w:sz w:val="22"/>
          <w:szCs w:val="22"/>
        </w:rPr>
        <w:t>n the Americas 2007</w:t>
      </w:r>
      <w:r w:rsidR="00BD3BA4">
        <w:rPr>
          <w:i/>
          <w:sz w:val="22"/>
          <w:szCs w:val="22"/>
        </w:rPr>
        <w:t xml:space="preserve"> (</w:t>
      </w:r>
      <w:r w:rsidRPr="00027BF9">
        <w:rPr>
          <w:i/>
          <w:sz w:val="22"/>
          <w:szCs w:val="22"/>
        </w:rPr>
        <w:t>Vol</w:t>
      </w:r>
      <w:r w:rsidR="00BD3BA4">
        <w:rPr>
          <w:i/>
          <w:sz w:val="22"/>
          <w:szCs w:val="22"/>
        </w:rPr>
        <w:t>umes</w:t>
      </w:r>
      <w:r w:rsidR="00B25F0A">
        <w:rPr>
          <w:i/>
          <w:sz w:val="22"/>
          <w:szCs w:val="22"/>
        </w:rPr>
        <w:t xml:space="preserve"> I and </w:t>
      </w:r>
      <w:r w:rsidRPr="00027BF9">
        <w:rPr>
          <w:i/>
          <w:sz w:val="22"/>
          <w:szCs w:val="22"/>
        </w:rPr>
        <w:t>II</w:t>
      </w:r>
      <w:r w:rsidR="00BD3BA4">
        <w:rPr>
          <w:i/>
          <w:sz w:val="22"/>
          <w:szCs w:val="22"/>
        </w:rPr>
        <w:t>)</w:t>
      </w:r>
      <w:r w:rsidRPr="00027BF9">
        <w:rPr>
          <w:i/>
          <w:sz w:val="22"/>
          <w:szCs w:val="22"/>
        </w:rPr>
        <w:t xml:space="preserve">, </w:t>
      </w:r>
      <w:r w:rsidR="00B25F0A">
        <w:rPr>
          <w:sz w:val="22"/>
          <w:szCs w:val="22"/>
        </w:rPr>
        <w:t xml:space="preserve">bore </w:t>
      </w:r>
      <w:r w:rsidRPr="00027BF9">
        <w:rPr>
          <w:sz w:val="22"/>
          <w:szCs w:val="22"/>
        </w:rPr>
        <w:t xml:space="preserve">particular weight in terms of </w:t>
      </w:r>
      <w:r w:rsidR="00B25F0A">
        <w:rPr>
          <w:sz w:val="22"/>
          <w:szCs w:val="22"/>
        </w:rPr>
        <w:t xml:space="preserve">allocated </w:t>
      </w:r>
      <w:r w:rsidRPr="00027BF9">
        <w:rPr>
          <w:sz w:val="22"/>
          <w:szCs w:val="22"/>
        </w:rPr>
        <w:t xml:space="preserve">time resources (1172 pages), given </w:t>
      </w:r>
      <w:r w:rsidR="00BD3BA4">
        <w:rPr>
          <w:sz w:val="22"/>
          <w:szCs w:val="22"/>
        </w:rPr>
        <w:t>its</w:t>
      </w:r>
      <w:r w:rsidRPr="00027BF9">
        <w:rPr>
          <w:sz w:val="22"/>
          <w:szCs w:val="22"/>
        </w:rPr>
        <w:t xml:space="preserve"> importance as reflection of PAHO’s work in all regional and national offices.</w:t>
      </w:r>
      <w:r>
        <w:rPr>
          <w:sz w:val="22"/>
          <w:szCs w:val="22"/>
        </w:rPr>
        <w:t xml:space="preserve"> </w:t>
      </w:r>
      <w:r w:rsidR="00BD3BA4">
        <w:rPr>
          <w:sz w:val="22"/>
          <w:szCs w:val="22"/>
        </w:rPr>
        <w:t>The analysis m</w:t>
      </w:r>
      <w:r>
        <w:rPr>
          <w:sz w:val="22"/>
          <w:szCs w:val="22"/>
        </w:rPr>
        <w:t xml:space="preserve">ain </w:t>
      </w:r>
      <w:r w:rsidR="00BD3BA4">
        <w:rPr>
          <w:sz w:val="22"/>
          <w:szCs w:val="22"/>
        </w:rPr>
        <w:t xml:space="preserve">findings </w:t>
      </w:r>
      <w:r>
        <w:rPr>
          <w:sz w:val="22"/>
          <w:szCs w:val="22"/>
        </w:rPr>
        <w:t xml:space="preserve">were the following: </w:t>
      </w:r>
    </w:p>
    <w:p w:rsidR="009571FA" w:rsidRPr="00CB3312" w:rsidRDefault="009571FA" w:rsidP="00B25F0A">
      <w:pPr>
        <w:ind w:right="-180"/>
        <w:rPr>
          <w:rFonts w:cs="Arial"/>
          <w:b/>
          <w:bCs/>
          <w:color w:val="000000"/>
          <w:sz w:val="12"/>
          <w:szCs w:val="22"/>
        </w:rPr>
      </w:pPr>
    </w:p>
    <w:p w:rsidR="000D5AE2" w:rsidRPr="000D5AE2" w:rsidRDefault="009571FA" w:rsidP="00581596">
      <w:pPr>
        <w:pStyle w:val="ListParagraph"/>
        <w:numPr>
          <w:ilvl w:val="1"/>
          <w:numId w:val="36"/>
        </w:numPr>
        <w:ind w:left="0" w:right="-180" w:firstLine="0"/>
        <w:rPr>
          <w:rFonts w:cs="Arial"/>
          <w:bCs/>
          <w:color w:val="000000"/>
          <w:sz w:val="22"/>
          <w:szCs w:val="22"/>
        </w:rPr>
      </w:pPr>
      <w:r>
        <w:rPr>
          <w:sz w:val="22"/>
        </w:rPr>
        <w:t xml:space="preserve">   </w:t>
      </w:r>
      <w:r w:rsidRPr="00027BF9">
        <w:rPr>
          <w:sz w:val="22"/>
        </w:rPr>
        <w:t xml:space="preserve">A </w:t>
      </w:r>
      <w:r w:rsidRPr="00027BF9">
        <w:rPr>
          <w:b/>
          <w:sz w:val="22"/>
        </w:rPr>
        <w:t>wide range of variation</w:t>
      </w:r>
      <w:r w:rsidRPr="00027BF9">
        <w:rPr>
          <w:sz w:val="22"/>
        </w:rPr>
        <w:t xml:space="preserve"> </w:t>
      </w:r>
      <w:r>
        <w:rPr>
          <w:sz w:val="22"/>
        </w:rPr>
        <w:t xml:space="preserve">was observed </w:t>
      </w:r>
      <w:r w:rsidRPr="00027BF9">
        <w:rPr>
          <w:sz w:val="22"/>
        </w:rPr>
        <w:t>in terms of the degree to which gender was integrated in</w:t>
      </w:r>
      <w:r w:rsidR="00BD3BA4">
        <w:rPr>
          <w:sz w:val="22"/>
        </w:rPr>
        <w:t>to</w:t>
      </w:r>
      <w:r w:rsidRPr="00027BF9">
        <w:rPr>
          <w:sz w:val="22"/>
        </w:rPr>
        <w:t xml:space="preserve"> these four works </w:t>
      </w:r>
      <w:r w:rsidR="00BD3BA4">
        <w:rPr>
          <w:sz w:val="22"/>
        </w:rPr>
        <w:t>(seven</w:t>
      </w:r>
      <w:r>
        <w:rPr>
          <w:sz w:val="22"/>
        </w:rPr>
        <w:t xml:space="preserve">, if Volume I and II of Health in the Americas </w:t>
      </w:r>
      <w:r w:rsidR="00BD3BA4">
        <w:rPr>
          <w:sz w:val="22"/>
        </w:rPr>
        <w:t xml:space="preserve">and the </w:t>
      </w:r>
      <w:r w:rsidR="008F786F">
        <w:rPr>
          <w:sz w:val="22"/>
        </w:rPr>
        <w:t>three BWP</w:t>
      </w:r>
      <w:r w:rsidR="00BD3BA4">
        <w:rPr>
          <w:sz w:val="22"/>
        </w:rPr>
        <w:t xml:space="preserve"> guidelines are </w:t>
      </w:r>
      <w:r>
        <w:rPr>
          <w:sz w:val="22"/>
        </w:rPr>
        <w:t>considered separately).</w:t>
      </w:r>
      <w:r w:rsidRPr="00027BF9">
        <w:rPr>
          <w:sz w:val="22"/>
        </w:rPr>
        <w:t xml:space="preserve"> In a scale of </w:t>
      </w:r>
      <w:r w:rsidRPr="00027BF9">
        <w:rPr>
          <w:b/>
          <w:sz w:val="22"/>
        </w:rPr>
        <w:t>0 to 11</w:t>
      </w:r>
      <w:r w:rsidRPr="00027BF9">
        <w:rPr>
          <w:sz w:val="22"/>
        </w:rPr>
        <w:t xml:space="preserve">, the gender integration scores achieved by these documents fluctuated between </w:t>
      </w:r>
      <w:r w:rsidR="00BD3BA4">
        <w:rPr>
          <w:sz w:val="22"/>
        </w:rPr>
        <w:t xml:space="preserve">a </w:t>
      </w:r>
      <w:r w:rsidRPr="00027BF9">
        <w:rPr>
          <w:b/>
          <w:sz w:val="22"/>
        </w:rPr>
        <w:t xml:space="preserve">9 </w:t>
      </w:r>
      <w:r w:rsidRPr="00027BF9">
        <w:rPr>
          <w:sz w:val="22"/>
        </w:rPr>
        <w:t>for “</w:t>
      </w:r>
      <w:r w:rsidRPr="00027BF9">
        <w:rPr>
          <w:i/>
          <w:sz w:val="22"/>
        </w:rPr>
        <w:t>Social Protection in Health Schemes</w:t>
      </w:r>
      <w:r w:rsidR="008F786F">
        <w:rPr>
          <w:b/>
          <w:i/>
          <w:sz w:val="22"/>
        </w:rPr>
        <w:t>...”;</w:t>
      </w:r>
      <w:r w:rsidRPr="00027BF9">
        <w:rPr>
          <w:b/>
          <w:i/>
          <w:sz w:val="22"/>
        </w:rPr>
        <w:t xml:space="preserve"> </w:t>
      </w:r>
      <w:r w:rsidRPr="00027BF9">
        <w:rPr>
          <w:b/>
          <w:sz w:val="22"/>
        </w:rPr>
        <w:t>8</w:t>
      </w:r>
      <w:r w:rsidR="00BD3BA4">
        <w:rPr>
          <w:b/>
          <w:sz w:val="22"/>
        </w:rPr>
        <w:t>,</w:t>
      </w:r>
      <w:r w:rsidRPr="00027BF9">
        <w:rPr>
          <w:b/>
          <w:sz w:val="22"/>
        </w:rPr>
        <w:t xml:space="preserve">  </w:t>
      </w:r>
      <w:r w:rsidRPr="00027BF9">
        <w:rPr>
          <w:sz w:val="22"/>
        </w:rPr>
        <w:t>for “</w:t>
      </w:r>
      <w:r w:rsidRPr="00027BF9">
        <w:rPr>
          <w:i/>
          <w:sz w:val="22"/>
        </w:rPr>
        <w:t xml:space="preserve">Health </w:t>
      </w:r>
      <w:r w:rsidR="00BD3BA4">
        <w:rPr>
          <w:i/>
          <w:sz w:val="22"/>
        </w:rPr>
        <w:t>in the Americas 2007, Volume 1”;</w:t>
      </w:r>
      <w:r w:rsidRPr="00027BF9">
        <w:rPr>
          <w:i/>
          <w:sz w:val="22"/>
        </w:rPr>
        <w:t xml:space="preserve"> </w:t>
      </w:r>
      <w:r w:rsidRPr="00027BF9">
        <w:rPr>
          <w:b/>
          <w:i/>
          <w:sz w:val="22"/>
        </w:rPr>
        <w:t xml:space="preserve"> </w:t>
      </w:r>
      <w:r w:rsidRPr="00027BF9">
        <w:rPr>
          <w:b/>
          <w:sz w:val="22"/>
        </w:rPr>
        <w:t>5</w:t>
      </w:r>
      <w:r w:rsidR="00BD3BA4">
        <w:rPr>
          <w:b/>
          <w:sz w:val="22"/>
        </w:rPr>
        <w:t>,</w:t>
      </w:r>
      <w:r w:rsidRPr="00027BF9">
        <w:rPr>
          <w:sz w:val="22"/>
        </w:rPr>
        <w:t xml:space="preserve">  for ”</w:t>
      </w:r>
      <w:r w:rsidRPr="00027BF9">
        <w:rPr>
          <w:i/>
          <w:sz w:val="22"/>
        </w:rPr>
        <w:t>Health in the Americas</w:t>
      </w:r>
      <w:r w:rsidRPr="00027BF9">
        <w:rPr>
          <w:sz w:val="22"/>
        </w:rPr>
        <w:t xml:space="preserve"> 2007, </w:t>
      </w:r>
      <w:r w:rsidRPr="00027BF9">
        <w:rPr>
          <w:i/>
          <w:sz w:val="22"/>
        </w:rPr>
        <w:t>Volume II”</w:t>
      </w:r>
      <w:r w:rsidRPr="00027BF9">
        <w:rPr>
          <w:sz w:val="22"/>
        </w:rPr>
        <w:t xml:space="preserve">;  </w:t>
      </w:r>
      <w:r w:rsidRPr="00027BF9">
        <w:rPr>
          <w:b/>
          <w:sz w:val="22"/>
        </w:rPr>
        <w:t>3</w:t>
      </w:r>
      <w:r w:rsidR="008F786F">
        <w:rPr>
          <w:b/>
          <w:sz w:val="22"/>
        </w:rPr>
        <w:t>,</w:t>
      </w:r>
      <w:r w:rsidRPr="00027BF9">
        <w:rPr>
          <w:sz w:val="22"/>
        </w:rPr>
        <w:t xml:space="preserve"> for “</w:t>
      </w:r>
      <w:r w:rsidRPr="00027BF9">
        <w:rPr>
          <w:i/>
          <w:sz w:val="22"/>
          <w:szCs w:val="22"/>
        </w:rPr>
        <w:t xml:space="preserve">Renewing Primary Health Care in the Americas...”; </w:t>
      </w:r>
      <w:r w:rsidRPr="00027BF9">
        <w:rPr>
          <w:sz w:val="22"/>
        </w:rPr>
        <w:t xml:space="preserve">and  </w:t>
      </w:r>
      <w:r w:rsidRPr="00027BF9">
        <w:rPr>
          <w:b/>
          <w:sz w:val="22"/>
        </w:rPr>
        <w:t xml:space="preserve">2 </w:t>
      </w:r>
      <w:r w:rsidRPr="00027BF9">
        <w:rPr>
          <w:sz w:val="22"/>
        </w:rPr>
        <w:t>for “</w:t>
      </w:r>
      <w:r w:rsidRPr="00027BF9">
        <w:rPr>
          <w:sz w:val="22"/>
          <w:szCs w:val="22"/>
        </w:rPr>
        <w:t xml:space="preserve">Guidelines for the preparation and review of PAHO </w:t>
      </w:r>
      <w:r w:rsidRPr="00027BF9">
        <w:rPr>
          <w:rFonts w:cs="Arial"/>
          <w:bCs/>
          <w:color w:val="000000"/>
          <w:sz w:val="22"/>
          <w:szCs w:val="22"/>
        </w:rPr>
        <w:t xml:space="preserve">Biennial Work Plans”. </w:t>
      </w:r>
      <w:r w:rsidRPr="00027BF9">
        <w:rPr>
          <w:sz w:val="22"/>
        </w:rPr>
        <w:t xml:space="preserve"> </w:t>
      </w:r>
    </w:p>
    <w:p w:rsidR="000D5AE2" w:rsidRPr="000D5AE2" w:rsidRDefault="000D5AE2" w:rsidP="000D5AE2">
      <w:pPr>
        <w:pStyle w:val="ListParagraph"/>
        <w:ind w:left="0" w:right="-180"/>
        <w:rPr>
          <w:rFonts w:cs="Arial"/>
          <w:bCs/>
          <w:color w:val="000000"/>
          <w:sz w:val="22"/>
          <w:szCs w:val="22"/>
        </w:rPr>
      </w:pPr>
    </w:p>
    <w:p w:rsidR="00E27F05" w:rsidRPr="00E27F05" w:rsidRDefault="009571FA" w:rsidP="00581596">
      <w:pPr>
        <w:numPr>
          <w:ilvl w:val="1"/>
          <w:numId w:val="36"/>
        </w:numPr>
        <w:ind w:left="0" w:right="-180" w:firstLine="0"/>
        <w:rPr>
          <w:sz w:val="22"/>
          <w:szCs w:val="22"/>
        </w:rPr>
      </w:pPr>
      <w:r w:rsidRPr="00E27F05">
        <w:rPr>
          <w:rFonts w:cs="Arial"/>
          <w:bCs/>
          <w:color w:val="000000"/>
          <w:sz w:val="22"/>
          <w:szCs w:val="22"/>
        </w:rPr>
        <w:t xml:space="preserve">   All four types of documents transpired a general </w:t>
      </w:r>
      <w:r w:rsidRPr="00E27F05">
        <w:rPr>
          <w:rFonts w:cs="Arial"/>
          <w:b/>
          <w:bCs/>
          <w:color w:val="000000"/>
          <w:sz w:val="22"/>
          <w:szCs w:val="22"/>
        </w:rPr>
        <w:t>awareness</w:t>
      </w:r>
      <w:r w:rsidRPr="00E27F05">
        <w:rPr>
          <w:rFonts w:cs="Arial"/>
          <w:bCs/>
          <w:i/>
          <w:color w:val="000000"/>
          <w:sz w:val="22"/>
          <w:szCs w:val="22"/>
        </w:rPr>
        <w:t xml:space="preserve"> or acknowledgement of </w:t>
      </w:r>
      <w:r w:rsidRPr="00E27F05">
        <w:rPr>
          <w:rFonts w:cs="Arial"/>
          <w:bCs/>
          <w:color w:val="000000"/>
          <w:sz w:val="22"/>
          <w:szCs w:val="22"/>
        </w:rPr>
        <w:t>gender-related mandates (PAHO’s and MDGs).</w:t>
      </w:r>
      <w:r w:rsidR="00D063A3" w:rsidRPr="00E27F05">
        <w:rPr>
          <w:rFonts w:cs="Arial"/>
          <w:bCs/>
          <w:color w:val="000000"/>
          <w:sz w:val="22"/>
          <w:szCs w:val="22"/>
        </w:rPr>
        <w:t xml:space="preserve"> </w:t>
      </w:r>
      <w:r w:rsidRPr="00E27F05">
        <w:rPr>
          <w:rFonts w:cs="Arial"/>
          <w:bCs/>
          <w:color w:val="000000"/>
          <w:sz w:val="22"/>
          <w:szCs w:val="22"/>
        </w:rPr>
        <w:t>However, some sections of these documents did not fare as well. These were</w:t>
      </w:r>
      <w:r w:rsidR="0073030F" w:rsidRPr="00E27F05">
        <w:rPr>
          <w:rFonts w:cs="Arial"/>
          <w:bCs/>
          <w:color w:val="000000"/>
          <w:sz w:val="22"/>
          <w:szCs w:val="22"/>
        </w:rPr>
        <w:t>: i</w:t>
      </w:r>
      <w:r w:rsidR="00C30CF7" w:rsidRPr="00E27F05">
        <w:rPr>
          <w:rFonts w:cs="Arial"/>
          <w:bCs/>
          <w:color w:val="000000"/>
          <w:sz w:val="22"/>
          <w:szCs w:val="22"/>
        </w:rPr>
        <w:t xml:space="preserve">n </w:t>
      </w:r>
      <w:r w:rsidR="00C30CF7" w:rsidRPr="00E27F05">
        <w:rPr>
          <w:rFonts w:cs="Arial"/>
          <w:bCs/>
          <w:i/>
          <w:color w:val="000000"/>
          <w:sz w:val="22"/>
          <w:szCs w:val="22"/>
        </w:rPr>
        <w:t xml:space="preserve">Health in the Americas, </w:t>
      </w:r>
      <w:r w:rsidR="0073030F" w:rsidRPr="00E27F05">
        <w:rPr>
          <w:rFonts w:cs="Arial"/>
          <w:bCs/>
          <w:i/>
          <w:color w:val="000000"/>
          <w:sz w:val="22"/>
          <w:szCs w:val="22"/>
        </w:rPr>
        <w:t xml:space="preserve">Regional </w:t>
      </w:r>
      <w:r w:rsidR="00C30CF7" w:rsidRPr="00E27F05">
        <w:rPr>
          <w:rFonts w:cs="Arial"/>
          <w:bCs/>
          <w:i/>
          <w:color w:val="000000"/>
          <w:sz w:val="22"/>
          <w:szCs w:val="22"/>
        </w:rPr>
        <w:t>Volume,</w:t>
      </w:r>
      <w:r w:rsidR="00C30CF7" w:rsidRPr="00E27F05">
        <w:rPr>
          <w:rFonts w:cs="Arial"/>
          <w:bCs/>
          <w:color w:val="000000"/>
          <w:sz w:val="22"/>
          <w:szCs w:val="22"/>
        </w:rPr>
        <w:t xml:space="preserve"> </w:t>
      </w:r>
      <w:r w:rsidR="0073030F" w:rsidRPr="00E27F05">
        <w:rPr>
          <w:rFonts w:cs="Arial"/>
          <w:bCs/>
          <w:color w:val="000000"/>
          <w:sz w:val="22"/>
          <w:szCs w:val="22"/>
        </w:rPr>
        <w:t xml:space="preserve">one of eight main sections, </w:t>
      </w:r>
      <w:r w:rsidR="00C30CF7" w:rsidRPr="00E27F05">
        <w:rPr>
          <w:sz w:val="22"/>
          <w:szCs w:val="22"/>
        </w:rPr>
        <w:t>‘</w:t>
      </w:r>
      <w:r w:rsidRPr="00E27F05">
        <w:rPr>
          <w:sz w:val="22"/>
          <w:szCs w:val="22"/>
        </w:rPr>
        <w:t>Health and international cooperation</w:t>
      </w:r>
      <w:r w:rsidR="0073030F" w:rsidRPr="00E27F05">
        <w:rPr>
          <w:sz w:val="22"/>
          <w:szCs w:val="22"/>
        </w:rPr>
        <w:t>’</w:t>
      </w:r>
      <w:r w:rsidR="0073030F" w:rsidRPr="00E27F05">
        <w:rPr>
          <w:rFonts w:cs="Arial"/>
          <w:bCs/>
          <w:color w:val="000000"/>
          <w:sz w:val="22"/>
          <w:szCs w:val="22"/>
        </w:rPr>
        <w:t xml:space="preserve">; and in the </w:t>
      </w:r>
      <w:r w:rsidR="0073030F" w:rsidRPr="00E27F05">
        <w:rPr>
          <w:rFonts w:cs="Arial"/>
          <w:bCs/>
          <w:i/>
          <w:color w:val="000000"/>
          <w:sz w:val="22"/>
          <w:szCs w:val="22"/>
        </w:rPr>
        <w:t xml:space="preserve">Countries Volume </w:t>
      </w:r>
      <w:r w:rsidR="0073030F" w:rsidRPr="00E27F05">
        <w:rPr>
          <w:rFonts w:cs="Arial"/>
          <w:bCs/>
          <w:color w:val="000000"/>
          <w:sz w:val="22"/>
          <w:szCs w:val="22"/>
        </w:rPr>
        <w:t xml:space="preserve">of the same publication,  most </w:t>
      </w:r>
      <w:r w:rsidRPr="00E27F05">
        <w:rPr>
          <w:rFonts w:cs="Arial"/>
          <w:bCs/>
          <w:color w:val="000000"/>
          <w:sz w:val="22"/>
          <w:szCs w:val="22"/>
        </w:rPr>
        <w:t>sampled country profiles</w:t>
      </w:r>
      <w:r w:rsidR="0073030F" w:rsidRPr="00E27F05">
        <w:rPr>
          <w:rFonts w:cs="Arial"/>
          <w:bCs/>
          <w:color w:val="000000"/>
          <w:sz w:val="22"/>
          <w:szCs w:val="22"/>
        </w:rPr>
        <w:t>.</w:t>
      </w:r>
    </w:p>
    <w:p w:rsidR="00E27F05" w:rsidRDefault="00E27F05" w:rsidP="00E27F05">
      <w:pPr>
        <w:pStyle w:val="ListParagraph"/>
        <w:rPr>
          <w:rFonts w:cs="Arial"/>
          <w:bCs/>
          <w:color w:val="000000"/>
          <w:sz w:val="22"/>
          <w:szCs w:val="22"/>
        </w:rPr>
      </w:pPr>
    </w:p>
    <w:p w:rsidR="009571FA" w:rsidRPr="00E27F05" w:rsidRDefault="009571FA" w:rsidP="00581596">
      <w:pPr>
        <w:numPr>
          <w:ilvl w:val="1"/>
          <w:numId w:val="36"/>
        </w:numPr>
        <w:ind w:left="0" w:right="-180" w:firstLine="0"/>
        <w:rPr>
          <w:sz w:val="22"/>
          <w:szCs w:val="22"/>
        </w:rPr>
      </w:pPr>
      <w:r w:rsidRPr="00E27F05">
        <w:rPr>
          <w:rFonts w:cs="Arial"/>
          <w:bCs/>
          <w:color w:val="000000"/>
          <w:sz w:val="22"/>
          <w:szCs w:val="22"/>
        </w:rPr>
        <w:t xml:space="preserve">In contrast with this broad awareness, </w:t>
      </w:r>
      <w:r w:rsidR="00394329" w:rsidRPr="00E27F05">
        <w:rPr>
          <w:rFonts w:cs="Arial"/>
          <w:bCs/>
          <w:color w:val="000000"/>
          <w:sz w:val="22"/>
          <w:szCs w:val="22"/>
        </w:rPr>
        <w:t xml:space="preserve">explicit </w:t>
      </w:r>
      <w:r w:rsidRPr="00E27F05">
        <w:rPr>
          <w:rFonts w:cs="Arial"/>
          <w:b/>
          <w:bCs/>
          <w:color w:val="000000"/>
          <w:sz w:val="22"/>
          <w:szCs w:val="22"/>
        </w:rPr>
        <w:t xml:space="preserve">knowledge </w:t>
      </w:r>
      <w:r w:rsidRPr="00E27F05">
        <w:rPr>
          <w:rFonts w:cs="Arial"/>
          <w:bCs/>
          <w:color w:val="000000"/>
          <w:sz w:val="22"/>
          <w:szCs w:val="22"/>
        </w:rPr>
        <w:t>(defined in this instance</w:t>
      </w:r>
      <w:r w:rsidRPr="00E27F05">
        <w:rPr>
          <w:rFonts w:cs="Arial"/>
          <w:b/>
          <w:bCs/>
          <w:color w:val="000000"/>
          <w:sz w:val="22"/>
          <w:szCs w:val="22"/>
        </w:rPr>
        <w:t xml:space="preserve"> </w:t>
      </w:r>
      <w:r w:rsidRPr="00E27F05">
        <w:rPr>
          <w:rFonts w:cs="Arial"/>
          <w:bCs/>
          <w:color w:val="000000"/>
          <w:sz w:val="22"/>
          <w:szCs w:val="22"/>
        </w:rPr>
        <w:t xml:space="preserve">as appropriate use, or specific statements regarding the nature of gender concepts) was restricted to two publications: </w:t>
      </w:r>
      <w:r w:rsidRPr="00E27F05">
        <w:rPr>
          <w:rFonts w:cs="Arial"/>
          <w:bCs/>
          <w:i/>
          <w:color w:val="000000"/>
          <w:sz w:val="22"/>
          <w:szCs w:val="22"/>
        </w:rPr>
        <w:t xml:space="preserve">“Social Protection...” </w:t>
      </w:r>
      <w:r w:rsidRPr="00E27F05">
        <w:rPr>
          <w:rFonts w:cs="Arial"/>
          <w:bCs/>
          <w:color w:val="000000"/>
          <w:sz w:val="22"/>
          <w:szCs w:val="22"/>
        </w:rPr>
        <w:t>and “</w:t>
      </w:r>
      <w:r w:rsidRPr="00E27F05">
        <w:rPr>
          <w:i/>
          <w:sz w:val="22"/>
        </w:rPr>
        <w:t>Health in the Americas Vol. I”</w:t>
      </w:r>
      <w:r w:rsidRPr="00E27F05">
        <w:rPr>
          <w:rFonts w:cs="Arial"/>
          <w:bCs/>
          <w:color w:val="000000"/>
          <w:sz w:val="22"/>
          <w:szCs w:val="22"/>
        </w:rPr>
        <w:t>. This type of clear</w:t>
      </w:r>
      <w:r w:rsidR="00394329" w:rsidRPr="00E27F05">
        <w:rPr>
          <w:rFonts w:cs="Arial"/>
          <w:bCs/>
          <w:color w:val="000000"/>
          <w:sz w:val="22"/>
          <w:szCs w:val="22"/>
        </w:rPr>
        <w:t xml:space="preserve">, </w:t>
      </w:r>
      <w:r w:rsidRPr="00E27F05">
        <w:rPr>
          <w:rFonts w:cs="Arial"/>
          <w:bCs/>
          <w:color w:val="000000"/>
          <w:sz w:val="22"/>
          <w:szCs w:val="22"/>
        </w:rPr>
        <w:t xml:space="preserve">understanding </w:t>
      </w:r>
      <w:r w:rsidRPr="00E27F05">
        <w:rPr>
          <w:rFonts w:cs="Arial"/>
          <w:b/>
          <w:bCs/>
          <w:color w:val="000000"/>
          <w:sz w:val="22"/>
          <w:szCs w:val="22"/>
        </w:rPr>
        <w:t>was not e</w:t>
      </w:r>
      <w:r w:rsidR="00394329" w:rsidRPr="00E27F05">
        <w:rPr>
          <w:rFonts w:cs="Arial"/>
          <w:b/>
          <w:bCs/>
          <w:color w:val="000000"/>
          <w:sz w:val="22"/>
          <w:szCs w:val="22"/>
        </w:rPr>
        <w:t>xplicit</w:t>
      </w:r>
      <w:r w:rsidRPr="00E27F05">
        <w:rPr>
          <w:rFonts w:cs="Arial"/>
          <w:bCs/>
          <w:color w:val="000000"/>
          <w:sz w:val="22"/>
          <w:szCs w:val="22"/>
        </w:rPr>
        <w:t xml:space="preserve"> in 5 of the 14 sampled countries in Health in the Americas Volume II, and it was barely present in “</w:t>
      </w:r>
      <w:r w:rsidR="00394329" w:rsidRPr="00E27F05">
        <w:rPr>
          <w:rFonts w:cs="Arial"/>
          <w:bCs/>
          <w:i/>
          <w:color w:val="000000"/>
          <w:sz w:val="22"/>
          <w:szCs w:val="22"/>
        </w:rPr>
        <w:t xml:space="preserve">Primary Health Care...”. </w:t>
      </w:r>
      <w:r w:rsidR="00394329" w:rsidRPr="00E27F05">
        <w:rPr>
          <w:rFonts w:cs="Arial"/>
          <w:bCs/>
          <w:color w:val="000000"/>
          <w:sz w:val="22"/>
          <w:szCs w:val="22"/>
        </w:rPr>
        <w:t xml:space="preserve">Regarding the latter, it is noteworthy that in </w:t>
      </w:r>
      <w:r w:rsidR="00645932" w:rsidRPr="00E27F05">
        <w:rPr>
          <w:rFonts w:cs="Arial"/>
          <w:bCs/>
          <w:color w:val="000000"/>
          <w:sz w:val="22"/>
          <w:szCs w:val="22"/>
        </w:rPr>
        <w:t xml:space="preserve">the text of </w:t>
      </w:r>
      <w:r w:rsidR="00394329" w:rsidRPr="00E27F05">
        <w:rPr>
          <w:rFonts w:cs="Arial"/>
          <w:bCs/>
          <w:color w:val="000000"/>
          <w:sz w:val="22"/>
          <w:szCs w:val="22"/>
        </w:rPr>
        <w:t xml:space="preserve">a </w:t>
      </w:r>
      <w:r w:rsidR="00394329" w:rsidRPr="00E27F05">
        <w:rPr>
          <w:sz w:val="22"/>
          <w:szCs w:val="22"/>
        </w:rPr>
        <w:t>central policy document like this</w:t>
      </w:r>
      <w:r w:rsidRPr="00E27F05">
        <w:rPr>
          <w:rFonts w:cs="Arial"/>
          <w:bCs/>
          <w:color w:val="000000"/>
          <w:sz w:val="22"/>
          <w:szCs w:val="22"/>
        </w:rPr>
        <w:t>, the terms</w:t>
      </w:r>
      <w:r w:rsidRPr="00E27F05">
        <w:rPr>
          <w:sz w:val="22"/>
          <w:szCs w:val="22"/>
        </w:rPr>
        <w:t xml:space="preserve"> Gender equality and/or Gender equity </w:t>
      </w:r>
      <w:r w:rsidR="00645932" w:rsidRPr="00E27F05">
        <w:rPr>
          <w:sz w:val="22"/>
          <w:szCs w:val="22"/>
        </w:rPr>
        <w:t xml:space="preserve">are </w:t>
      </w:r>
      <w:r w:rsidRPr="00E27F05">
        <w:rPr>
          <w:b/>
          <w:sz w:val="22"/>
          <w:szCs w:val="22"/>
        </w:rPr>
        <w:t xml:space="preserve">not </w:t>
      </w:r>
      <w:r w:rsidRPr="00E27F05">
        <w:rPr>
          <w:sz w:val="22"/>
          <w:szCs w:val="22"/>
        </w:rPr>
        <w:t xml:space="preserve">mentioned </w:t>
      </w:r>
      <w:r w:rsidR="00645932" w:rsidRPr="00E27F05">
        <w:rPr>
          <w:sz w:val="22"/>
          <w:szCs w:val="22"/>
        </w:rPr>
        <w:t xml:space="preserve">at all. </w:t>
      </w:r>
      <w:r w:rsidRPr="00E27F05">
        <w:rPr>
          <w:sz w:val="22"/>
          <w:szCs w:val="22"/>
        </w:rPr>
        <w:t xml:space="preserve"> Finally, in the </w:t>
      </w:r>
      <w:r w:rsidRPr="00E27F05">
        <w:rPr>
          <w:i/>
          <w:sz w:val="22"/>
          <w:szCs w:val="22"/>
        </w:rPr>
        <w:t>“Guidelines...for the preparation of work plans”</w:t>
      </w:r>
      <w:r w:rsidRPr="00E27F05">
        <w:rPr>
          <w:sz w:val="22"/>
          <w:szCs w:val="22"/>
        </w:rPr>
        <w:t xml:space="preserve">, the reference to </w:t>
      </w:r>
      <w:r w:rsidRPr="00E27F05">
        <w:rPr>
          <w:i/>
          <w:sz w:val="22"/>
          <w:szCs w:val="22"/>
        </w:rPr>
        <w:t>gender equality</w:t>
      </w:r>
      <w:r w:rsidR="0073030F" w:rsidRPr="00E27F05">
        <w:rPr>
          <w:sz w:val="22"/>
          <w:szCs w:val="22"/>
        </w:rPr>
        <w:t xml:space="preserve"> was reduced to</w:t>
      </w:r>
      <w:r w:rsidRPr="00E27F05">
        <w:rPr>
          <w:sz w:val="22"/>
          <w:szCs w:val="22"/>
        </w:rPr>
        <w:t xml:space="preserve"> two words, “Gender equality”, inscribed in the list of PAHO’s six cross-cutting issues.  </w:t>
      </w:r>
    </w:p>
    <w:p w:rsidR="009571FA" w:rsidRPr="00CB3312" w:rsidRDefault="009571FA" w:rsidP="00E90F06">
      <w:pPr>
        <w:rPr>
          <w:sz w:val="12"/>
          <w:szCs w:val="22"/>
        </w:rPr>
      </w:pPr>
    </w:p>
    <w:p w:rsidR="009571FA" w:rsidRPr="00027BF9" w:rsidRDefault="00E27F05" w:rsidP="00E90F06">
      <w:pPr>
        <w:rPr>
          <w:rFonts w:cs="Arial"/>
          <w:bCs/>
          <w:color w:val="000000"/>
          <w:sz w:val="22"/>
          <w:szCs w:val="22"/>
        </w:rPr>
      </w:pPr>
      <w:r w:rsidRPr="00E27F05">
        <w:rPr>
          <w:sz w:val="22"/>
          <w:szCs w:val="22"/>
        </w:rPr>
        <w:t>d</w:t>
      </w:r>
      <w:r w:rsidR="009571FA" w:rsidRPr="00E90F06">
        <w:rPr>
          <w:b/>
          <w:sz w:val="22"/>
          <w:szCs w:val="22"/>
        </w:rPr>
        <w:t>.</w:t>
      </w:r>
      <w:r w:rsidR="009571FA">
        <w:rPr>
          <w:sz w:val="22"/>
          <w:szCs w:val="22"/>
        </w:rPr>
        <w:t xml:space="preserve">     </w:t>
      </w:r>
      <w:r w:rsidR="009571FA" w:rsidRPr="00027BF9">
        <w:rPr>
          <w:sz w:val="22"/>
          <w:szCs w:val="22"/>
        </w:rPr>
        <w:t xml:space="preserve">It is important to underscore that the extensive use of appropriate gender citations throughout </w:t>
      </w:r>
      <w:r w:rsidR="009571FA">
        <w:rPr>
          <w:sz w:val="22"/>
          <w:szCs w:val="22"/>
        </w:rPr>
        <w:t xml:space="preserve">the different chapters of the </w:t>
      </w:r>
      <w:r w:rsidR="009571FA" w:rsidRPr="00027BF9">
        <w:rPr>
          <w:sz w:val="22"/>
          <w:szCs w:val="22"/>
        </w:rPr>
        <w:t>Volume</w:t>
      </w:r>
      <w:r w:rsidR="009571FA" w:rsidRPr="00027BF9">
        <w:rPr>
          <w:i/>
          <w:sz w:val="22"/>
          <w:szCs w:val="22"/>
        </w:rPr>
        <w:t xml:space="preserve"> </w:t>
      </w:r>
      <w:r w:rsidR="009571FA" w:rsidRPr="00027BF9">
        <w:rPr>
          <w:sz w:val="22"/>
          <w:szCs w:val="22"/>
        </w:rPr>
        <w:t xml:space="preserve">1 of </w:t>
      </w:r>
      <w:r w:rsidR="009571FA" w:rsidRPr="00027BF9">
        <w:rPr>
          <w:i/>
          <w:sz w:val="22"/>
          <w:szCs w:val="22"/>
        </w:rPr>
        <w:t>“Health in the Americas ...”</w:t>
      </w:r>
      <w:r w:rsidR="009571FA">
        <w:rPr>
          <w:i/>
          <w:sz w:val="22"/>
          <w:szCs w:val="22"/>
        </w:rPr>
        <w:t>,</w:t>
      </w:r>
      <w:r w:rsidR="009571FA" w:rsidRPr="00027BF9">
        <w:rPr>
          <w:sz w:val="22"/>
          <w:szCs w:val="22"/>
        </w:rPr>
        <w:t xml:space="preserve"> constitutes a significant reflection of the wide range of gender awareness existing in PAHO/HQ. At the same time, the scarcity or absence of such citations in the sampled countries, points to an important awareness and knowledge gap between HQ and the field.  </w:t>
      </w:r>
    </w:p>
    <w:p w:rsidR="009571FA" w:rsidRPr="006E3D80" w:rsidRDefault="009571FA" w:rsidP="00E90F06">
      <w:pPr>
        <w:rPr>
          <w:sz w:val="14"/>
          <w:szCs w:val="22"/>
        </w:rPr>
      </w:pPr>
    </w:p>
    <w:p w:rsidR="009571FA" w:rsidRPr="00027BF9" w:rsidRDefault="00E27F05" w:rsidP="00645932">
      <w:pPr>
        <w:rPr>
          <w:i/>
          <w:sz w:val="22"/>
          <w:szCs w:val="22"/>
        </w:rPr>
      </w:pPr>
      <w:r>
        <w:rPr>
          <w:sz w:val="22"/>
          <w:szCs w:val="22"/>
        </w:rPr>
        <w:t>e</w:t>
      </w:r>
      <w:r w:rsidR="00645932">
        <w:rPr>
          <w:sz w:val="22"/>
          <w:szCs w:val="22"/>
        </w:rPr>
        <w:t>.</w:t>
      </w:r>
      <w:r w:rsidR="009571FA">
        <w:rPr>
          <w:sz w:val="22"/>
          <w:szCs w:val="22"/>
        </w:rPr>
        <w:t xml:space="preserve">    </w:t>
      </w:r>
      <w:r w:rsidR="009571FA" w:rsidRPr="00027BF9">
        <w:rPr>
          <w:sz w:val="22"/>
          <w:szCs w:val="22"/>
        </w:rPr>
        <w:t xml:space="preserve">Special mention must be made in this context, of the manifest weakness in the use –or rather exceptional use—of two central notions of the PAHO Gender Equality Policy (and </w:t>
      </w:r>
      <w:r w:rsidR="009571FA">
        <w:rPr>
          <w:sz w:val="22"/>
          <w:szCs w:val="22"/>
        </w:rPr>
        <w:t>the MDG 3</w:t>
      </w:r>
      <w:r w:rsidR="009571FA" w:rsidRPr="00027BF9">
        <w:rPr>
          <w:sz w:val="22"/>
          <w:szCs w:val="22"/>
        </w:rPr>
        <w:t xml:space="preserve">): </w:t>
      </w:r>
      <w:r w:rsidR="009571FA" w:rsidRPr="00027BF9">
        <w:rPr>
          <w:i/>
          <w:sz w:val="22"/>
          <w:szCs w:val="22"/>
        </w:rPr>
        <w:t>women’s empowerment</w:t>
      </w:r>
      <w:r w:rsidR="009571FA" w:rsidRPr="00027BF9">
        <w:rPr>
          <w:sz w:val="22"/>
          <w:szCs w:val="22"/>
        </w:rPr>
        <w:t xml:space="preserve"> and </w:t>
      </w:r>
      <w:r w:rsidR="009571FA" w:rsidRPr="00027BF9">
        <w:rPr>
          <w:i/>
          <w:sz w:val="22"/>
          <w:szCs w:val="22"/>
        </w:rPr>
        <w:t xml:space="preserve">women’s rights as human rights.  </w:t>
      </w:r>
      <w:r w:rsidR="009571FA" w:rsidRPr="00027BF9">
        <w:rPr>
          <w:sz w:val="22"/>
          <w:szCs w:val="22"/>
        </w:rPr>
        <w:t xml:space="preserve">The outstanding exceptions refer to the </w:t>
      </w:r>
      <w:r w:rsidR="009571FA" w:rsidRPr="00027BF9">
        <w:rPr>
          <w:i/>
          <w:sz w:val="22"/>
          <w:szCs w:val="22"/>
        </w:rPr>
        <w:t>“Social Protection....”</w:t>
      </w:r>
      <w:r w:rsidR="009571FA">
        <w:rPr>
          <w:i/>
          <w:sz w:val="22"/>
          <w:szCs w:val="22"/>
        </w:rPr>
        <w:t xml:space="preserve"> </w:t>
      </w:r>
      <w:r w:rsidR="009571FA" w:rsidRPr="003553CD">
        <w:rPr>
          <w:sz w:val="22"/>
          <w:szCs w:val="22"/>
        </w:rPr>
        <w:t xml:space="preserve">book </w:t>
      </w:r>
      <w:r w:rsidR="009571FA" w:rsidRPr="00027BF9">
        <w:rPr>
          <w:sz w:val="22"/>
          <w:szCs w:val="22"/>
        </w:rPr>
        <w:t>and the subsections</w:t>
      </w:r>
      <w:r w:rsidR="009571FA" w:rsidRPr="00027BF9">
        <w:rPr>
          <w:i/>
          <w:sz w:val="22"/>
          <w:szCs w:val="22"/>
        </w:rPr>
        <w:t xml:space="preserve"> </w:t>
      </w:r>
      <w:r w:rsidR="009571FA" w:rsidRPr="00027BF9">
        <w:rPr>
          <w:sz w:val="22"/>
          <w:szCs w:val="22"/>
        </w:rPr>
        <w:t>on Adolescent health and HIV/AIDS in</w:t>
      </w:r>
      <w:r w:rsidR="009571FA">
        <w:rPr>
          <w:sz w:val="22"/>
          <w:szCs w:val="22"/>
        </w:rPr>
        <w:t xml:space="preserve"> the</w:t>
      </w:r>
      <w:r w:rsidR="009571FA">
        <w:rPr>
          <w:i/>
          <w:sz w:val="22"/>
          <w:szCs w:val="22"/>
        </w:rPr>
        <w:t xml:space="preserve"> Volume I of</w:t>
      </w:r>
      <w:r w:rsidR="009571FA" w:rsidRPr="00027BF9">
        <w:rPr>
          <w:i/>
          <w:sz w:val="22"/>
          <w:szCs w:val="22"/>
        </w:rPr>
        <w:t xml:space="preserve"> “Health in the Americas...”</w:t>
      </w:r>
    </w:p>
    <w:p w:rsidR="009571FA" w:rsidRPr="00CB3312" w:rsidRDefault="009571FA" w:rsidP="00E90F06">
      <w:pPr>
        <w:rPr>
          <w:rFonts w:cs="Arial"/>
          <w:bCs/>
          <w:color w:val="000000"/>
          <w:sz w:val="12"/>
          <w:szCs w:val="22"/>
        </w:rPr>
      </w:pPr>
    </w:p>
    <w:p w:rsidR="009571FA" w:rsidRPr="00045517" w:rsidRDefault="00E27F05" w:rsidP="00645932">
      <w:pPr>
        <w:rPr>
          <w:sz w:val="22"/>
          <w:szCs w:val="20"/>
        </w:rPr>
      </w:pPr>
      <w:r>
        <w:rPr>
          <w:rFonts w:cs="Arial"/>
          <w:bCs/>
          <w:color w:val="000000"/>
          <w:sz w:val="22"/>
          <w:szCs w:val="22"/>
        </w:rPr>
        <w:t>f</w:t>
      </w:r>
      <w:r w:rsidR="00645932">
        <w:rPr>
          <w:rFonts w:cs="Arial"/>
          <w:bCs/>
          <w:color w:val="000000"/>
          <w:sz w:val="22"/>
          <w:szCs w:val="22"/>
        </w:rPr>
        <w:t>.</w:t>
      </w:r>
      <w:r w:rsidR="009571FA" w:rsidRPr="00045517">
        <w:rPr>
          <w:rFonts w:cs="Arial"/>
          <w:bCs/>
          <w:color w:val="000000"/>
          <w:sz w:val="22"/>
          <w:szCs w:val="22"/>
        </w:rPr>
        <w:t xml:space="preserve">     On the subject of </w:t>
      </w:r>
      <w:r w:rsidR="001B062E">
        <w:rPr>
          <w:rFonts w:cs="Arial"/>
          <w:bCs/>
          <w:color w:val="000000"/>
          <w:sz w:val="22"/>
          <w:szCs w:val="22"/>
        </w:rPr>
        <w:t xml:space="preserve">expressed </w:t>
      </w:r>
      <w:r w:rsidR="009571FA" w:rsidRPr="001B062E">
        <w:rPr>
          <w:rFonts w:cs="Arial"/>
          <w:b/>
          <w:bCs/>
          <w:color w:val="000000"/>
          <w:sz w:val="22"/>
          <w:szCs w:val="22"/>
        </w:rPr>
        <w:t>gender r</w:t>
      </w:r>
      <w:r w:rsidR="009571FA" w:rsidRPr="00045517">
        <w:rPr>
          <w:rFonts w:cs="Arial"/>
          <w:b/>
          <w:bCs/>
          <w:color w:val="000000"/>
          <w:sz w:val="22"/>
          <w:szCs w:val="22"/>
        </w:rPr>
        <w:t>elevance</w:t>
      </w:r>
      <w:r w:rsidR="001B062E">
        <w:rPr>
          <w:rFonts w:cs="Arial"/>
          <w:b/>
          <w:bCs/>
          <w:color w:val="000000"/>
          <w:sz w:val="22"/>
          <w:szCs w:val="22"/>
        </w:rPr>
        <w:t xml:space="preserve"> to a given subject</w:t>
      </w:r>
      <w:r w:rsidR="00645932">
        <w:rPr>
          <w:rFonts w:cs="Arial"/>
          <w:bCs/>
          <w:color w:val="000000"/>
          <w:sz w:val="22"/>
          <w:szCs w:val="22"/>
        </w:rPr>
        <w:t xml:space="preserve">, there is </w:t>
      </w:r>
      <w:r w:rsidR="001B062E">
        <w:rPr>
          <w:rFonts w:cs="Arial"/>
          <w:bCs/>
          <w:color w:val="000000"/>
          <w:sz w:val="22"/>
          <w:szCs w:val="22"/>
        </w:rPr>
        <w:t>internal variation wi</w:t>
      </w:r>
      <w:r w:rsidR="00645932">
        <w:rPr>
          <w:rFonts w:cs="Arial"/>
          <w:bCs/>
          <w:color w:val="000000"/>
          <w:sz w:val="22"/>
          <w:szCs w:val="22"/>
        </w:rPr>
        <w:t xml:space="preserve">thin work teams. </w:t>
      </w:r>
      <w:r w:rsidR="009571FA" w:rsidRPr="00045517">
        <w:rPr>
          <w:rFonts w:cs="Arial"/>
          <w:bCs/>
          <w:color w:val="000000"/>
          <w:sz w:val="22"/>
          <w:szCs w:val="22"/>
        </w:rPr>
        <w:t xml:space="preserve"> A</w:t>
      </w:r>
      <w:r w:rsidR="00645932">
        <w:rPr>
          <w:rFonts w:cs="Arial"/>
          <w:bCs/>
          <w:color w:val="000000"/>
          <w:sz w:val="22"/>
          <w:szCs w:val="22"/>
        </w:rPr>
        <w:t>n instance in this respect is the diff</w:t>
      </w:r>
      <w:r w:rsidR="009571FA" w:rsidRPr="00045517">
        <w:rPr>
          <w:rFonts w:cs="Arial"/>
          <w:bCs/>
          <w:color w:val="000000"/>
          <w:sz w:val="22"/>
          <w:szCs w:val="22"/>
        </w:rPr>
        <w:t>er</w:t>
      </w:r>
      <w:r w:rsidR="00CB2174">
        <w:rPr>
          <w:rFonts w:cs="Arial"/>
          <w:bCs/>
          <w:color w:val="000000"/>
          <w:sz w:val="22"/>
          <w:szCs w:val="22"/>
        </w:rPr>
        <w:t>ent</w:t>
      </w:r>
      <w:r w:rsidR="00645932">
        <w:rPr>
          <w:rFonts w:cs="Arial"/>
          <w:bCs/>
          <w:color w:val="000000"/>
          <w:sz w:val="22"/>
          <w:szCs w:val="22"/>
        </w:rPr>
        <w:t xml:space="preserve"> </w:t>
      </w:r>
      <w:r w:rsidR="00CB2174">
        <w:rPr>
          <w:rFonts w:cs="Arial"/>
          <w:bCs/>
          <w:color w:val="000000"/>
          <w:sz w:val="22"/>
          <w:szCs w:val="22"/>
        </w:rPr>
        <w:t xml:space="preserve">treatment </w:t>
      </w:r>
      <w:r w:rsidR="001B062E">
        <w:rPr>
          <w:rFonts w:cs="Arial"/>
          <w:bCs/>
          <w:color w:val="000000"/>
          <w:sz w:val="22"/>
          <w:szCs w:val="22"/>
        </w:rPr>
        <w:t>conferred to the MDG 3, ‘</w:t>
      </w:r>
      <w:r w:rsidR="001B062E" w:rsidRPr="00045517">
        <w:rPr>
          <w:rFonts w:cs="Arial"/>
          <w:bCs/>
          <w:color w:val="000000"/>
          <w:sz w:val="22"/>
          <w:szCs w:val="22"/>
        </w:rPr>
        <w:t>Gender equality and women’s empowerment</w:t>
      </w:r>
      <w:r w:rsidR="001B062E">
        <w:rPr>
          <w:rFonts w:cs="Arial"/>
          <w:bCs/>
          <w:color w:val="000000"/>
          <w:sz w:val="22"/>
          <w:szCs w:val="22"/>
        </w:rPr>
        <w:t xml:space="preserve">’ </w:t>
      </w:r>
      <w:r w:rsidR="00CB2174">
        <w:rPr>
          <w:rFonts w:cs="Arial"/>
          <w:bCs/>
          <w:color w:val="000000"/>
          <w:sz w:val="22"/>
          <w:szCs w:val="22"/>
        </w:rPr>
        <w:t xml:space="preserve">by </w:t>
      </w:r>
      <w:r w:rsidR="00CB2174" w:rsidRPr="00045517">
        <w:rPr>
          <w:rFonts w:cs="Arial"/>
          <w:bCs/>
          <w:color w:val="000000"/>
          <w:sz w:val="22"/>
          <w:szCs w:val="22"/>
        </w:rPr>
        <w:t xml:space="preserve">two works produced by the same </w:t>
      </w:r>
      <w:r w:rsidR="00CB2174">
        <w:rPr>
          <w:rFonts w:cs="Arial"/>
          <w:bCs/>
          <w:color w:val="000000"/>
          <w:sz w:val="22"/>
          <w:szCs w:val="22"/>
        </w:rPr>
        <w:t xml:space="preserve">technical team, </w:t>
      </w:r>
      <w:r w:rsidR="00645932">
        <w:rPr>
          <w:rFonts w:cs="Arial"/>
          <w:bCs/>
          <w:color w:val="000000"/>
          <w:sz w:val="22"/>
          <w:szCs w:val="22"/>
        </w:rPr>
        <w:t>The endorsement of this</w:t>
      </w:r>
      <w:r w:rsidR="009571FA" w:rsidRPr="00045517">
        <w:rPr>
          <w:rFonts w:cs="Arial"/>
          <w:bCs/>
          <w:color w:val="000000"/>
          <w:sz w:val="22"/>
          <w:szCs w:val="22"/>
        </w:rPr>
        <w:t xml:space="preserve"> MDG 3 as a UN mandate pertinent to </w:t>
      </w:r>
      <w:r w:rsidR="001B062E">
        <w:rPr>
          <w:rFonts w:cs="Arial"/>
          <w:bCs/>
          <w:color w:val="000000"/>
          <w:sz w:val="22"/>
          <w:szCs w:val="22"/>
        </w:rPr>
        <w:t xml:space="preserve">PAHO and </w:t>
      </w:r>
      <w:r w:rsidR="00CB2174">
        <w:rPr>
          <w:rFonts w:cs="Arial"/>
          <w:bCs/>
          <w:color w:val="000000"/>
          <w:sz w:val="22"/>
          <w:szCs w:val="22"/>
        </w:rPr>
        <w:t xml:space="preserve">this area of </w:t>
      </w:r>
      <w:r w:rsidR="009571FA" w:rsidRPr="00045517">
        <w:rPr>
          <w:rFonts w:cs="Arial"/>
          <w:bCs/>
          <w:color w:val="000000"/>
          <w:sz w:val="22"/>
          <w:szCs w:val="22"/>
        </w:rPr>
        <w:t xml:space="preserve">work was unambiguous and </w:t>
      </w:r>
      <w:r w:rsidR="009571FA" w:rsidRPr="00045517">
        <w:rPr>
          <w:rFonts w:cs="Arial"/>
          <w:b/>
          <w:bCs/>
          <w:color w:val="000000"/>
          <w:sz w:val="22"/>
          <w:szCs w:val="22"/>
        </w:rPr>
        <w:t xml:space="preserve">strong </w:t>
      </w:r>
      <w:r w:rsidR="009571FA" w:rsidRPr="00045517">
        <w:rPr>
          <w:rFonts w:cs="Arial"/>
          <w:bCs/>
          <w:color w:val="000000"/>
          <w:sz w:val="22"/>
          <w:szCs w:val="22"/>
        </w:rPr>
        <w:t>in the publication “</w:t>
      </w:r>
      <w:r w:rsidR="009571FA" w:rsidRPr="00045517">
        <w:rPr>
          <w:i/>
          <w:sz w:val="22"/>
        </w:rPr>
        <w:t>Social Protection in Health Schemes</w:t>
      </w:r>
      <w:r w:rsidR="009571FA" w:rsidRPr="00045517">
        <w:rPr>
          <w:b/>
          <w:i/>
          <w:sz w:val="22"/>
        </w:rPr>
        <w:t>...”</w:t>
      </w:r>
      <w:r w:rsidR="00CB2174">
        <w:rPr>
          <w:b/>
          <w:i/>
          <w:sz w:val="22"/>
        </w:rPr>
        <w:t xml:space="preserve">. </w:t>
      </w:r>
      <w:r w:rsidR="00CB2174" w:rsidRPr="00CB2174">
        <w:rPr>
          <w:sz w:val="22"/>
        </w:rPr>
        <w:t xml:space="preserve">In contrast, the </w:t>
      </w:r>
      <w:r w:rsidR="00CB2174">
        <w:rPr>
          <w:sz w:val="22"/>
        </w:rPr>
        <w:t>c</w:t>
      </w:r>
      <w:r w:rsidR="00CB2174" w:rsidRPr="00045517">
        <w:rPr>
          <w:sz w:val="22"/>
        </w:rPr>
        <w:t>hapter on</w:t>
      </w:r>
      <w:r w:rsidR="00CB2174">
        <w:rPr>
          <w:sz w:val="22"/>
        </w:rPr>
        <w:t xml:space="preserve"> ‘</w:t>
      </w:r>
      <w:r w:rsidR="00CB2174" w:rsidRPr="00CB2174">
        <w:rPr>
          <w:sz w:val="22"/>
          <w:szCs w:val="22"/>
        </w:rPr>
        <w:t>Public policies and health systems and services</w:t>
      </w:r>
      <w:r w:rsidR="00CB2174">
        <w:rPr>
          <w:sz w:val="22"/>
          <w:szCs w:val="22"/>
        </w:rPr>
        <w:t>’</w:t>
      </w:r>
      <w:r w:rsidR="00CB2174">
        <w:rPr>
          <w:i/>
          <w:sz w:val="22"/>
          <w:szCs w:val="22"/>
        </w:rPr>
        <w:t xml:space="preserve"> </w:t>
      </w:r>
      <w:r w:rsidR="00CB2174" w:rsidRPr="00D76917">
        <w:rPr>
          <w:sz w:val="22"/>
          <w:szCs w:val="22"/>
        </w:rPr>
        <w:t xml:space="preserve">within </w:t>
      </w:r>
      <w:r w:rsidR="00CB2174" w:rsidRPr="00045517">
        <w:rPr>
          <w:rFonts w:cs="Arial"/>
          <w:bCs/>
          <w:color w:val="000000"/>
          <w:sz w:val="22"/>
          <w:szCs w:val="22"/>
        </w:rPr>
        <w:t>“</w:t>
      </w:r>
      <w:r w:rsidR="00CB2174" w:rsidRPr="00045517">
        <w:rPr>
          <w:rFonts w:cs="Arial"/>
          <w:bCs/>
          <w:i/>
          <w:color w:val="000000"/>
          <w:sz w:val="22"/>
          <w:szCs w:val="22"/>
        </w:rPr>
        <w:t xml:space="preserve">Health in the Americas, Volume 1”, </w:t>
      </w:r>
      <w:r w:rsidR="00CB2174" w:rsidRPr="001B062E">
        <w:rPr>
          <w:rFonts w:cs="Arial"/>
          <w:bCs/>
          <w:color w:val="000000"/>
          <w:sz w:val="22"/>
          <w:szCs w:val="22"/>
        </w:rPr>
        <w:t>was</w:t>
      </w:r>
      <w:r w:rsidR="00CB2174">
        <w:rPr>
          <w:rFonts w:cs="Arial"/>
          <w:bCs/>
          <w:i/>
          <w:color w:val="000000"/>
          <w:sz w:val="22"/>
          <w:szCs w:val="22"/>
        </w:rPr>
        <w:t xml:space="preserve"> </w:t>
      </w:r>
      <w:r w:rsidR="00CB2174" w:rsidRPr="00045517">
        <w:rPr>
          <w:rFonts w:cs="Arial"/>
          <w:bCs/>
          <w:color w:val="000000"/>
          <w:sz w:val="22"/>
          <w:szCs w:val="22"/>
        </w:rPr>
        <w:t xml:space="preserve">one of the only two chapters in this </w:t>
      </w:r>
      <w:r w:rsidR="001B062E">
        <w:rPr>
          <w:rFonts w:cs="Arial"/>
          <w:bCs/>
          <w:color w:val="000000"/>
          <w:sz w:val="22"/>
          <w:szCs w:val="22"/>
        </w:rPr>
        <w:t xml:space="preserve">PAHO flagship </w:t>
      </w:r>
      <w:r w:rsidR="00CB2174" w:rsidRPr="00045517">
        <w:rPr>
          <w:rFonts w:cs="Arial"/>
          <w:bCs/>
          <w:color w:val="000000"/>
          <w:sz w:val="22"/>
          <w:szCs w:val="22"/>
        </w:rPr>
        <w:t>publication</w:t>
      </w:r>
      <w:r w:rsidR="00CB2174">
        <w:rPr>
          <w:rFonts w:cs="Arial"/>
          <w:bCs/>
          <w:color w:val="000000"/>
          <w:sz w:val="22"/>
          <w:szCs w:val="22"/>
        </w:rPr>
        <w:t xml:space="preserve"> in which </w:t>
      </w:r>
      <w:r w:rsidR="001B062E">
        <w:rPr>
          <w:rFonts w:cs="Arial"/>
          <w:bCs/>
          <w:color w:val="000000"/>
          <w:sz w:val="22"/>
          <w:szCs w:val="22"/>
        </w:rPr>
        <w:t>such</w:t>
      </w:r>
      <w:r w:rsidR="00CB2174">
        <w:rPr>
          <w:rFonts w:cs="Arial"/>
          <w:bCs/>
          <w:color w:val="000000"/>
          <w:sz w:val="22"/>
          <w:szCs w:val="22"/>
        </w:rPr>
        <w:t xml:space="preserve"> </w:t>
      </w:r>
      <w:r w:rsidR="00CB2174" w:rsidRPr="00045517">
        <w:rPr>
          <w:rFonts w:cs="Arial"/>
          <w:bCs/>
          <w:color w:val="000000"/>
          <w:sz w:val="22"/>
          <w:szCs w:val="22"/>
        </w:rPr>
        <w:t>endorsement</w:t>
      </w:r>
      <w:r w:rsidR="00CB2174">
        <w:rPr>
          <w:rFonts w:cs="Arial"/>
          <w:bCs/>
          <w:color w:val="000000"/>
          <w:sz w:val="22"/>
          <w:szCs w:val="22"/>
        </w:rPr>
        <w:t xml:space="preserve"> (or even mention)</w:t>
      </w:r>
      <w:r w:rsidR="00CB2174" w:rsidRPr="00045517">
        <w:rPr>
          <w:rFonts w:cs="Arial"/>
          <w:bCs/>
          <w:color w:val="000000"/>
          <w:sz w:val="22"/>
          <w:szCs w:val="22"/>
        </w:rPr>
        <w:t xml:space="preserve">, however pertinent, was absent. </w:t>
      </w:r>
      <w:r w:rsidR="00CB2174" w:rsidRPr="00045517">
        <w:rPr>
          <w:sz w:val="22"/>
          <w:szCs w:val="20"/>
        </w:rPr>
        <w:t xml:space="preserve">  </w:t>
      </w:r>
      <w:r w:rsidR="00CB2174">
        <w:rPr>
          <w:sz w:val="22"/>
          <w:szCs w:val="20"/>
        </w:rPr>
        <w:t xml:space="preserve">Both documents were produced by </w:t>
      </w:r>
      <w:r w:rsidR="001B062E">
        <w:rPr>
          <w:sz w:val="22"/>
          <w:szCs w:val="20"/>
        </w:rPr>
        <w:t xml:space="preserve">the </w:t>
      </w:r>
      <w:r w:rsidR="00CB2174">
        <w:rPr>
          <w:sz w:val="22"/>
          <w:szCs w:val="20"/>
        </w:rPr>
        <w:t>PAHO ‘</w:t>
      </w:r>
      <w:r w:rsidR="009571FA" w:rsidRPr="00045517">
        <w:rPr>
          <w:sz w:val="22"/>
        </w:rPr>
        <w:t>Health Systems and Policies Unit</w:t>
      </w:r>
      <w:r w:rsidR="00CB2174">
        <w:rPr>
          <w:sz w:val="22"/>
        </w:rPr>
        <w:t>’</w:t>
      </w:r>
      <w:r w:rsidR="009571FA" w:rsidRPr="00045517">
        <w:rPr>
          <w:sz w:val="22"/>
        </w:rPr>
        <w:t>.</w:t>
      </w:r>
      <w:r w:rsidR="00CB2174">
        <w:rPr>
          <w:sz w:val="22"/>
        </w:rPr>
        <w:t xml:space="preserve"> </w:t>
      </w:r>
    </w:p>
    <w:p w:rsidR="009571FA" w:rsidRPr="00EA796C" w:rsidRDefault="009571FA" w:rsidP="00045517">
      <w:pPr>
        <w:pStyle w:val="ListParagraph"/>
        <w:rPr>
          <w:sz w:val="16"/>
          <w:szCs w:val="20"/>
        </w:rPr>
      </w:pPr>
    </w:p>
    <w:p w:rsidR="009571FA" w:rsidRPr="00045517" w:rsidRDefault="00E27F05" w:rsidP="00645932">
      <w:pPr>
        <w:rPr>
          <w:sz w:val="22"/>
          <w:szCs w:val="20"/>
        </w:rPr>
      </w:pPr>
      <w:r>
        <w:rPr>
          <w:sz w:val="22"/>
          <w:szCs w:val="20"/>
        </w:rPr>
        <w:t>g</w:t>
      </w:r>
      <w:r w:rsidR="00645932">
        <w:rPr>
          <w:sz w:val="22"/>
          <w:szCs w:val="20"/>
        </w:rPr>
        <w:t>.</w:t>
      </w:r>
      <w:r w:rsidR="009571FA">
        <w:rPr>
          <w:sz w:val="22"/>
          <w:szCs w:val="20"/>
        </w:rPr>
        <w:t xml:space="preserve">    </w:t>
      </w:r>
      <w:r w:rsidR="009571FA" w:rsidRPr="00045517">
        <w:rPr>
          <w:sz w:val="22"/>
          <w:szCs w:val="20"/>
        </w:rPr>
        <w:t xml:space="preserve">Two gender issues received particular attention throughout </w:t>
      </w:r>
      <w:r w:rsidR="009571FA">
        <w:rPr>
          <w:sz w:val="22"/>
          <w:szCs w:val="20"/>
        </w:rPr>
        <w:t xml:space="preserve">the two volumes of Health in the Americas: </w:t>
      </w:r>
      <w:r w:rsidR="009571FA" w:rsidRPr="00045517">
        <w:rPr>
          <w:b/>
          <w:sz w:val="22"/>
          <w:szCs w:val="20"/>
        </w:rPr>
        <w:t>‘</w:t>
      </w:r>
      <w:r w:rsidR="009571FA" w:rsidRPr="00045517">
        <w:rPr>
          <w:b/>
          <w:i/>
          <w:sz w:val="22"/>
          <w:szCs w:val="20"/>
        </w:rPr>
        <w:t>Gender-based violence’</w:t>
      </w:r>
      <w:r w:rsidR="009571FA" w:rsidRPr="00045517">
        <w:rPr>
          <w:sz w:val="22"/>
          <w:szCs w:val="20"/>
        </w:rPr>
        <w:t xml:space="preserve"> and </w:t>
      </w:r>
      <w:r w:rsidR="009571FA">
        <w:rPr>
          <w:sz w:val="22"/>
          <w:szCs w:val="20"/>
        </w:rPr>
        <w:t>‘</w:t>
      </w:r>
      <w:r w:rsidR="009571FA" w:rsidRPr="00045517">
        <w:rPr>
          <w:b/>
          <w:i/>
          <w:sz w:val="22"/>
          <w:szCs w:val="20"/>
        </w:rPr>
        <w:t>Sexual and reproductive health</w:t>
      </w:r>
      <w:r w:rsidR="009571FA">
        <w:rPr>
          <w:b/>
          <w:i/>
          <w:sz w:val="22"/>
          <w:szCs w:val="20"/>
        </w:rPr>
        <w:t>’</w:t>
      </w:r>
      <w:r w:rsidR="009571FA" w:rsidRPr="00045517">
        <w:rPr>
          <w:b/>
          <w:sz w:val="22"/>
          <w:szCs w:val="20"/>
        </w:rPr>
        <w:t xml:space="preserve">. </w:t>
      </w:r>
      <w:r w:rsidR="009571FA" w:rsidRPr="00045517">
        <w:rPr>
          <w:sz w:val="22"/>
          <w:szCs w:val="20"/>
        </w:rPr>
        <w:t xml:space="preserve"> </w:t>
      </w:r>
      <w:r w:rsidR="009571FA" w:rsidRPr="00045517">
        <w:rPr>
          <w:b/>
          <w:i/>
          <w:sz w:val="22"/>
          <w:szCs w:val="20"/>
        </w:rPr>
        <w:t>Gender-based violence</w:t>
      </w:r>
      <w:r w:rsidR="009571FA" w:rsidRPr="00045517">
        <w:rPr>
          <w:sz w:val="22"/>
          <w:szCs w:val="20"/>
        </w:rPr>
        <w:t xml:space="preserve"> </w:t>
      </w:r>
      <w:r w:rsidR="009571FA" w:rsidRPr="00045517">
        <w:rPr>
          <w:b/>
          <w:sz w:val="22"/>
          <w:szCs w:val="20"/>
        </w:rPr>
        <w:t>was probably the single most mentioned gendered health issue.</w:t>
      </w:r>
      <w:r w:rsidR="009571FA" w:rsidRPr="00045517">
        <w:rPr>
          <w:sz w:val="22"/>
          <w:szCs w:val="20"/>
        </w:rPr>
        <w:t xml:space="preserve"> It </w:t>
      </w:r>
      <w:r w:rsidR="009571FA" w:rsidRPr="00045517">
        <w:rPr>
          <w:sz w:val="22"/>
          <w:szCs w:val="22"/>
        </w:rPr>
        <w:t>was alluded to throughout all of Vol</w:t>
      </w:r>
      <w:r w:rsidR="009571FA">
        <w:rPr>
          <w:sz w:val="22"/>
          <w:szCs w:val="22"/>
        </w:rPr>
        <w:t xml:space="preserve">. </w:t>
      </w:r>
      <w:r w:rsidR="009571FA" w:rsidRPr="00045517">
        <w:rPr>
          <w:sz w:val="22"/>
          <w:szCs w:val="22"/>
        </w:rPr>
        <w:t>I except for Chapters 4</w:t>
      </w:r>
      <w:r w:rsidR="009571FA">
        <w:rPr>
          <w:sz w:val="22"/>
          <w:szCs w:val="22"/>
        </w:rPr>
        <w:t xml:space="preserve"> </w:t>
      </w:r>
      <w:r w:rsidR="009571FA" w:rsidRPr="00045517">
        <w:rPr>
          <w:sz w:val="22"/>
          <w:szCs w:val="22"/>
        </w:rPr>
        <w:t>‘Policies &amp; Systems’</w:t>
      </w:r>
      <w:r w:rsidR="009571FA">
        <w:rPr>
          <w:sz w:val="22"/>
          <w:szCs w:val="22"/>
        </w:rPr>
        <w:t xml:space="preserve"> and 5, </w:t>
      </w:r>
      <w:r w:rsidR="009571FA" w:rsidRPr="00045517">
        <w:rPr>
          <w:sz w:val="22"/>
          <w:szCs w:val="22"/>
        </w:rPr>
        <w:t>‘International Cooperation’</w:t>
      </w:r>
      <w:r w:rsidR="009571FA">
        <w:rPr>
          <w:sz w:val="22"/>
          <w:szCs w:val="22"/>
        </w:rPr>
        <w:t xml:space="preserve">, and it </w:t>
      </w:r>
      <w:r w:rsidR="009571FA" w:rsidRPr="00045517">
        <w:rPr>
          <w:sz w:val="22"/>
          <w:szCs w:val="22"/>
        </w:rPr>
        <w:t xml:space="preserve">was also </w:t>
      </w:r>
      <w:r w:rsidR="009571FA" w:rsidRPr="00045517">
        <w:rPr>
          <w:sz w:val="22"/>
          <w:szCs w:val="20"/>
        </w:rPr>
        <w:t>highlighted in 12 of the 14 sampled countries from Vol</w:t>
      </w:r>
      <w:r w:rsidR="009571FA">
        <w:rPr>
          <w:sz w:val="22"/>
          <w:szCs w:val="20"/>
        </w:rPr>
        <w:t>.</w:t>
      </w:r>
      <w:r w:rsidR="009571FA" w:rsidRPr="00045517">
        <w:rPr>
          <w:sz w:val="22"/>
          <w:szCs w:val="20"/>
        </w:rPr>
        <w:t xml:space="preserve"> II.  </w:t>
      </w:r>
    </w:p>
    <w:p w:rsidR="009571FA" w:rsidRPr="00EA796C" w:rsidRDefault="009571FA" w:rsidP="00E90F06">
      <w:pPr>
        <w:rPr>
          <w:sz w:val="16"/>
          <w:szCs w:val="20"/>
        </w:rPr>
      </w:pPr>
    </w:p>
    <w:p w:rsidR="009571FA" w:rsidRPr="00027BF9" w:rsidRDefault="00E27F05" w:rsidP="00E27F05">
      <w:pPr>
        <w:rPr>
          <w:rFonts w:cs="Arial"/>
          <w:bCs/>
          <w:color w:val="000000"/>
          <w:sz w:val="22"/>
          <w:szCs w:val="22"/>
        </w:rPr>
      </w:pPr>
      <w:r>
        <w:rPr>
          <w:sz w:val="22"/>
          <w:szCs w:val="20"/>
        </w:rPr>
        <w:t>h.</w:t>
      </w:r>
      <w:r w:rsidR="009571FA">
        <w:rPr>
          <w:sz w:val="22"/>
          <w:szCs w:val="20"/>
        </w:rPr>
        <w:t xml:space="preserve">    </w:t>
      </w:r>
      <w:r w:rsidR="009571FA" w:rsidRPr="00027BF9">
        <w:rPr>
          <w:sz w:val="22"/>
          <w:szCs w:val="20"/>
        </w:rPr>
        <w:t xml:space="preserve">Regarding the use and promotion of </w:t>
      </w:r>
      <w:r w:rsidR="009571FA" w:rsidRPr="00027BF9">
        <w:rPr>
          <w:rFonts w:cs="Arial"/>
          <w:b/>
          <w:bCs/>
          <w:i/>
          <w:sz w:val="22"/>
          <w:szCs w:val="22"/>
        </w:rPr>
        <w:t xml:space="preserve">sex- disaggregated data, </w:t>
      </w:r>
      <w:r w:rsidR="009571FA" w:rsidRPr="00027BF9">
        <w:rPr>
          <w:rFonts w:cs="Arial"/>
          <w:bCs/>
          <w:sz w:val="22"/>
          <w:szCs w:val="22"/>
        </w:rPr>
        <w:t xml:space="preserve">the results varied widely. The </w:t>
      </w:r>
      <w:r w:rsidR="009571FA" w:rsidRPr="00027BF9">
        <w:rPr>
          <w:rFonts w:cs="Arial"/>
          <w:b/>
          <w:bCs/>
          <w:sz w:val="22"/>
          <w:szCs w:val="22"/>
        </w:rPr>
        <w:t>use of SDD was extensive</w:t>
      </w:r>
      <w:r w:rsidR="009571FA" w:rsidRPr="00027BF9">
        <w:rPr>
          <w:rFonts w:cs="Arial"/>
          <w:bCs/>
          <w:sz w:val="22"/>
          <w:szCs w:val="22"/>
        </w:rPr>
        <w:t xml:space="preserve"> in t</w:t>
      </w:r>
      <w:r w:rsidR="009571FA" w:rsidRPr="00027BF9">
        <w:rPr>
          <w:sz w:val="22"/>
        </w:rPr>
        <w:t>wo of the publications: “</w:t>
      </w:r>
      <w:r w:rsidR="009571FA" w:rsidRPr="00027BF9">
        <w:rPr>
          <w:i/>
          <w:sz w:val="22"/>
        </w:rPr>
        <w:t>Health in the Americas...Volume I-Region”,</w:t>
      </w:r>
      <w:r w:rsidR="009571FA" w:rsidRPr="00027BF9">
        <w:rPr>
          <w:sz w:val="22"/>
        </w:rPr>
        <w:t xml:space="preserve"> and</w:t>
      </w:r>
      <w:r w:rsidR="009571FA" w:rsidRPr="00027BF9">
        <w:rPr>
          <w:i/>
          <w:sz w:val="22"/>
        </w:rPr>
        <w:t xml:space="preserve"> “Social Protection in Health</w:t>
      </w:r>
      <w:r w:rsidR="009571FA" w:rsidRPr="00027BF9">
        <w:rPr>
          <w:sz w:val="22"/>
        </w:rPr>
        <w:t xml:space="preserve"> </w:t>
      </w:r>
      <w:r w:rsidR="009571FA" w:rsidRPr="00027BF9">
        <w:rPr>
          <w:i/>
          <w:sz w:val="22"/>
          <w:szCs w:val="22"/>
        </w:rPr>
        <w:t xml:space="preserve">Schemes.........” </w:t>
      </w:r>
      <w:r w:rsidR="009571FA" w:rsidRPr="00027BF9">
        <w:rPr>
          <w:sz w:val="22"/>
        </w:rPr>
        <w:t xml:space="preserve">It was </w:t>
      </w:r>
      <w:r w:rsidR="009571FA" w:rsidRPr="00027BF9">
        <w:rPr>
          <w:b/>
          <w:sz w:val="22"/>
        </w:rPr>
        <w:t xml:space="preserve">moderate to low </w:t>
      </w:r>
      <w:r w:rsidR="009571FA" w:rsidRPr="00027BF9">
        <w:rPr>
          <w:sz w:val="22"/>
        </w:rPr>
        <w:t xml:space="preserve">in </w:t>
      </w:r>
      <w:r w:rsidR="009571FA" w:rsidRPr="00027BF9">
        <w:rPr>
          <w:i/>
          <w:sz w:val="22"/>
        </w:rPr>
        <w:t xml:space="preserve">Health in the Americas...Volume II-Countries.  </w:t>
      </w:r>
      <w:r w:rsidR="009571FA" w:rsidRPr="00027BF9">
        <w:rPr>
          <w:sz w:val="22"/>
        </w:rPr>
        <w:t>The other two publications,</w:t>
      </w:r>
      <w:r w:rsidR="009571FA" w:rsidRPr="00027BF9">
        <w:rPr>
          <w:i/>
          <w:sz w:val="22"/>
        </w:rPr>
        <w:t xml:space="preserve"> “Re</w:t>
      </w:r>
      <w:r w:rsidR="009571FA" w:rsidRPr="00027BF9">
        <w:rPr>
          <w:i/>
          <w:sz w:val="22"/>
          <w:szCs w:val="22"/>
        </w:rPr>
        <w:t xml:space="preserve">newing Primary Health Care in the Americas, </w:t>
      </w:r>
      <w:r w:rsidR="009571FA" w:rsidRPr="00027BF9">
        <w:rPr>
          <w:sz w:val="22"/>
          <w:szCs w:val="22"/>
        </w:rPr>
        <w:t>and “Guidelines for......</w:t>
      </w:r>
      <w:r w:rsidR="009571FA" w:rsidRPr="00027BF9">
        <w:rPr>
          <w:rFonts w:cs="Arial"/>
          <w:bCs/>
          <w:color w:val="000000"/>
          <w:sz w:val="22"/>
          <w:szCs w:val="22"/>
        </w:rPr>
        <w:t xml:space="preserve">Biennial Work Plans”, did not present statistical data. None of these four types of publications explicitly recommended the use of SDD, despite having dealt in the text with the subject of </w:t>
      </w:r>
      <w:r w:rsidR="009571FA">
        <w:rPr>
          <w:rFonts w:cs="Arial"/>
          <w:bCs/>
          <w:color w:val="000000"/>
          <w:sz w:val="22"/>
          <w:szCs w:val="22"/>
        </w:rPr>
        <w:t>improving</w:t>
      </w:r>
      <w:r w:rsidR="009571FA" w:rsidRPr="00027BF9">
        <w:rPr>
          <w:rFonts w:cs="Arial"/>
          <w:bCs/>
          <w:color w:val="000000"/>
          <w:sz w:val="22"/>
          <w:szCs w:val="22"/>
        </w:rPr>
        <w:t xml:space="preserve"> health information systems.   </w:t>
      </w:r>
    </w:p>
    <w:p w:rsidR="009571FA" w:rsidRPr="006E3D80" w:rsidRDefault="009571FA" w:rsidP="00E90F06">
      <w:pPr>
        <w:rPr>
          <w:rFonts w:cs="Arial"/>
          <w:bCs/>
          <w:color w:val="000000"/>
          <w:sz w:val="14"/>
          <w:szCs w:val="22"/>
        </w:rPr>
      </w:pPr>
    </w:p>
    <w:p w:rsidR="009571FA" w:rsidRPr="00027BF9" w:rsidRDefault="00E27F05" w:rsidP="00E27F05">
      <w:pPr>
        <w:rPr>
          <w:i/>
          <w:sz w:val="22"/>
          <w:szCs w:val="22"/>
        </w:rPr>
      </w:pPr>
      <w:r>
        <w:rPr>
          <w:rFonts w:cs="Arial"/>
          <w:bCs/>
          <w:sz w:val="22"/>
          <w:szCs w:val="20"/>
        </w:rPr>
        <w:t>i.</w:t>
      </w:r>
      <w:r w:rsidR="009571FA">
        <w:rPr>
          <w:rFonts w:cs="Arial"/>
          <w:bCs/>
          <w:sz w:val="22"/>
          <w:szCs w:val="20"/>
        </w:rPr>
        <w:t xml:space="preserve">   </w:t>
      </w:r>
      <w:r w:rsidR="009571FA" w:rsidRPr="00027BF9">
        <w:rPr>
          <w:rFonts w:cs="Arial"/>
          <w:bCs/>
          <w:sz w:val="22"/>
          <w:szCs w:val="20"/>
        </w:rPr>
        <w:t xml:space="preserve">The variation in the use of </w:t>
      </w:r>
      <w:r w:rsidR="009571FA" w:rsidRPr="00027BF9">
        <w:rPr>
          <w:rFonts w:cs="Arial"/>
          <w:b/>
          <w:bCs/>
          <w:i/>
          <w:sz w:val="22"/>
          <w:szCs w:val="20"/>
        </w:rPr>
        <w:t>G</w:t>
      </w:r>
      <w:r w:rsidR="009571FA" w:rsidRPr="00027BF9">
        <w:rPr>
          <w:rFonts w:cs="Arial"/>
          <w:b/>
          <w:bCs/>
          <w:i/>
          <w:sz w:val="22"/>
          <w:szCs w:val="22"/>
        </w:rPr>
        <w:t xml:space="preserve">ender analysis </w:t>
      </w:r>
      <w:r w:rsidR="009571FA" w:rsidRPr="00027BF9">
        <w:rPr>
          <w:rFonts w:cs="Arial"/>
          <w:bCs/>
          <w:sz w:val="22"/>
          <w:szCs w:val="22"/>
        </w:rPr>
        <w:t xml:space="preserve">resembled </w:t>
      </w:r>
      <w:r w:rsidRPr="00027BF9">
        <w:rPr>
          <w:rFonts w:cs="Arial"/>
          <w:bCs/>
          <w:sz w:val="22"/>
          <w:szCs w:val="22"/>
        </w:rPr>
        <w:t>th</w:t>
      </w:r>
      <w:r>
        <w:rPr>
          <w:rFonts w:cs="Arial"/>
          <w:bCs/>
          <w:sz w:val="22"/>
          <w:szCs w:val="22"/>
        </w:rPr>
        <w:t xml:space="preserve">e variation </w:t>
      </w:r>
      <w:r w:rsidR="009571FA">
        <w:rPr>
          <w:rFonts w:cs="Arial"/>
          <w:bCs/>
          <w:sz w:val="22"/>
          <w:szCs w:val="22"/>
        </w:rPr>
        <w:t xml:space="preserve">regarding use </w:t>
      </w:r>
      <w:r w:rsidR="009571FA" w:rsidRPr="00027BF9">
        <w:rPr>
          <w:rFonts w:cs="Arial"/>
          <w:bCs/>
          <w:sz w:val="22"/>
          <w:szCs w:val="22"/>
        </w:rPr>
        <w:t>of SDD. Gender analysis was</w:t>
      </w:r>
      <w:r w:rsidR="009571FA" w:rsidRPr="00027BF9">
        <w:rPr>
          <w:rFonts w:cs="Arial"/>
          <w:b/>
          <w:bCs/>
          <w:sz w:val="22"/>
          <w:szCs w:val="22"/>
        </w:rPr>
        <w:t xml:space="preserve"> strong</w:t>
      </w:r>
      <w:r w:rsidR="009571FA" w:rsidRPr="00027BF9">
        <w:rPr>
          <w:rFonts w:cs="Arial"/>
          <w:bCs/>
          <w:sz w:val="22"/>
          <w:szCs w:val="22"/>
        </w:rPr>
        <w:t xml:space="preserve"> in</w:t>
      </w:r>
      <w:r w:rsidR="009571FA" w:rsidRPr="00027BF9">
        <w:rPr>
          <w:rFonts w:cs="Arial"/>
          <w:b/>
          <w:bCs/>
          <w:i/>
          <w:sz w:val="22"/>
          <w:szCs w:val="22"/>
        </w:rPr>
        <w:t xml:space="preserve"> “</w:t>
      </w:r>
      <w:r w:rsidR="009571FA" w:rsidRPr="00027BF9">
        <w:rPr>
          <w:rFonts w:cs="Arial"/>
          <w:bCs/>
          <w:i/>
          <w:sz w:val="22"/>
          <w:szCs w:val="22"/>
        </w:rPr>
        <w:t>H</w:t>
      </w:r>
      <w:r w:rsidR="009571FA" w:rsidRPr="00027BF9">
        <w:rPr>
          <w:i/>
          <w:sz w:val="22"/>
        </w:rPr>
        <w:t>ealth in the Americas 2007.</w:t>
      </w:r>
      <w:r w:rsidR="009571FA" w:rsidRPr="00027BF9">
        <w:rPr>
          <w:sz w:val="22"/>
        </w:rPr>
        <w:t xml:space="preserve"> </w:t>
      </w:r>
      <w:r w:rsidR="009571FA" w:rsidRPr="00027BF9">
        <w:rPr>
          <w:i/>
          <w:sz w:val="22"/>
        </w:rPr>
        <w:t xml:space="preserve">Volume I-Regional”, </w:t>
      </w:r>
      <w:r w:rsidR="009571FA" w:rsidRPr="00027BF9">
        <w:rPr>
          <w:sz w:val="22"/>
        </w:rPr>
        <w:t xml:space="preserve">and in </w:t>
      </w:r>
      <w:r w:rsidR="009571FA" w:rsidRPr="00027BF9">
        <w:rPr>
          <w:i/>
          <w:sz w:val="22"/>
        </w:rPr>
        <w:t>“Social Protection in Health</w:t>
      </w:r>
      <w:r w:rsidR="009571FA" w:rsidRPr="00027BF9">
        <w:rPr>
          <w:sz w:val="22"/>
        </w:rPr>
        <w:t xml:space="preserve"> </w:t>
      </w:r>
      <w:r w:rsidR="009571FA" w:rsidRPr="00027BF9">
        <w:rPr>
          <w:i/>
          <w:sz w:val="22"/>
          <w:szCs w:val="22"/>
        </w:rPr>
        <w:t>Schemes.......</w:t>
      </w:r>
      <w:r w:rsidR="009571FA" w:rsidRPr="00027BF9">
        <w:rPr>
          <w:sz w:val="22"/>
        </w:rPr>
        <w:t xml:space="preserve">” It was </w:t>
      </w:r>
      <w:r w:rsidR="009571FA" w:rsidRPr="00027BF9">
        <w:rPr>
          <w:b/>
          <w:sz w:val="22"/>
        </w:rPr>
        <w:t>limited</w:t>
      </w:r>
      <w:r w:rsidR="009571FA" w:rsidRPr="00027BF9">
        <w:rPr>
          <w:sz w:val="22"/>
        </w:rPr>
        <w:t xml:space="preserve"> in </w:t>
      </w:r>
      <w:r w:rsidR="009571FA" w:rsidRPr="00027BF9">
        <w:rPr>
          <w:i/>
          <w:sz w:val="22"/>
        </w:rPr>
        <w:t xml:space="preserve">Health in the Americas 2007 Volume 1-Countries, </w:t>
      </w:r>
      <w:r w:rsidR="009571FA" w:rsidRPr="00027BF9">
        <w:rPr>
          <w:sz w:val="22"/>
        </w:rPr>
        <w:t xml:space="preserve">and </w:t>
      </w:r>
      <w:r w:rsidR="009571FA" w:rsidRPr="00027BF9">
        <w:rPr>
          <w:b/>
          <w:sz w:val="22"/>
        </w:rPr>
        <w:t>moderate to</w:t>
      </w:r>
      <w:r w:rsidR="009571FA" w:rsidRPr="00027BF9">
        <w:rPr>
          <w:sz w:val="22"/>
        </w:rPr>
        <w:t xml:space="preserve"> </w:t>
      </w:r>
      <w:r w:rsidR="009571FA" w:rsidRPr="00027BF9">
        <w:rPr>
          <w:b/>
          <w:sz w:val="22"/>
        </w:rPr>
        <w:t>low</w:t>
      </w:r>
      <w:r w:rsidR="009571FA" w:rsidRPr="00027BF9">
        <w:rPr>
          <w:sz w:val="22"/>
        </w:rPr>
        <w:t xml:space="preserve"> in “</w:t>
      </w:r>
      <w:r w:rsidR="009571FA" w:rsidRPr="00027BF9">
        <w:rPr>
          <w:i/>
          <w:sz w:val="22"/>
        </w:rPr>
        <w:t>R</w:t>
      </w:r>
      <w:r w:rsidR="009571FA" w:rsidRPr="00027BF9">
        <w:rPr>
          <w:i/>
          <w:sz w:val="22"/>
          <w:szCs w:val="22"/>
        </w:rPr>
        <w:t xml:space="preserve">enewing Primary Health Care in the Americas....” </w:t>
      </w:r>
      <w:r w:rsidR="009571FA" w:rsidRPr="00027BF9">
        <w:rPr>
          <w:sz w:val="22"/>
          <w:szCs w:val="22"/>
        </w:rPr>
        <w:t>The Guidelines</w:t>
      </w:r>
      <w:r w:rsidR="009571FA" w:rsidRPr="00027BF9">
        <w:rPr>
          <w:i/>
          <w:sz w:val="22"/>
          <w:szCs w:val="22"/>
        </w:rPr>
        <w:t xml:space="preserve"> </w:t>
      </w:r>
      <w:r w:rsidR="009571FA" w:rsidRPr="00027BF9">
        <w:rPr>
          <w:sz w:val="22"/>
          <w:szCs w:val="22"/>
        </w:rPr>
        <w:t>to.....</w:t>
      </w:r>
      <w:r w:rsidR="009571FA" w:rsidRPr="00027BF9">
        <w:rPr>
          <w:rFonts w:cs="Arial"/>
          <w:bCs/>
          <w:color w:val="000000"/>
          <w:sz w:val="22"/>
          <w:szCs w:val="22"/>
        </w:rPr>
        <w:t xml:space="preserve">Biennial Work Plans”, as already mentioned, </w:t>
      </w:r>
      <w:r w:rsidR="009571FA" w:rsidRPr="00027BF9">
        <w:rPr>
          <w:sz w:val="22"/>
          <w:szCs w:val="22"/>
        </w:rPr>
        <w:t>simply stated that gender equality was one of the six cross-cutting issues in planning and reviewing.</w:t>
      </w:r>
      <w:r w:rsidR="009571FA" w:rsidRPr="00027BF9">
        <w:rPr>
          <w:i/>
          <w:sz w:val="22"/>
          <w:szCs w:val="22"/>
        </w:rPr>
        <w:t xml:space="preserve"> </w:t>
      </w:r>
    </w:p>
    <w:p w:rsidR="009571FA" w:rsidRPr="006E3D80" w:rsidRDefault="009571FA" w:rsidP="00E90F06">
      <w:pPr>
        <w:rPr>
          <w:i/>
          <w:sz w:val="2"/>
          <w:szCs w:val="22"/>
        </w:rPr>
      </w:pPr>
    </w:p>
    <w:p w:rsidR="009571FA" w:rsidRPr="00027BF9" w:rsidRDefault="009571FA" w:rsidP="00E90F06">
      <w:pPr>
        <w:rPr>
          <w:rFonts w:cs="Arial"/>
          <w:bCs/>
          <w:color w:val="000000"/>
          <w:sz w:val="22"/>
          <w:szCs w:val="22"/>
        </w:rPr>
      </w:pPr>
    </w:p>
    <w:p w:rsidR="009571FA" w:rsidRDefault="009571FA" w:rsidP="00581596">
      <w:pPr>
        <w:numPr>
          <w:ilvl w:val="0"/>
          <w:numId w:val="23"/>
        </w:numPr>
        <w:rPr>
          <w:rFonts w:cs="Arial"/>
          <w:b/>
          <w:bCs/>
          <w:sz w:val="24"/>
        </w:rPr>
      </w:pPr>
      <w:r>
        <w:rPr>
          <w:rFonts w:cs="Arial"/>
          <w:b/>
          <w:bCs/>
          <w:sz w:val="24"/>
        </w:rPr>
        <w:t xml:space="preserve">  </w:t>
      </w:r>
      <w:r w:rsidRPr="003C4FBF">
        <w:rPr>
          <w:rFonts w:cs="Arial"/>
          <w:b/>
          <w:bCs/>
          <w:sz w:val="24"/>
        </w:rPr>
        <w:t xml:space="preserve">Establishing Accountability </w:t>
      </w:r>
      <w:r>
        <w:rPr>
          <w:rFonts w:cs="Arial"/>
          <w:b/>
          <w:bCs/>
          <w:sz w:val="24"/>
        </w:rPr>
        <w:t>from the Senior Management (SD4)</w:t>
      </w:r>
    </w:p>
    <w:p w:rsidR="009571FA" w:rsidRPr="006E3D80" w:rsidRDefault="009571FA" w:rsidP="00E71FE5">
      <w:pPr>
        <w:ind w:left="360"/>
        <w:rPr>
          <w:rFonts w:cs="Arial"/>
          <w:b/>
          <w:bCs/>
          <w:sz w:val="14"/>
        </w:rPr>
      </w:pPr>
    </w:p>
    <w:p w:rsidR="003871FF" w:rsidRDefault="009571FA" w:rsidP="00AB0DC6">
      <w:pPr>
        <w:rPr>
          <w:rFonts w:cs="Arial"/>
          <w:bCs/>
          <w:sz w:val="22"/>
        </w:rPr>
      </w:pPr>
      <w:r>
        <w:rPr>
          <w:rFonts w:cs="Arial"/>
          <w:sz w:val="22"/>
          <w:szCs w:val="22"/>
        </w:rPr>
        <w:t xml:space="preserve">The selected indicator for this SD was </w:t>
      </w:r>
      <w:r w:rsidR="00E27F05">
        <w:rPr>
          <w:rFonts w:cs="Arial"/>
          <w:sz w:val="22"/>
          <w:szCs w:val="22"/>
        </w:rPr>
        <w:t>‘</w:t>
      </w:r>
      <w:r>
        <w:rPr>
          <w:rFonts w:cs="Arial"/>
          <w:sz w:val="22"/>
          <w:szCs w:val="22"/>
        </w:rPr>
        <w:t>reflection of gender in the speeches</w:t>
      </w:r>
      <w:r w:rsidRPr="00E71FE5">
        <w:rPr>
          <w:rFonts w:cs="Arial"/>
          <w:bCs/>
          <w:sz w:val="22"/>
        </w:rPr>
        <w:t xml:space="preserve"> </w:t>
      </w:r>
      <w:r>
        <w:rPr>
          <w:rFonts w:cs="Arial"/>
          <w:bCs/>
          <w:sz w:val="22"/>
        </w:rPr>
        <w:t>given by the PAHO Director in 2007</w:t>
      </w:r>
      <w:r w:rsidR="00E27F05">
        <w:rPr>
          <w:rFonts w:cs="Arial"/>
          <w:bCs/>
          <w:sz w:val="22"/>
        </w:rPr>
        <w:t>’</w:t>
      </w:r>
      <w:r>
        <w:rPr>
          <w:rFonts w:cs="Arial"/>
          <w:sz w:val="22"/>
          <w:szCs w:val="22"/>
        </w:rPr>
        <w:t xml:space="preserve">. Nine speeches and presentations available in the PAHO Director’s internet site were analyzed. </w:t>
      </w:r>
      <w:r>
        <w:rPr>
          <w:rFonts w:cs="Arial"/>
          <w:bCs/>
          <w:sz w:val="22"/>
        </w:rPr>
        <w:t xml:space="preserve">Eight of this nine speeches/ presentations included at least one reference to gender issues </w:t>
      </w:r>
      <w:r w:rsidR="00E27F05">
        <w:rPr>
          <w:rFonts w:cs="Arial"/>
          <w:bCs/>
          <w:sz w:val="22"/>
        </w:rPr>
        <w:t>or concerns, thus expressin</w:t>
      </w:r>
      <w:r w:rsidR="00664933">
        <w:rPr>
          <w:rFonts w:cs="Arial"/>
          <w:bCs/>
          <w:sz w:val="22"/>
        </w:rPr>
        <w:t xml:space="preserve">g a consistent Director’s interest an </w:t>
      </w:r>
      <w:r w:rsidR="00E27F05">
        <w:rPr>
          <w:rFonts w:cs="Arial"/>
          <w:bCs/>
          <w:sz w:val="22"/>
        </w:rPr>
        <w:t>mirroring an o</w:t>
      </w:r>
      <w:r>
        <w:rPr>
          <w:rFonts w:cs="Arial"/>
          <w:bCs/>
          <w:sz w:val="22"/>
        </w:rPr>
        <w:t>rganization</w:t>
      </w:r>
      <w:r w:rsidR="00E27F05">
        <w:rPr>
          <w:rFonts w:cs="Arial"/>
          <w:bCs/>
          <w:sz w:val="22"/>
        </w:rPr>
        <w:t>-</w:t>
      </w:r>
      <w:r>
        <w:rPr>
          <w:rFonts w:cs="Arial"/>
          <w:bCs/>
          <w:sz w:val="22"/>
        </w:rPr>
        <w:t>wide reach of concern with respect to gender issues. The thirty nin</w:t>
      </w:r>
      <w:r w:rsidR="00664933">
        <w:rPr>
          <w:rFonts w:cs="Arial"/>
          <w:bCs/>
          <w:sz w:val="22"/>
        </w:rPr>
        <w:t xml:space="preserve">e </w:t>
      </w:r>
      <w:r>
        <w:rPr>
          <w:rFonts w:cs="Arial"/>
          <w:bCs/>
          <w:sz w:val="22"/>
        </w:rPr>
        <w:t xml:space="preserve">unevenly distributed gender and gender-related references in those presentations were suggestive of a varying depth of </w:t>
      </w:r>
      <w:r w:rsidR="00664933">
        <w:rPr>
          <w:rFonts w:cs="Arial"/>
          <w:bCs/>
          <w:sz w:val="22"/>
        </w:rPr>
        <w:t xml:space="preserve">attention and perception of gender relevance to </w:t>
      </w:r>
      <w:r>
        <w:rPr>
          <w:rFonts w:cs="Arial"/>
          <w:bCs/>
          <w:sz w:val="22"/>
        </w:rPr>
        <w:t xml:space="preserve">the issues being addressed.  Gender references were most frequent in wide-scope presentations and in those related to health determinants and healthy environments.  The MDG 3 was a recurrent theme in those speeches. </w:t>
      </w:r>
      <w:r w:rsidR="003871FF">
        <w:rPr>
          <w:rFonts w:cs="Arial"/>
          <w:bCs/>
          <w:sz w:val="22"/>
        </w:rPr>
        <w:br/>
      </w:r>
    </w:p>
    <w:p w:rsidR="003871FF" w:rsidRDefault="003871FF">
      <w:pPr>
        <w:rPr>
          <w:rFonts w:cs="Arial"/>
          <w:bCs/>
          <w:sz w:val="22"/>
        </w:rPr>
      </w:pPr>
      <w:r>
        <w:rPr>
          <w:rFonts w:cs="Arial"/>
          <w:bCs/>
          <w:sz w:val="22"/>
        </w:rPr>
        <w:br w:type="page"/>
      </w:r>
    </w:p>
    <w:p w:rsidR="009571FA" w:rsidRPr="006E3D80" w:rsidRDefault="009571FA" w:rsidP="006E3D80">
      <w:pPr>
        <w:rPr>
          <w:b/>
          <w:bCs/>
          <w:sz w:val="24"/>
        </w:rPr>
      </w:pPr>
      <w:r w:rsidRPr="006E3D80">
        <w:rPr>
          <w:b/>
          <w:bCs/>
          <w:sz w:val="24"/>
        </w:rPr>
        <w:t xml:space="preserve"> V. CONCLUSIONS AND RECOMMENDATIONS</w:t>
      </w:r>
    </w:p>
    <w:p w:rsidR="009571FA" w:rsidRDefault="009571FA" w:rsidP="003C4FBF">
      <w:pPr>
        <w:rPr>
          <w:sz w:val="12"/>
        </w:rPr>
      </w:pPr>
    </w:p>
    <w:p w:rsidR="0039448E" w:rsidRDefault="0039448E" w:rsidP="003C4FBF">
      <w:pPr>
        <w:rPr>
          <w:b/>
          <w:sz w:val="22"/>
        </w:rPr>
      </w:pPr>
      <w:r w:rsidRPr="0039448E">
        <w:rPr>
          <w:b/>
          <w:sz w:val="22"/>
        </w:rPr>
        <w:t xml:space="preserve">Conclusions </w:t>
      </w:r>
    </w:p>
    <w:p w:rsidR="0039448E" w:rsidRPr="0039448E" w:rsidRDefault="0039448E" w:rsidP="003C4FBF">
      <w:pPr>
        <w:rPr>
          <w:b/>
          <w:sz w:val="16"/>
        </w:rPr>
      </w:pPr>
    </w:p>
    <w:p w:rsidR="009571FA" w:rsidRDefault="000C6146" w:rsidP="00E46FCC">
      <w:pPr>
        <w:rPr>
          <w:color w:val="000000"/>
          <w:sz w:val="22"/>
          <w:lang w:val="en-US"/>
        </w:rPr>
      </w:pPr>
      <w:r>
        <w:rPr>
          <w:color w:val="000000"/>
          <w:sz w:val="22"/>
          <w:lang w:val="en-US"/>
        </w:rPr>
        <w:t xml:space="preserve">1.  </w:t>
      </w:r>
      <w:r w:rsidR="009571FA" w:rsidRPr="00E46FCC">
        <w:rPr>
          <w:color w:val="000000"/>
          <w:sz w:val="22"/>
          <w:lang w:val="en-US"/>
        </w:rPr>
        <w:t xml:space="preserve">PAHO’s reported levels of staff capacity for gender mainstreaming </w:t>
      </w:r>
      <w:r w:rsidR="009571FA">
        <w:rPr>
          <w:color w:val="000000"/>
          <w:sz w:val="22"/>
          <w:lang w:val="en-US"/>
        </w:rPr>
        <w:t xml:space="preserve">were </w:t>
      </w:r>
      <w:r w:rsidR="009571FA" w:rsidRPr="00E46FCC">
        <w:rPr>
          <w:color w:val="000000"/>
          <w:sz w:val="22"/>
          <w:lang w:val="en-US"/>
        </w:rPr>
        <w:t>among the highest of all Regions</w:t>
      </w:r>
      <w:r w:rsidR="009571FA">
        <w:rPr>
          <w:color w:val="000000"/>
          <w:sz w:val="22"/>
          <w:lang w:val="en-US"/>
        </w:rPr>
        <w:t>. But these high levels coexist</w:t>
      </w:r>
      <w:r w:rsidR="00A97632">
        <w:rPr>
          <w:color w:val="000000"/>
          <w:sz w:val="22"/>
          <w:lang w:val="en-US"/>
        </w:rPr>
        <w:t>ed</w:t>
      </w:r>
      <w:r w:rsidR="009571FA">
        <w:rPr>
          <w:color w:val="000000"/>
          <w:sz w:val="22"/>
          <w:lang w:val="en-US"/>
        </w:rPr>
        <w:t>, as in other regions, with a large gap between knowledge and a</w:t>
      </w:r>
      <w:r w:rsidR="008F786F">
        <w:rPr>
          <w:color w:val="000000"/>
          <w:sz w:val="22"/>
          <w:lang w:val="en-US"/>
        </w:rPr>
        <w:t xml:space="preserve">pplication </w:t>
      </w:r>
      <w:r w:rsidR="009571FA">
        <w:rPr>
          <w:color w:val="000000"/>
          <w:sz w:val="22"/>
          <w:lang w:val="en-US"/>
        </w:rPr>
        <w:t>seem</w:t>
      </w:r>
      <w:r w:rsidR="008F786F">
        <w:rPr>
          <w:color w:val="000000"/>
          <w:sz w:val="22"/>
          <w:lang w:val="en-US"/>
        </w:rPr>
        <w:t>ingly</w:t>
      </w:r>
      <w:r w:rsidR="009571FA">
        <w:rPr>
          <w:color w:val="000000"/>
          <w:sz w:val="22"/>
          <w:lang w:val="en-US"/>
        </w:rPr>
        <w:t xml:space="preserve"> connected to the non-specific nature of the </w:t>
      </w:r>
      <w:r w:rsidR="000845CB">
        <w:rPr>
          <w:color w:val="000000"/>
          <w:sz w:val="22"/>
          <w:lang w:val="en-US"/>
        </w:rPr>
        <w:t xml:space="preserve">gender </w:t>
      </w:r>
      <w:r w:rsidR="009571FA">
        <w:rPr>
          <w:color w:val="000000"/>
          <w:sz w:val="22"/>
          <w:lang w:val="en-US"/>
        </w:rPr>
        <w:t xml:space="preserve">knowledge held by staff with respect to issues and evidence particular to their work areas. </w:t>
      </w:r>
    </w:p>
    <w:p w:rsidR="009571FA" w:rsidRPr="0084263B" w:rsidRDefault="009571FA" w:rsidP="00E46FCC">
      <w:pPr>
        <w:rPr>
          <w:color w:val="000000"/>
          <w:sz w:val="12"/>
          <w:lang w:val="en-US"/>
        </w:rPr>
      </w:pPr>
    </w:p>
    <w:p w:rsidR="009571FA" w:rsidRPr="00E46FCC" w:rsidRDefault="000C6146" w:rsidP="00E46FCC">
      <w:pPr>
        <w:rPr>
          <w:color w:val="000000"/>
          <w:sz w:val="14"/>
          <w:lang w:val="en-US"/>
        </w:rPr>
      </w:pPr>
      <w:r>
        <w:rPr>
          <w:color w:val="000000"/>
          <w:sz w:val="22"/>
          <w:lang w:val="en-US"/>
        </w:rPr>
        <w:t xml:space="preserve">2.  </w:t>
      </w:r>
      <w:r w:rsidR="009571FA" w:rsidRPr="000C6146">
        <w:rPr>
          <w:color w:val="000000"/>
          <w:sz w:val="22"/>
          <w:lang w:val="en-US"/>
        </w:rPr>
        <w:t xml:space="preserve">Two other divides </w:t>
      </w:r>
      <w:r w:rsidR="000845CB" w:rsidRPr="000C6146">
        <w:rPr>
          <w:color w:val="000000"/>
          <w:sz w:val="22"/>
          <w:lang w:val="en-US"/>
        </w:rPr>
        <w:t xml:space="preserve">revealed by the findings </w:t>
      </w:r>
      <w:r w:rsidR="009571FA" w:rsidRPr="000C6146">
        <w:rPr>
          <w:color w:val="000000"/>
          <w:sz w:val="22"/>
          <w:lang w:val="en-US"/>
        </w:rPr>
        <w:t xml:space="preserve">demand </w:t>
      </w:r>
      <w:r w:rsidR="000845CB" w:rsidRPr="000C6146">
        <w:rPr>
          <w:color w:val="000000"/>
          <w:sz w:val="22"/>
          <w:lang w:val="en-US"/>
        </w:rPr>
        <w:t xml:space="preserve">particular </w:t>
      </w:r>
      <w:r w:rsidR="009571FA" w:rsidRPr="000C6146">
        <w:rPr>
          <w:color w:val="000000"/>
          <w:sz w:val="22"/>
          <w:lang w:val="en-US"/>
        </w:rPr>
        <w:t xml:space="preserve">attention. The first one is </w:t>
      </w:r>
      <w:r w:rsidR="002D5A3F" w:rsidRPr="000C6146">
        <w:rPr>
          <w:color w:val="000000"/>
          <w:sz w:val="22"/>
          <w:lang w:val="en-US"/>
        </w:rPr>
        <w:t xml:space="preserve">the </w:t>
      </w:r>
      <w:r w:rsidR="002D5A3F" w:rsidRPr="000C6146">
        <w:rPr>
          <w:b/>
          <w:color w:val="000000"/>
          <w:sz w:val="22"/>
          <w:lang w:val="en-US"/>
        </w:rPr>
        <w:t>gap between HQ and CO</w:t>
      </w:r>
      <w:r w:rsidR="002D5A3F" w:rsidRPr="000C6146">
        <w:rPr>
          <w:color w:val="000000"/>
          <w:sz w:val="22"/>
          <w:lang w:val="en-US"/>
        </w:rPr>
        <w:t xml:space="preserve"> with respect to gender integration in planning and other types of documents, and to sex parity among professional staff.  </w:t>
      </w:r>
      <w:r w:rsidR="002D5A3F" w:rsidRPr="000C6146">
        <w:rPr>
          <w:color w:val="000000"/>
          <w:sz w:val="22"/>
          <w:szCs w:val="22"/>
          <w:lang w:val="en-US"/>
        </w:rPr>
        <w:t xml:space="preserve">The second one is the </w:t>
      </w:r>
      <w:r w:rsidR="002D5A3F" w:rsidRPr="000C6146">
        <w:rPr>
          <w:b/>
          <w:color w:val="000000"/>
          <w:sz w:val="22"/>
          <w:szCs w:val="22"/>
          <w:lang w:val="en-US"/>
        </w:rPr>
        <w:t>divide</w:t>
      </w:r>
      <w:r w:rsidR="009571FA" w:rsidRPr="000C6146">
        <w:rPr>
          <w:b/>
          <w:color w:val="000000"/>
          <w:sz w:val="22"/>
          <w:szCs w:val="22"/>
          <w:lang w:val="en-US"/>
        </w:rPr>
        <w:t xml:space="preserve"> between profess</w:t>
      </w:r>
      <w:r w:rsidR="002D5A3F" w:rsidRPr="000C6146">
        <w:rPr>
          <w:b/>
          <w:color w:val="000000"/>
          <w:sz w:val="22"/>
          <w:szCs w:val="22"/>
          <w:lang w:val="en-US"/>
        </w:rPr>
        <w:t xml:space="preserve">ional and general service staff </w:t>
      </w:r>
      <w:r w:rsidR="002D5A3F" w:rsidRPr="000C6146">
        <w:rPr>
          <w:color w:val="000000"/>
          <w:sz w:val="22"/>
          <w:szCs w:val="22"/>
          <w:lang w:val="en-US"/>
        </w:rPr>
        <w:t xml:space="preserve">regarding application of gender concepts to their work. Although the e-survey did not specifically address G functions and responsibilities, </w:t>
      </w:r>
      <w:r>
        <w:rPr>
          <w:color w:val="000000"/>
          <w:sz w:val="22"/>
          <w:szCs w:val="22"/>
          <w:lang w:val="en-US"/>
        </w:rPr>
        <w:t>the</w:t>
      </w:r>
      <w:r w:rsidR="002D5A3F" w:rsidRPr="000C6146">
        <w:rPr>
          <w:color w:val="000000"/>
          <w:sz w:val="22"/>
          <w:szCs w:val="22"/>
          <w:lang w:val="en-US"/>
        </w:rPr>
        <w:t xml:space="preserve"> divide </w:t>
      </w:r>
      <w:r>
        <w:rPr>
          <w:color w:val="000000"/>
          <w:sz w:val="22"/>
          <w:szCs w:val="22"/>
          <w:lang w:val="en-US"/>
        </w:rPr>
        <w:t xml:space="preserve">between Ps and Gs </w:t>
      </w:r>
      <w:r w:rsidR="002D5A3F" w:rsidRPr="000C6146">
        <w:rPr>
          <w:color w:val="000000"/>
          <w:sz w:val="22"/>
          <w:szCs w:val="22"/>
          <w:lang w:val="en-US"/>
        </w:rPr>
        <w:t>was</w:t>
      </w:r>
      <w:r w:rsidR="009571FA" w:rsidRPr="000C6146">
        <w:rPr>
          <w:color w:val="000000"/>
          <w:sz w:val="22"/>
          <w:szCs w:val="22"/>
          <w:lang w:val="en-US"/>
        </w:rPr>
        <w:t xml:space="preserve"> </w:t>
      </w:r>
      <w:r w:rsidRPr="000C6146">
        <w:rPr>
          <w:color w:val="000000"/>
          <w:sz w:val="22"/>
          <w:szCs w:val="22"/>
          <w:lang w:val="en-US"/>
        </w:rPr>
        <w:t>perceptible</w:t>
      </w:r>
      <w:r w:rsidR="002D5A3F" w:rsidRPr="000C6146">
        <w:rPr>
          <w:color w:val="000000"/>
          <w:sz w:val="22"/>
          <w:szCs w:val="22"/>
          <w:lang w:val="en-US"/>
        </w:rPr>
        <w:t xml:space="preserve"> from the G</w:t>
      </w:r>
      <w:r>
        <w:rPr>
          <w:color w:val="000000"/>
          <w:sz w:val="22"/>
          <w:szCs w:val="22"/>
          <w:lang w:val="en-US"/>
        </w:rPr>
        <w:t>s</w:t>
      </w:r>
      <w:r w:rsidR="0039448E">
        <w:rPr>
          <w:color w:val="000000"/>
          <w:sz w:val="22"/>
          <w:szCs w:val="22"/>
          <w:lang w:val="en-US"/>
        </w:rPr>
        <w:t>’</w:t>
      </w:r>
      <w:r w:rsidR="002D5A3F" w:rsidRPr="000C6146">
        <w:rPr>
          <w:color w:val="000000"/>
          <w:sz w:val="22"/>
          <w:szCs w:val="22"/>
          <w:lang w:val="en-US"/>
        </w:rPr>
        <w:t xml:space="preserve"> low </w:t>
      </w:r>
      <w:r w:rsidR="0039448E">
        <w:rPr>
          <w:color w:val="000000"/>
          <w:sz w:val="22"/>
          <w:szCs w:val="22"/>
          <w:lang w:val="en-US"/>
        </w:rPr>
        <w:t xml:space="preserve">survey </w:t>
      </w:r>
      <w:r w:rsidR="002D5A3F" w:rsidRPr="000C6146">
        <w:rPr>
          <w:color w:val="000000"/>
          <w:sz w:val="22"/>
          <w:szCs w:val="22"/>
          <w:lang w:val="en-US"/>
        </w:rPr>
        <w:t xml:space="preserve">response </w:t>
      </w:r>
      <w:r>
        <w:rPr>
          <w:color w:val="000000"/>
          <w:sz w:val="22"/>
          <w:szCs w:val="22"/>
          <w:lang w:val="en-US"/>
        </w:rPr>
        <w:t xml:space="preserve">and </w:t>
      </w:r>
      <w:r w:rsidR="002D5A3F" w:rsidRPr="000C6146">
        <w:rPr>
          <w:color w:val="000000"/>
          <w:sz w:val="22"/>
          <w:szCs w:val="22"/>
          <w:lang w:val="en-US"/>
        </w:rPr>
        <w:t xml:space="preserve">low scores on perception of </w:t>
      </w:r>
      <w:r w:rsidRPr="000C6146">
        <w:rPr>
          <w:color w:val="000000"/>
          <w:sz w:val="22"/>
          <w:szCs w:val="22"/>
          <w:lang w:val="en-US"/>
        </w:rPr>
        <w:t xml:space="preserve">gender </w:t>
      </w:r>
      <w:r w:rsidR="002D5A3F" w:rsidRPr="000C6146">
        <w:rPr>
          <w:color w:val="000000"/>
          <w:sz w:val="22"/>
          <w:szCs w:val="22"/>
          <w:lang w:val="en-US"/>
        </w:rPr>
        <w:t xml:space="preserve">relevance to their work, </w:t>
      </w:r>
      <w:r>
        <w:rPr>
          <w:color w:val="000000"/>
          <w:sz w:val="22"/>
          <w:szCs w:val="22"/>
          <w:lang w:val="en-US"/>
        </w:rPr>
        <w:t>but very importantly, from t</w:t>
      </w:r>
      <w:r w:rsidR="002D5A3F" w:rsidRPr="000C6146">
        <w:rPr>
          <w:color w:val="000000"/>
          <w:sz w:val="22"/>
          <w:lang w:val="en-US"/>
        </w:rPr>
        <w:t>he explicit exclusion of gender considerations from administrative functions</w:t>
      </w:r>
      <w:r w:rsidR="0039448E">
        <w:rPr>
          <w:color w:val="000000"/>
          <w:sz w:val="22"/>
          <w:lang w:val="en-US"/>
        </w:rPr>
        <w:t xml:space="preserve">, </w:t>
      </w:r>
      <w:r w:rsidRPr="000C6146">
        <w:rPr>
          <w:color w:val="000000"/>
          <w:sz w:val="22"/>
          <w:lang w:val="en-US"/>
        </w:rPr>
        <w:t>unambiguously stated in</w:t>
      </w:r>
      <w:r w:rsidR="002D5A3F" w:rsidRPr="000C6146">
        <w:rPr>
          <w:color w:val="000000"/>
          <w:sz w:val="22"/>
          <w:lang w:val="en-US"/>
        </w:rPr>
        <w:t xml:space="preserve"> the </w:t>
      </w:r>
      <w:r w:rsidR="0039448E">
        <w:rPr>
          <w:color w:val="000000"/>
          <w:sz w:val="22"/>
          <w:lang w:val="en-US"/>
        </w:rPr>
        <w:t xml:space="preserve">latest </w:t>
      </w:r>
      <w:r w:rsidR="002D5A3F" w:rsidRPr="000C6146">
        <w:rPr>
          <w:color w:val="000000"/>
          <w:sz w:val="22"/>
          <w:lang w:val="en-US"/>
        </w:rPr>
        <w:t>official PAHO planning guidelines.</w:t>
      </w:r>
      <w:r w:rsidR="002D5A3F">
        <w:rPr>
          <w:color w:val="000000"/>
          <w:sz w:val="24"/>
          <w:lang w:val="en-US"/>
        </w:rPr>
        <w:t xml:space="preserve"> </w:t>
      </w:r>
    </w:p>
    <w:p w:rsidR="009571FA" w:rsidRPr="0084263B" w:rsidRDefault="009571FA" w:rsidP="00EA796C">
      <w:pPr>
        <w:rPr>
          <w:sz w:val="12"/>
          <w:lang w:val="en-US"/>
        </w:rPr>
      </w:pPr>
    </w:p>
    <w:p w:rsidR="00A5426A" w:rsidRDefault="004B3A58" w:rsidP="008A3246">
      <w:pPr>
        <w:ind w:right="-540"/>
        <w:rPr>
          <w:bCs/>
          <w:sz w:val="22"/>
          <w:szCs w:val="22"/>
        </w:rPr>
      </w:pPr>
      <w:r w:rsidRPr="00267CAE">
        <w:rPr>
          <w:bCs/>
          <w:sz w:val="22"/>
          <w:szCs w:val="22"/>
          <w:lang w:val="en-US"/>
        </w:rPr>
        <w:t xml:space="preserve">3.   Gender integration into the planning and monitoring/evaluation phases of the </w:t>
      </w:r>
      <w:r w:rsidRPr="00A5426A">
        <w:rPr>
          <w:b/>
          <w:bCs/>
          <w:sz w:val="22"/>
          <w:szCs w:val="22"/>
          <w:lang w:val="en-US"/>
        </w:rPr>
        <w:t>programming cycle</w:t>
      </w:r>
      <w:r w:rsidR="00A5426A" w:rsidRPr="00A5426A">
        <w:rPr>
          <w:b/>
          <w:bCs/>
          <w:sz w:val="22"/>
          <w:szCs w:val="22"/>
          <w:lang w:val="en-US"/>
        </w:rPr>
        <w:t xml:space="preserve"> process</w:t>
      </w:r>
      <w:r w:rsidR="00A5426A">
        <w:rPr>
          <w:bCs/>
          <w:sz w:val="22"/>
          <w:szCs w:val="22"/>
          <w:lang w:val="en-US"/>
        </w:rPr>
        <w:t xml:space="preserve"> </w:t>
      </w:r>
      <w:r w:rsidRPr="00267CAE">
        <w:rPr>
          <w:bCs/>
          <w:sz w:val="22"/>
          <w:szCs w:val="22"/>
          <w:lang w:val="en-US"/>
        </w:rPr>
        <w:t xml:space="preserve">warrant </w:t>
      </w:r>
      <w:r w:rsidR="00A5426A">
        <w:rPr>
          <w:bCs/>
          <w:sz w:val="22"/>
          <w:szCs w:val="22"/>
          <w:lang w:val="en-US"/>
        </w:rPr>
        <w:t>urgent</w:t>
      </w:r>
      <w:r w:rsidRPr="00267CAE">
        <w:rPr>
          <w:bCs/>
          <w:sz w:val="22"/>
          <w:szCs w:val="22"/>
          <w:lang w:val="en-US"/>
        </w:rPr>
        <w:t xml:space="preserve"> consideration. </w:t>
      </w:r>
      <w:r w:rsidR="00267CAE">
        <w:rPr>
          <w:bCs/>
          <w:sz w:val="22"/>
          <w:szCs w:val="22"/>
          <w:lang w:val="en-US"/>
        </w:rPr>
        <w:t>T</w:t>
      </w:r>
      <w:r w:rsidRPr="00267CAE">
        <w:rPr>
          <w:bCs/>
          <w:sz w:val="22"/>
          <w:szCs w:val="22"/>
          <w:lang w:val="en-US"/>
        </w:rPr>
        <w:t xml:space="preserve">he </w:t>
      </w:r>
      <w:r w:rsidRPr="00267CAE">
        <w:rPr>
          <w:b/>
          <w:bCs/>
          <w:sz w:val="22"/>
          <w:szCs w:val="22"/>
          <w:lang w:val="en-US"/>
        </w:rPr>
        <w:t>planning</w:t>
      </w:r>
      <w:r w:rsidRPr="00267CAE">
        <w:rPr>
          <w:bCs/>
          <w:sz w:val="22"/>
          <w:szCs w:val="22"/>
          <w:lang w:val="en-US"/>
        </w:rPr>
        <w:t xml:space="preserve"> phase emerged as the most fundamental since </w:t>
      </w:r>
      <w:r w:rsidRPr="00267CAE">
        <w:rPr>
          <w:bCs/>
          <w:i/>
          <w:sz w:val="22"/>
          <w:szCs w:val="22"/>
          <w:lang w:val="en-US"/>
        </w:rPr>
        <w:t>genderless</w:t>
      </w:r>
      <w:r w:rsidRPr="00267CAE">
        <w:rPr>
          <w:bCs/>
          <w:sz w:val="22"/>
          <w:szCs w:val="22"/>
          <w:lang w:val="en-US"/>
        </w:rPr>
        <w:t xml:space="preserve"> </w:t>
      </w:r>
      <w:r w:rsidRPr="00267CAE">
        <w:rPr>
          <w:bCs/>
          <w:sz w:val="22"/>
          <w:szCs w:val="22"/>
        </w:rPr>
        <w:t>implementation and evaluation, particularly the latter, were explicitly linked by PAHO staff to</w:t>
      </w:r>
      <w:r w:rsidRPr="00267CAE">
        <w:rPr>
          <w:bCs/>
          <w:i/>
          <w:sz w:val="22"/>
          <w:szCs w:val="22"/>
        </w:rPr>
        <w:t xml:space="preserve"> genderless</w:t>
      </w:r>
      <w:r w:rsidRPr="00267CAE">
        <w:rPr>
          <w:bCs/>
          <w:sz w:val="22"/>
          <w:szCs w:val="22"/>
        </w:rPr>
        <w:t xml:space="preserve"> planning. </w:t>
      </w:r>
      <w:r w:rsidR="00267CAE">
        <w:rPr>
          <w:bCs/>
          <w:sz w:val="22"/>
          <w:szCs w:val="22"/>
        </w:rPr>
        <w:t xml:space="preserve">But </w:t>
      </w:r>
      <w:r w:rsidRPr="00267CAE">
        <w:rPr>
          <w:bCs/>
          <w:sz w:val="22"/>
          <w:szCs w:val="22"/>
        </w:rPr>
        <w:t xml:space="preserve">the lack of feedback and </w:t>
      </w:r>
      <w:r w:rsidRPr="00A5426A">
        <w:rPr>
          <w:b/>
          <w:bCs/>
          <w:sz w:val="22"/>
          <w:szCs w:val="22"/>
        </w:rPr>
        <w:t xml:space="preserve">accountability </w:t>
      </w:r>
      <w:r w:rsidRPr="00267CAE">
        <w:rPr>
          <w:bCs/>
          <w:sz w:val="22"/>
          <w:szCs w:val="22"/>
        </w:rPr>
        <w:t xml:space="preserve">regarding gender integration </w:t>
      </w:r>
      <w:r w:rsidR="00A5426A">
        <w:rPr>
          <w:bCs/>
          <w:sz w:val="22"/>
          <w:szCs w:val="22"/>
        </w:rPr>
        <w:t xml:space="preserve">was also seen as </w:t>
      </w:r>
      <w:r w:rsidR="00267CAE" w:rsidRPr="00267CAE">
        <w:rPr>
          <w:bCs/>
          <w:sz w:val="22"/>
          <w:szCs w:val="22"/>
        </w:rPr>
        <w:t>lessen</w:t>
      </w:r>
      <w:r w:rsidR="00A5426A">
        <w:rPr>
          <w:bCs/>
          <w:sz w:val="22"/>
          <w:szCs w:val="22"/>
        </w:rPr>
        <w:t xml:space="preserve">ing </w:t>
      </w:r>
      <w:r w:rsidR="00267CAE" w:rsidRPr="00267CAE">
        <w:rPr>
          <w:bCs/>
          <w:sz w:val="22"/>
          <w:szCs w:val="22"/>
        </w:rPr>
        <w:t xml:space="preserve">the motivation to </w:t>
      </w:r>
      <w:r w:rsidR="00267CAE">
        <w:rPr>
          <w:bCs/>
          <w:sz w:val="22"/>
          <w:szCs w:val="22"/>
        </w:rPr>
        <w:t xml:space="preserve">comply </w:t>
      </w:r>
      <w:r w:rsidR="00A5426A">
        <w:rPr>
          <w:bCs/>
          <w:sz w:val="22"/>
          <w:szCs w:val="22"/>
        </w:rPr>
        <w:t xml:space="preserve">and </w:t>
      </w:r>
      <w:r w:rsidR="00267CAE">
        <w:rPr>
          <w:bCs/>
          <w:sz w:val="22"/>
          <w:szCs w:val="22"/>
        </w:rPr>
        <w:t xml:space="preserve">the sustainability of the </w:t>
      </w:r>
      <w:r w:rsidR="00A5426A">
        <w:rPr>
          <w:bCs/>
          <w:sz w:val="22"/>
          <w:szCs w:val="22"/>
        </w:rPr>
        <w:t>gender mainstreaming process</w:t>
      </w:r>
      <w:r w:rsidR="00267CAE">
        <w:rPr>
          <w:bCs/>
          <w:sz w:val="22"/>
          <w:szCs w:val="22"/>
        </w:rPr>
        <w:t xml:space="preserve">. </w:t>
      </w:r>
      <w:r w:rsidR="00267CAE" w:rsidRPr="00267CAE">
        <w:rPr>
          <w:bCs/>
          <w:sz w:val="22"/>
          <w:szCs w:val="22"/>
        </w:rPr>
        <w:t xml:space="preserve"> </w:t>
      </w:r>
    </w:p>
    <w:p w:rsidR="004B3A58" w:rsidRPr="0039448E" w:rsidRDefault="00267CAE" w:rsidP="008A3246">
      <w:pPr>
        <w:ind w:right="-540"/>
        <w:rPr>
          <w:bCs/>
          <w:sz w:val="16"/>
          <w:szCs w:val="22"/>
        </w:rPr>
      </w:pPr>
      <w:r w:rsidRPr="00267CAE">
        <w:rPr>
          <w:bCs/>
          <w:sz w:val="22"/>
          <w:szCs w:val="22"/>
        </w:rPr>
        <w:t xml:space="preserve"> </w:t>
      </w:r>
    </w:p>
    <w:p w:rsidR="00A5426A" w:rsidRPr="00A5426A" w:rsidRDefault="00A5426A" w:rsidP="008A3246">
      <w:pPr>
        <w:ind w:right="-540"/>
        <w:rPr>
          <w:bCs/>
          <w:sz w:val="22"/>
          <w:szCs w:val="22"/>
        </w:rPr>
      </w:pPr>
      <w:r w:rsidRPr="00A5426A">
        <w:rPr>
          <w:bCs/>
          <w:sz w:val="22"/>
          <w:szCs w:val="22"/>
        </w:rPr>
        <w:t xml:space="preserve">4.    Although gender equity concerns seemed to be making headway in the </w:t>
      </w:r>
      <w:r w:rsidRPr="00A5426A">
        <w:rPr>
          <w:b/>
          <w:bCs/>
          <w:sz w:val="22"/>
          <w:szCs w:val="22"/>
        </w:rPr>
        <w:t xml:space="preserve">CCS and </w:t>
      </w:r>
      <w:r>
        <w:rPr>
          <w:b/>
          <w:bCs/>
          <w:sz w:val="22"/>
          <w:szCs w:val="22"/>
        </w:rPr>
        <w:t xml:space="preserve">biennial </w:t>
      </w:r>
      <w:r w:rsidRPr="00A5426A">
        <w:rPr>
          <w:b/>
          <w:bCs/>
          <w:sz w:val="22"/>
          <w:szCs w:val="22"/>
        </w:rPr>
        <w:t>work plans</w:t>
      </w:r>
      <w:r w:rsidRPr="00A5426A">
        <w:rPr>
          <w:bCs/>
          <w:sz w:val="22"/>
          <w:szCs w:val="22"/>
        </w:rPr>
        <w:t xml:space="preserve"> of the two sampled countries, these planning documents did not reflect WHO and PAHO directives on gender as a </w:t>
      </w:r>
      <w:r w:rsidRPr="00A5426A">
        <w:rPr>
          <w:b/>
          <w:bCs/>
          <w:sz w:val="22"/>
          <w:szCs w:val="22"/>
        </w:rPr>
        <w:t>cross-cutting issue</w:t>
      </w:r>
      <w:r w:rsidRPr="00A5426A">
        <w:rPr>
          <w:bCs/>
          <w:sz w:val="22"/>
          <w:szCs w:val="22"/>
        </w:rPr>
        <w:t xml:space="preserve"> in country programming. Aside from lacking a gendered situation analysis that provided basis for gender-related actions, these documents revealed a disconnect between comprehensive gender-related policy statements, and concrete activities that were part of the mainstream of technical cooperation in the country.   An important boost for gender integration in the work plans proved to be the presence of a PAHO gender focal point in the CO and the collaborative engagement of gender experts working in other UN agencies, government offices, and civil society.</w:t>
      </w:r>
    </w:p>
    <w:p w:rsidR="009571FA" w:rsidRPr="00557D9D" w:rsidRDefault="009571FA" w:rsidP="008A3246">
      <w:pPr>
        <w:ind w:right="-540"/>
        <w:rPr>
          <w:bCs/>
          <w:sz w:val="14"/>
        </w:rPr>
      </w:pPr>
    </w:p>
    <w:p w:rsidR="009571FA" w:rsidRPr="00E2689E" w:rsidRDefault="00A5426A" w:rsidP="008A3246">
      <w:pPr>
        <w:ind w:right="-540"/>
        <w:rPr>
          <w:sz w:val="22"/>
          <w:szCs w:val="22"/>
        </w:rPr>
      </w:pPr>
      <w:r w:rsidRPr="00E2689E">
        <w:rPr>
          <w:bCs/>
          <w:sz w:val="22"/>
          <w:szCs w:val="22"/>
        </w:rPr>
        <w:t xml:space="preserve">5.    </w:t>
      </w:r>
      <w:r w:rsidR="001038E3" w:rsidRPr="00E2689E">
        <w:rPr>
          <w:bCs/>
          <w:sz w:val="22"/>
          <w:szCs w:val="22"/>
        </w:rPr>
        <w:t xml:space="preserve">While PAHO has achieved sex parity in P staffing at HQ, challenges remain in attaining parity at country level and in some P categories. </w:t>
      </w:r>
      <w:r w:rsidR="001038E3" w:rsidRPr="00E2689E">
        <w:rPr>
          <w:sz w:val="22"/>
          <w:szCs w:val="22"/>
        </w:rPr>
        <w:t xml:space="preserve"> </w:t>
      </w:r>
      <w:r w:rsidR="001038E3" w:rsidRPr="00E2689E">
        <w:rPr>
          <w:b/>
          <w:sz w:val="22"/>
          <w:szCs w:val="22"/>
        </w:rPr>
        <w:t>P4 stands out as the P grade with the lowest female representation.</w:t>
      </w:r>
      <w:r w:rsidR="001038E3" w:rsidRPr="00E2689E">
        <w:rPr>
          <w:sz w:val="22"/>
          <w:szCs w:val="22"/>
        </w:rPr>
        <w:t xml:space="preserve"> </w:t>
      </w:r>
      <w:r w:rsidR="00E2689E">
        <w:rPr>
          <w:sz w:val="22"/>
          <w:szCs w:val="22"/>
        </w:rPr>
        <w:t>It is noteworthy that w</w:t>
      </w:r>
      <w:r w:rsidR="001038E3" w:rsidRPr="00E2689E">
        <w:rPr>
          <w:sz w:val="22"/>
          <w:szCs w:val="22"/>
        </w:rPr>
        <w:t xml:space="preserve">hile PAHO ranks first among all WHO Regions and WHO/HQ in sex parity among </w:t>
      </w:r>
      <w:r w:rsidR="00E2689E" w:rsidRPr="00E2689E">
        <w:rPr>
          <w:sz w:val="22"/>
          <w:szCs w:val="22"/>
        </w:rPr>
        <w:t>P and D</w:t>
      </w:r>
      <w:r w:rsidR="001038E3" w:rsidRPr="00E2689E">
        <w:rPr>
          <w:sz w:val="22"/>
          <w:szCs w:val="22"/>
        </w:rPr>
        <w:t xml:space="preserve"> grades other than P4</w:t>
      </w:r>
      <w:r w:rsidR="00E2689E" w:rsidRPr="00E2689E">
        <w:rPr>
          <w:sz w:val="22"/>
          <w:szCs w:val="22"/>
        </w:rPr>
        <w:t xml:space="preserve">, it </w:t>
      </w:r>
      <w:r w:rsidR="001038E3" w:rsidRPr="00E2689E">
        <w:rPr>
          <w:sz w:val="22"/>
          <w:szCs w:val="22"/>
        </w:rPr>
        <w:t>ranks fourth</w:t>
      </w:r>
      <w:r w:rsidR="00E2689E" w:rsidRPr="00E2689E">
        <w:rPr>
          <w:sz w:val="22"/>
          <w:szCs w:val="22"/>
        </w:rPr>
        <w:t xml:space="preserve"> in this particular grade. P4 is of vital </w:t>
      </w:r>
      <w:r w:rsidR="001038E3" w:rsidRPr="00E2689E">
        <w:rPr>
          <w:sz w:val="22"/>
          <w:szCs w:val="22"/>
        </w:rPr>
        <w:t xml:space="preserve">importance for sex parity, since it comprises half of all professional staff and represents the main pool for </w:t>
      </w:r>
      <w:r w:rsidR="00E2689E" w:rsidRPr="00E2689E">
        <w:rPr>
          <w:sz w:val="22"/>
          <w:szCs w:val="22"/>
        </w:rPr>
        <w:t xml:space="preserve">future </w:t>
      </w:r>
      <w:r w:rsidR="001038E3" w:rsidRPr="00E2689E">
        <w:rPr>
          <w:sz w:val="22"/>
          <w:szCs w:val="22"/>
        </w:rPr>
        <w:t>promotion at managerial levels</w:t>
      </w:r>
      <w:r w:rsidR="00E2689E" w:rsidRPr="00E2689E">
        <w:rPr>
          <w:sz w:val="22"/>
          <w:szCs w:val="22"/>
        </w:rPr>
        <w:t>.</w:t>
      </w:r>
      <w:r w:rsidR="009571FA" w:rsidRPr="00E2689E">
        <w:rPr>
          <w:sz w:val="22"/>
          <w:szCs w:val="22"/>
        </w:rPr>
        <w:t xml:space="preserve"> </w:t>
      </w:r>
    </w:p>
    <w:p w:rsidR="009571FA" w:rsidRPr="0039448E" w:rsidRDefault="009571FA" w:rsidP="008A3246">
      <w:pPr>
        <w:ind w:right="-540"/>
        <w:rPr>
          <w:bCs/>
          <w:sz w:val="14"/>
        </w:rPr>
      </w:pPr>
    </w:p>
    <w:p w:rsidR="00E2689E" w:rsidRDefault="00E2689E" w:rsidP="008A3246">
      <w:pPr>
        <w:ind w:right="-540"/>
        <w:rPr>
          <w:rFonts w:cs="Arial"/>
          <w:bCs/>
          <w:sz w:val="22"/>
          <w:szCs w:val="22"/>
        </w:rPr>
      </w:pPr>
      <w:r>
        <w:rPr>
          <w:sz w:val="22"/>
          <w:szCs w:val="20"/>
        </w:rPr>
        <w:t xml:space="preserve">6.   </w:t>
      </w:r>
      <w:r w:rsidR="009571FA">
        <w:rPr>
          <w:sz w:val="22"/>
          <w:szCs w:val="20"/>
        </w:rPr>
        <w:t xml:space="preserve">The wide variation in the use and promotion of </w:t>
      </w:r>
      <w:r w:rsidR="009571FA" w:rsidRPr="00872118">
        <w:rPr>
          <w:rFonts w:cs="Arial"/>
          <w:bCs/>
          <w:sz w:val="22"/>
          <w:szCs w:val="22"/>
        </w:rPr>
        <w:t>sex- disaggregated data</w:t>
      </w:r>
      <w:r w:rsidR="009571FA">
        <w:rPr>
          <w:rFonts w:cs="Arial"/>
          <w:b/>
          <w:bCs/>
          <w:i/>
          <w:sz w:val="22"/>
          <w:szCs w:val="22"/>
        </w:rPr>
        <w:t xml:space="preserve"> </w:t>
      </w:r>
      <w:r w:rsidR="009571FA" w:rsidRPr="005751BE">
        <w:rPr>
          <w:rFonts w:cs="Arial"/>
          <w:bCs/>
          <w:sz w:val="22"/>
          <w:szCs w:val="22"/>
        </w:rPr>
        <w:t>and gender analysis</w:t>
      </w:r>
      <w:r w:rsidR="009571FA">
        <w:rPr>
          <w:rFonts w:cs="Arial"/>
          <w:bCs/>
          <w:sz w:val="22"/>
          <w:szCs w:val="22"/>
        </w:rPr>
        <w:t xml:space="preserve"> </w:t>
      </w:r>
      <w:r>
        <w:rPr>
          <w:rFonts w:cs="Arial"/>
          <w:bCs/>
          <w:sz w:val="22"/>
          <w:szCs w:val="22"/>
        </w:rPr>
        <w:t>between the sampled documents</w:t>
      </w:r>
      <w:r w:rsidRPr="00E2689E">
        <w:rPr>
          <w:rFonts w:cs="Arial"/>
          <w:bCs/>
          <w:sz w:val="24"/>
        </w:rPr>
        <w:t xml:space="preserve"> </w:t>
      </w:r>
      <w:r>
        <w:rPr>
          <w:rFonts w:cs="Arial"/>
          <w:bCs/>
          <w:sz w:val="24"/>
        </w:rPr>
        <w:t xml:space="preserve">and Director’s presentations, </w:t>
      </w:r>
      <w:r w:rsidR="008A3246">
        <w:rPr>
          <w:rFonts w:cs="Arial"/>
          <w:bCs/>
          <w:sz w:val="24"/>
        </w:rPr>
        <w:t>i</w:t>
      </w:r>
      <w:r w:rsidR="009571FA">
        <w:rPr>
          <w:rFonts w:cs="Arial"/>
          <w:bCs/>
          <w:sz w:val="22"/>
          <w:szCs w:val="22"/>
        </w:rPr>
        <w:t xml:space="preserve">s just a reflection of the varying levels of actual gender integration in the work of the different organizational technical units and </w:t>
      </w:r>
      <w:r>
        <w:rPr>
          <w:rFonts w:cs="Arial"/>
          <w:bCs/>
          <w:sz w:val="22"/>
          <w:szCs w:val="22"/>
        </w:rPr>
        <w:t xml:space="preserve">country </w:t>
      </w:r>
      <w:r w:rsidR="009571FA">
        <w:rPr>
          <w:rFonts w:cs="Arial"/>
          <w:bCs/>
          <w:sz w:val="22"/>
          <w:szCs w:val="22"/>
        </w:rPr>
        <w:t xml:space="preserve">offices. </w:t>
      </w:r>
    </w:p>
    <w:p w:rsidR="008A3246" w:rsidRPr="0039448E" w:rsidRDefault="008A3246" w:rsidP="008A3246">
      <w:pPr>
        <w:pStyle w:val="ListParagraph"/>
        <w:ind w:left="360" w:right="-540"/>
        <w:jc w:val="both"/>
        <w:rPr>
          <w:bCs/>
          <w:sz w:val="16"/>
          <w:lang w:val="en-US"/>
        </w:rPr>
      </w:pPr>
    </w:p>
    <w:p w:rsidR="008A3246" w:rsidRPr="008A3246" w:rsidRDefault="008A3246" w:rsidP="0039448E">
      <w:pPr>
        <w:ind w:right="-540"/>
        <w:jc w:val="both"/>
        <w:rPr>
          <w:rFonts w:cs="Arial"/>
          <w:bCs/>
          <w:sz w:val="16"/>
          <w:lang w:val="en-US"/>
        </w:rPr>
      </w:pPr>
      <w:r w:rsidRPr="008A3246">
        <w:rPr>
          <w:rFonts w:cs="Arial"/>
          <w:bCs/>
          <w:sz w:val="22"/>
          <w:szCs w:val="22"/>
        </w:rPr>
        <w:t xml:space="preserve">7. </w:t>
      </w:r>
      <w:r>
        <w:rPr>
          <w:rFonts w:cs="Arial"/>
          <w:bCs/>
          <w:sz w:val="22"/>
          <w:szCs w:val="22"/>
        </w:rPr>
        <w:t xml:space="preserve"> </w:t>
      </w:r>
      <w:r w:rsidRPr="008A3246">
        <w:rPr>
          <w:rFonts w:cs="Arial"/>
          <w:bCs/>
          <w:sz w:val="22"/>
          <w:szCs w:val="22"/>
        </w:rPr>
        <w:t>The role of the PAHO Gender network was deemed central to the mainstreaming process by surveyed and interviewed respondents. Its influence was also made evident through the CCS, work plans and some key documents in whose preparation this network had collaborated.</w:t>
      </w:r>
    </w:p>
    <w:p w:rsidR="009571FA" w:rsidRPr="0039448E" w:rsidRDefault="009571FA" w:rsidP="008A3246">
      <w:pPr>
        <w:ind w:right="-540"/>
        <w:rPr>
          <w:rFonts w:cs="Arial"/>
          <w:bCs/>
          <w:color w:val="000000"/>
          <w:sz w:val="16"/>
          <w:szCs w:val="22"/>
        </w:rPr>
      </w:pPr>
    </w:p>
    <w:p w:rsidR="008A3246" w:rsidRPr="008A3246" w:rsidRDefault="008A3246" w:rsidP="008A3246">
      <w:pPr>
        <w:ind w:right="-450"/>
        <w:jc w:val="both"/>
        <w:rPr>
          <w:sz w:val="22"/>
          <w:szCs w:val="22"/>
          <w:lang w:val="en-US"/>
        </w:rPr>
      </w:pPr>
      <w:r w:rsidRPr="008A3246">
        <w:rPr>
          <w:bCs/>
          <w:sz w:val="22"/>
          <w:szCs w:val="22"/>
        </w:rPr>
        <w:t xml:space="preserve">8. </w:t>
      </w:r>
      <w:r>
        <w:rPr>
          <w:bCs/>
          <w:sz w:val="22"/>
          <w:szCs w:val="22"/>
        </w:rPr>
        <w:t xml:space="preserve">  </w:t>
      </w:r>
      <w:r w:rsidRPr="008A3246">
        <w:rPr>
          <w:bCs/>
          <w:sz w:val="22"/>
          <w:szCs w:val="22"/>
        </w:rPr>
        <w:t xml:space="preserve">Overall, the results of this assessment suggest that awareness and even “knowledge” of general gender mandates and concepts (of the type transmitted through one-time workshops or a set of tools and guidelines) seemed to act as entry points, at best, but not as drivers of gender mainstreaming. A need was identified for </w:t>
      </w:r>
      <w:r w:rsidRPr="008A3246">
        <w:rPr>
          <w:b/>
          <w:bCs/>
          <w:sz w:val="22"/>
          <w:szCs w:val="22"/>
        </w:rPr>
        <w:t>sustained</w:t>
      </w:r>
      <w:r w:rsidRPr="008A3246">
        <w:rPr>
          <w:bCs/>
          <w:sz w:val="22"/>
          <w:szCs w:val="22"/>
        </w:rPr>
        <w:t xml:space="preserve"> and </w:t>
      </w:r>
      <w:r w:rsidRPr="008A3246">
        <w:rPr>
          <w:b/>
          <w:bCs/>
          <w:sz w:val="22"/>
          <w:szCs w:val="22"/>
        </w:rPr>
        <w:t>tailored</w:t>
      </w:r>
      <w:r w:rsidRPr="008A3246">
        <w:rPr>
          <w:bCs/>
          <w:sz w:val="22"/>
          <w:szCs w:val="22"/>
        </w:rPr>
        <w:t xml:space="preserve"> technical collaboration to build and apply </w:t>
      </w:r>
      <w:r w:rsidR="006F643D" w:rsidRPr="008A3246">
        <w:rPr>
          <w:bCs/>
          <w:sz w:val="22"/>
          <w:szCs w:val="22"/>
        </w:rPr>
        <w:t>knowledge that</w:t>
      </w:r>
      <w:r w:rsidRPr="008A3246">
        <w:rPr>
          <w:bCs/>
          <w:sz w:val="22"/>
          <w:szCs w:val="22"/>
        </w:rPr>
        <w:t xml:space="preserve"> emphasized participatory </w:t>
      </w:r>
      <w:r w:rsidRPr="008A3246">
        <w:rPr>
          <w:b/>
          <w:sz w:val="22"/>
          <w:szCs w:val="22"/>
          <w:lang w:val="en-US"/>
        </w:rPr>
        <w:t>bottom-up,</w:t>
      </w:r>
      <w:r w:rsidRPr="008A3246">
        <w:rPr>
          <w:sz w:val="22"/>
          <w:szCs w:val="22"/>
          <w:lang w:val="en-US"/>
        </w:rPr>
        <w:t xml:space="preserve"> instead of </w:t>
      </w:r>
      <w:r w:rsidRPr="008A3246">
        <w:rPr>
          <w:b/>
          <w:sz w:val="22"/>
          <w:szCs w:val="22"/>
          <w:lang w:val="en-US"/>
        </w:rPr>
        <w:t>top-down</w:t>
      </w:r>
      <w:r w:rsidRPr="008A3246">
        <w:rPr>
          <w:sz w:val="22"/>
          <w:szCs w:val="22"/>
          <w:lang w:val="en-US"/>
        </w:rPr>
        <w:t xml:space="preserve"> approaches.</w:t>
      </w:r>
    </w:p>
    <w:p w:rsidR="008A3246" w:rsidRPr="0039448E" w:rsidRDefault="008A3246" w:rsidP="008A3246">
      <w:pPr>
        <w:ind w:right="-450"/>
        <w:jc w:val="both"/>
        <w:rPr>
          <w:sz w:val="16"/>
          <w:szCs w:val="22"/>
          <w:lang w:val="en-US"/>
        </w:rPr>
      </w:pPr>
    </w:p>
    <w:p w:rsidR="008A3246" w:rsidRPr="008A3246" w:rsidRDefault="008A3246" w:rsidP="008A3246">
      <w:pPr>
        <w:ind w:right="-450"/>
        <w:rPr>
          <w:bCs/>
          <w:sz w:val="22"/>
          <w:szCs w:val="22"/>
        </w:rPr>
      </w:pPr>
      <w:r w:rsidRPr="008A3246">
        <w:rPr>
          <w:sz w:val="22"/>
          <w:szCs w:val="22"/>
          <w:lang w:val="en-US"/>
        </w:rPr>
        <w:t xml:space="preserve">9. </w:t>
      </w:r>
      <w:r>
        <w:rPr>
          <w:sz w:val="22"/>
          <w:szCs w:val="22"/>
          <w:lang w:val="en-US"/>
        </w:rPr>
        <w:t xml:space="preserve">   </w:t>
      </w:r>
      <w:r w:rsidRPr="008A3246">
        <w:rPr>
          <w:bCs/>
          <w:sz w:val="22"/>
          <w:szCs w:val="22"/>
        </w:rPr>
        <w:t xml:space="preserve">Most importantly, the assessment pointed out that while technical capacity is necessary, the political commitment and pro-active support of managers is essential and imperative to drive the gender mainstreaming process, and ensure its sustainability and accountability. </w:t>
      </w:r>
    </w:p>
    <w:p w:rsidR="008A3246" w:rsidRDefault="008A3246" w:rsidP="008A3246">
      <w:pPr>
        <w:ind w:right="-450"/>
        <w:jc w:val="both"/>
        <w:rPr>
          <w:sz w:val="22"/>
          <w:szCs w:val="22"/>
        </w:rPr>
      </w:pPr>
    </w:p>
    <w:p w:rsidR="0039448E" w:rsidRPr="0039448E" w:rsidRDefault="0039448E" w:rsidP="008A3246">
      <w:pPr>
        <w:ind w:right="-450"/>
        <w:jc w:val="both"/>
        <w:rPr>
          <w:b/>
          <w:sz w:val="22"/>
          <w:szCs w:val="22"/>
        </w:rPr>
      </w:pPr>
      <w:r w:rsidRPr="0039448E">
        <w:rPr>
          <w:b/>
          <w:sz w:val="22"/>
          <w:szCs w:val="22"/>
        </w:rPr>
        <w:t>Recommendations</w:t>
      </w:r>
    </w:p>
    <w:p w:rsidR="0039448E" w:rsidRPr="008A3246" w:rsidRDefault="0039448E" w:rsidP="008A3246">
      <w:pPr>
        <w:ind w:right="-450"/>
        <w:jc w:val="both"/>
        <w:rPr>
          <w:sz w:val="22"/>
          <w:szCs w:val="22"/>
        </w:rPr>
      </w:pPr>
    </w:p>
    <w:p w:rsidR="009571FA" w:rsidRPr="000F5684" w:rsidRDefault="009571FA" w:rsidP="008A3246">
      <w:pPr>
        <w:pStyle w:val="ListParagraph"/>
        <w:ind w:left="0" w:right="-540"/>
        <w:rPr>
          <w:sz w:val="22"/>
          <w:szCs w:val="22"/>
        </w:rPr>
      </w:pPr>
      <w:r>
        <w:rPr>
          <w:sz w:val="22"/>
          <w:szCs w:val="22"/>
        </w:rPr>
        <w:t xml:space="preserve">Several of </w:t>
      </w:r>
      <w:r w:rsidR="00956DA4">
        <w:rPr>
          <w:sz w:val="22"/>
          <w:szCs w:val="22"/>
        </w:rPr>
        <w:t xml:space="preserve">following recommended approaches </w:t>
      </w:r>
      <w:r>
        <w:rPr>
          <w:sz w:val="22"/>
          <w:szCs w:val="22"/>
        </w:rPr>
        <w:t xml:space="preserve">were directly voiced by the planners during the interviews. These recommendations are not necessarily new ideas since some of them </w:t>
      </w:r>
      <w:r w:rsidRPr="000F5684">
        <w:rPr>
          <w:sz w:val="22"/>
          <w:szCs w:val="22"/>
        </w:rPr>
        <w:t xml:space="preserve">may have been already considered </w:t>
      </w:r>
      <w:r>
        <w:rPr>
          <w:sz w:val="22"/>
          <w:szCs w:val="22"/>
        </w:rPr>
        <w:t xml:space="preserve">and tested </w:t>
      </w:r>
      <w:r w:rsidRPr="000F5684">
        <w:rPr>
          <w:sz w:val="22"/>
          <w:szCs w:val="22"/>
        </w:rPr>
        <w:t>by the Organization</w:t>
      </w:r>
      <w:r>
        <w:rPr>
          <w:sz w:val="22"/>
          <w:szCs w:val="22"/>
        </w:rPr>
        <w:t xml:space="preserve"> during the last several months</w:t>
      </w:r>
      <w:r w:rsidRPr="000F5684">
        <w:rPr>
          <w:sz w:val="22"/>
          <w:szCs w:val="22"/>
        </w:rPr>
        <w:t>. Needless to say, such undertaking</w:t>
      </w:r>
      <w:r>
        <w:rPr>
          <w:sz w:val="22"/>
          <w:szCs w:val="22"/>
        </w:rPr>
        <w:t>s</w:t>
      </w:r>
      <w:r w:rsidRPr="000F5684">
        <w:rPr>
          <w:sz w:val="22"/>
          <w:szCs w:val="22"/>
        </w:rPr>
        <w:t xml:space="preserve"> would extend beyond the responsibilities of the existing gender network. </w:t>
      </w:r>
    </w:p>
    <w:p w:rsidR="00956DA4" w:rsidRDefault="009571FA" w:rsidP="008A3246">
      <w:pPr>
        <w:ind w:left="288" w:right="-540" w:hanging="288"/>
        <w:rPr>
          <w:i/>
          <w:sz w:val="22"/>
        </w:rPr>
      </w:pPr>
      <w:r>
        <w:rPr>
          <w:i/>
          <w:sz w:val="22"/>
        </w:rPr>
        <w:t xml:space="preserve">        </w:t>
      </w:r>
    </w:p>
    <w:p w:rsidR="009571FA" w:rsidRDefault="009571FA" w:rsidP="008A3246">
      <w:pPr>
        <w:ind w:left="288" w:right="-540" w:hanging="288"/>
        <w:rPr>
          <w:i/>
          <w:sz w:val="22"/>
        </w:rPr>
      </w:pPr>
      <w:r>
        <w:rPr>
          <w:i/>
          <w:sz w:val="22"/>
        </w:rPr>
        <w:t>On c</w:t>
      </w:r>
      <w:r w:rsidRPr="009B57BB">
        <w:rPr>
          <w:i/>
          <w:sz w:val="22"/>
        </w:rPr>
        <w:t>apacity building</w:t>
      </w:r>
    </w:p>
    <w:p w:rsidR="009571FA" w:rsidRPr="00CB3312" w:rsidRDefault="009571FA" w:rsidP="008A3246">
      <w:pPr>
        <w:ind w:left="288" w:right="-540"/>
        <w:rPr>
          <w:sz w:val="12"/>
          <w:szCs w:val="22"/>
        </w:rPr>
      </w:pPr>
    </w:p>
    <w:p w:rsidR="009571FA" w:rsidRPr="00764E5A" w:rsidRDefault="001A27C8" w:rsidP="00581596">
      <w:pPr>
        <w:pStyle w:val="ListParagraph"/>
        <w:numPr>
          <w:ilvl w:val="0"/>
          <w:numId w:val="53"/>
        </w:numPr>
        <w:ind w:left="360" w:right="-540"/>
        <w:rPr>
          <w:sz w:val="22"/>
          <w:szCs w:val="22"/>
        </w:rPr>
      </w:pPr>
      <w:r>
        <w:rPr>
          <w:sz w:val="22"/>
          <w:lang w:val="en-US"/>
        </w:rPr>
        <w:t xml:space="preserve">Build gender capacity that goes beyond </w:t>
      </w:r>
      <w:r w:rsidR="009571FA" w:rsidRPr="00764E5A">
        <w:rPr>
          <w:sz w:val="22"/>
          <w:lang w:val="en-US"/>
        </w:rPr>
        <w:t>sensitization or gener</w:t>
      </w:r>
      <w:r>
        <w:rPr>
          <w:sz w:val="22"/>
          <w:lang w:val="en-US"/>
        </w:rPr>
        <w:t xml:space="preserve">al </w:t>
      </w:r>
      <w:r w:rsidR="009571FA" w:rsidRPr="00764E5A">
        <w:rPr>
          <w:sz w:val="22"/>
          <w:lang w:val="en-US"/>
        </w:rPr>
        <w:t xml:space="preserve">training </w:t>
      </w:r>
      <w:r>
        <w:rPr>
          <w:sz w:val="22"/>
          <w:lang w:val="en-US"/>
        </w:rPr>
        <w:t xml:space="preserve">towards competency </w:t>
      </w:r>
      <w:r w:rsidR="009571FA" w:rsidRPr="00764E5A">
        <w:rPr>
          <w:sz w:val="22"/>
        </w:rPr>
        <w:t xml:space="preserve">tailored to key substantive areas of knowledge and action. This will require focusing on few strategic subjects and staff groups at a time and strengthening the availability of specialized technical support. Working on the intersections of gender with the other five cross-cutting issues could </w:t>
      </w:r>
      <w:r w:rsidR="007D2607">
        <w:rPr>
          <w:sz w:val="22"/>
        </w:rPr>
        <w:t xml:space="preserve">have a multiplier effect. </w:t>
      </w:r>
      <w:r w:rsidR="009571FA" w:rsidRPr="00764E5A">
        <w:rPr>
          <w:sz w:val="22"/>
          <w:lang w:val="en-US"/>
        </w:rPr>
        <w:t xml:space="preserve">Specific training for managers in HQ and CO </w:t>
      </w:r>
      <w:r w:rsidR="007D2607">
        <w:rPr>
          <w:sz w:val="22"/>
          <w:lang w:val="en-US"/>
        </w:rPr>
        <w:t>is strongly emphasized.</w:t>
      </w:r>
    </w:p>
    <w:p w:rsidR="009571FA" w:rsidRPr="00CB3312" w:rsidRDefault="009571FA" w:rsidP="008A3246">
      <w:pPr>
        <w:ind w:left="-3048" w:right="-540"/>
        <w:rPr>
          <w:sz w:val="12"/>
          <w:szCs w:val="22"/>
        </w:rPr>
      </w:pPr>
    </w:p>
    <w:p w:rsidR="009571FA" w:rsidRPr="00764E5A" w:rsidRDefault="007D2607" w:rsidP="00581596">
      <w:pPr>
        <w:pStyle w:val="ListParagraph"/>
        <w:numPr>
          <w:ilvl w:val="0"/>
          <w:numId w:val="53"/>
        </w:numPr>
        <w:ind w:left="360" w:right="-540"/>
        <w:rPr>
          <w:b/>
          <w:sz w:val="22"/>
          <w:lang w:val="en-US"/>
        </w:rPr>
      </w:pPr>
      <w:r>
        <w:rPr>
          <w:sz w:val="22"/>
        </w:rPr>
        <w:t xml:space="preserve">Bolster </w:t>
      </w:r>
      <w:r w:rsidR="009571FA" w:rsidRPr="00764E5A">
        <w:rPr>
          <w:sz w:val="22"/>
          <w:lang w:val="en-US"/>
        </w:rPr>
        <w:t xml:space="preserve">a participatory </w:t>
      </w:r>
      <w:r w:rsidR="009571FA" w:rsidRPr="007D2607">
        <w:rPr>
          <w:b/>
          <w:sz w:val="22"/>
          <w:lang w:val="en-US"/>
        </w:rPr>
        <w:t>bottom-up,</w:t>
      </w:r>
      <w:r w:rsidR="009571FA" w:rsidRPr="00764E5A">
        <w:rPr>
          <w:sz w:val="22"/>
          <w:lang w:val="en-US"/>
        </w:rPr>
        <w:t xml:space="preserve"> </w:t>
      </w:r>
      <w:r>
        <w:rPr>
          <w:sz w:val="22"/>
          <w:lang w:val="en-US"/>
        </w:rPr>
        <w:t xml:space="preserve">rather than a </w:t>
      </w:r>
      <w:r w:rsidR="009571FA" w:rsidRPr="00764E5A">
        <w:rPr>
          <w:sz w:val="22"/>
          <w:lang w:val="en-US"/>
        </w:rPr>
        <w:t>top-down approach to mainstreaming.</w:t>
      </w:r>
      <w:r>
        <w:rPr>
          <w:sz w:val="22"/>
          <w:lang w:val="en-US"/>
        </w:rPr>
        <w:t xml:space="preserve"> </w:t>
      </w:r>
      <w:r w:rsidR="009571FA" w:rsidRPr="00764E5A">
        <w:rPr>
          <w:sz w:val="22"/>
          <w:lang w:val="en-US"/>
        </w:rPr>
        <w:t>This would entail the active participation of staff in the development of conceptual frameworks</w:t>
      </w:r>
      <w:r>
        <w:rPr>
          <w:sz w:val="22"/>
          <w:lang w:val="en-US"/>
        </w:rPr>
        <w:t xml:space="preserve">, evidence, </w:t>
      </w:r>
      <w:r w:rsidR="009571FA" w:rsidRPr="00764E5A">
        <w:rPr>
          <w:sz w:val="22"/>
          <w:lang w:val="en-US"/>
        </w:rPr>
        <w:t xml:space="preserve">tools, and </w:t>
      </w:r>
      <w:r>
        <w:rPr>
          <w:sz w:val="22"/>
          <w:lang w:val="en-US"/>
        </w:rPr>
        <w:t xml:space="preserve">experience on the ground, thus </w:t>
      </w:r>
      <w:r w:rsidR="009571FA" w:rsidRPr="00764E5A">
        <w:rPr>
          <w:sz w:val="22"/>
          <w:lang w:val="en-US"/>
        </w:rPr>
        <w:t>promoting ownership of knowledge</w:t>
      </w:r>
    </w:p>
    <w:p w:rsidR="009571FA" w:rsidRPr="008F786F" w:rsidRDefault="009571FA" w:rsidP="008A3246">
      <w:pPr>
        <w:pStyle w:val="ListParagraph"/>
        <w:ind w:left="-2184" w:right="-540"/>
        <w:rPr>
          <w:sz w:val="16"/>
          <w:lang w:val="en-US"/>
        </w:rPr>
      </w:pPr>
    </w:p>
    <w:p w:rsidR="009571FA" w:rsidRPr="00764E5A" w:rsidRDefault="007D2607" w:rsidP="00581596">
      <w:pPr>
        <w:pStyle w:val="ListParagraph"/>
        <w:numPr>
          <w:ilvl w:val="0"/>
          <w:numId w:val="53"/>
        </w:numPr>
        <w:ind w:left="360" w:right="-540"/>
        <w:rPr>
          <w:b/>
          <w:sz w:val="22"/>
          <w:lang w:val="en-US"/>
        </w:rPr>
      </w:pPr>
      <w:r>
        <w:rPr>
          <w:sz w:val="22"/>
          <w:lang w:val="en-US"/>
        </w:rPr>
        <w:t xml:space="preserve">Engage </w:t>
      </w:r>
      <w:r w:rsidR="009571FA" w:rsidRPr="00764E5A">
        <w:rPr>
          <w:sz w:val="22"/>
          <w:lang w:val="en-US"/>
        </w:rPr>
        <w:t xml:space="preserve">the Staff Association </w:t>
      </w:r>
      <w:r>
        <w:rPr>
          <w:sz w:val="22"/>
          <w:lang w:val="en-US"/>
        </w:rPr>
        <w:t>in placing</w:t>
      </w:r>
      <w:r w:rsidR="009571FA" w:rsidRPr="00764E5A">
        <w:rPr>
          <w:sz w:val="22"/>
          <w:lang w:val="en-US"/>
        </w:rPr>
        <w:t xml:space="preserve"> gender integration in the context of administrative concerns and internal human resources policies.</w:t>
      </w:r>
    </w:p>
    <w:p w:rsidR="009571FA" w:rsidRDefault="009571FA" w:rsidP="008A3246">
      <w:pPr>
        <w:ind w:left="-2856" w:right="-540"/>
        <w:rPr>
          <w:sz w:val="22"/>
          <w:lang w:val="en-US"/>
        </w:rPr>
      </w:pPr>
    </w:p>
    <w:p w:rsidR="009571FA" w:rsidRDefault="009571FA" w:rsidP="009575E4">
      <w:pPr>
        <w:ind w:right="-540"/>
        <w:rPr>
          <w:i/>
          <w:sz w:val="22"/>
          <w:lang w:val="en-US"/>
        </w:rPr>
      </w:pPr>
      <w:r w:rsidRPr="00477064">
        <w:rPr>
          <w:i/>
          <w:sz w:val="22"/>
          <w:lang w:val="en-US"/>
        </w:rPr>
        <w:t xml:space="preserve">On </w:t>
      </w:r>
      <w:r>
        <w:rPr>
          <w:i/>
          <w:sz w:val="22"/>
          <w:lang w:val="en-US"/>
        </w:rPr>
        <w:t>engendering th</w:t>
      </w:r>
      <w:r w:rsidRPr="00477064">
        <w:rPr>
          <w:i/>
          <w:sz w:val="22"/>
          <w:lang w:val="en-US"/>
        </w:rPr>
        <w:t>e planning cycle</w:t>
      </w:r>
    </w:p>
    <w:p w:rsidR="00764E5A" w:rsidRPr="008F786F" w:rsidRDefault="00764E5A" w:rsidP="008A3246">
      <w:pPr>
        <w:ind w:left="432" w:right="-540" w:hanging="432"/>
        <w:rPr>
          <w:sz w:val="16"/>
          <w:lang w:val="en-US"/>
        </w:rPr>
      </w:pPr>
    </w:p>
    <w:p w:rsidR="007D2607" w:rsidRDefault="007D2607" w:rsidP="00581596">
      <w:pPr>
        <w:pStyle w:val="ListParagraph"/>
        <w:numPr>
          <w:ilvl w:val="0"/>
          <w:numId w:val="53"/>
        </w:numPr>
        <w:tabs>
          <w:tab w:val="left" w:pos="1440"/>
        </w:tabs>
        <w:ind w:left="360" w:right="-540"/>
        <w:rPr>
          <w:sz w:val="22"/>
          <w:lang w:val="en-US"/>
        </w:rPr>
      </w:pPr>
      <w:r>
        <w:rPr>
          <w:sz w:val="22"/>
          <w:lang w:val="en-US"/>
        </w:rPr>
        <w:t>R</w:t>
      </w:r>
      <w:r w:rsidR="009571FA" w:rsidRPr="00764E5A">
        <w:rPr>
          <w:sz w:val="22"/>
          <w:lang w:val="en-US"/>
        </w:rPr>
        <w:t>evise the integration of gender in RERs</w:t>
      </w:r>
      <w:r w:rsidR="00FE6F98">
        <w:rPr>
          <w:sz w:val="22"/>
          <w:lang w:val="en-US"/>
        </w:rPr>
        <w:t xml:space="preserve"> </w:t>
      </w:r>
      <w:r w:rsidR="009571FA" w:rsidRPr="00764E5A">
        <w:rPr>
          <w:sz w:val="22"/>
          <w:lang w:val="en-US"/>
        </w:rPr>
        <w:t>if gender is to effectively become a cross-cutting issue.</w:t>
      </w:r>
    </w:p>
    <w:p w:rsidR="006F7A53" w:rsidRDefault="006F7A53" w:rsidP="006F7A53">
      <w:pPr>
        <w:pStyle w:val="ListParagraph"/>
        <w:tabs>
          <w:tab w:val="left" w:pos="1440"/>
        </w:tabs>
        <w:ind w:left="360" w:right="-540"/>
        <w:rPr>
          <w:sz w:val="22"/>
          <w:lang w:val="en-US"/>
        </w:rPr>
      </w:pPr>
    </w:p>
    <w:p w:rsidR="006F7A53" w:rsidRDefault="006F7A53" w:rsidP="00581596">
      <w:pPr>
        <w:pStyle w:val="ListParagraph"/>
        <w:numPr>
          <w:ilvl w:val="0"/>
          <w:numId w:val="53"/>
        </w:numPr>
        <w:tabs>
          <w:tab w:val="left" w:pos="1440"/>
        </w:tabs>
        <w:ind w:left="360" w:right="-540"/>
        <w:rPr>
          <w:sz w:val="22"/>
          <w:lang w:val="en-US"/>
        </w:rPr>
      </w:pPr>
      <w:r>
        <w:rPr>
          <w:sz w:val="22"/>
          <w:lang w:val="en-US"/>
        </w:rPr>
        <w:t xml:space="preserve">Bring the PAHO Gender network and the Office of Programming and Budget to collaborate in the preparation/revision of gender integration guidelines for the already ongoing processes of biennial programming and evaluation.  </w:t>
      </w:r>
    </w:p>
    <w:p w:rsidR="006F7A53" w:rsidRPr="006F7A53" w:rsidRDefault="006F7A53" w:rsidP="006F7A53">
      <w:pPr>
        <w:pStyle w:val="ListParagraph"/>
        <w:rPr>
          <w:sz w:val="22"/>
          <w:lang w:val="en-US"/>
        </w:rPr>
      </w:pPr>
    </w:p>
    <w:p w:rsidR="006F7A53" w:rsidRDefault="007D2607" w:rsidP="00581596">
      <w:pPr>
        <w:pStyle w:val="ListParagraph"/>
        <w:numPr>
          <w:ilvl w:val="0"/>
          <w:numId w:val="53"/>
        </w:numPr>
        <w:tabs>
          <w:tab w:val="left" w:pos="1440"/>
        </w:tabs>
        <w:ind w:left="360" w:right="-540"/>
        <w:rPr>
          <w:sz w:val="22"/>
          <w:lang w:val="en-US"/>
        </w:rPr>
      </w:pPr>
      <w:r w:rsidRPr="006F7A53">
        <w:rPr>
          <w:sz w:val="22"/>
          <w:lang w:val="en-US"/>
        </w:rPr>
        <w:t>E</w:t>
      </w:r>
      <w:r w:rsidR="009571FA" w:rsidRPr="006F7A53">
        <w:rPr>
          <w:sz w:val="22"/>
          <w:lang w:val="en-US"/>
        </w:rPr>
        <w:t xml:space="preserve">nsure the active participation of the GE network </w:t>
      </w:r>
      <w:r w:rsidRPr="006F7A53">
        <w:rPr>
          <w:sz w:val="22"/>
          <w:lang w:val="en-US"/>
        </w:rPr>
        <w:t>(regional, sub</w:t>
      </w:r>
      <w:r w:rsidR="006F7A53" w:rsidRPr="006F7A53">
        <w:rPr>
          <w:sz w:val="22"/>
          <w:lang w:val="en-US"/>
        </w:rPr>
        <w:t xml:space="preserve"> </w:t>
      </w:r>
      <w:r w:rsidRPr="006F7A53">
        <w:rPr>
          <w:sz w:val="22"/>
          <w:lang w:val="en-US"/>
        </w:rPr>
        <w:t>regional and national)</w:t>
      </w:r>
      <w:r w:rsidR="006F7A53" w:rsidRPr="006F7A53">
        <w:rPr>
          <w:sz w:val="22"/>
          <w:lang w:val="en-US"/>
        </w:rPr>
        <w:t xml:space="preserve"> </w:t>
      </w:r>
      <w:r w:rsidR="009571FA" w:rsidRPr="006F7A53">
        <w:rPr>
          <w:sz w:val="22"/>
          <w:lang w:val="en-US"/>
        </w:rPr>
        <w:t xml:space="preserve">in the planning phase of the programming cycle, and aim-- through different avenues-- to broaden the available gender expertise pool throughout the Organization.  </w:t>
      </w:r>
    </w:p>
    <w:p w:rsidR="006F7A53" w:rsidRPr="006F7A53" w:rsidRDefault="006F7A53" w:rsidP="006F7A53">
      <w:pPr>
        <w:pStyle w:val="ListParagraph"/>
        <w:rPr>
          <w:sz w:val="22"/>
          <w:lang w:val="en-US"/>
        </w:rPr>
      </w:pPr>
    </w:p>
    <w:p w:rsidR="009571FA" w:rsidRPr="006F7A53" w:rsidRDefault="006F7A53" w:rsidP="00581596">
      <w:pPr>
        <w:pStyle w:val="ListParagraph"/>
        <w:numPr>
          <w:ilvl w:val="0"/>
          <w:numId w:val="53"/>
        </w:numPr>
        <w:tabs>
          <w:tab w:val="left" w:pos="1440"/>
        </w:tabs>
        <w:ind w:left="360" w:right="-540"/>
        <w:rPr>
          <w:sz w:val="22"/>
          <w:lang w:val="en-US"/>
        </w:rPr>
      </w:pPr>
      <w:r>
        <w:rPr>
          <w:sz w:val="22"/>
          <w:lang w:val="en-US"/>
        </w:rPr>
        <w:t>S</w:t>
      </w:r>
      <w:r w:rsidR="009571FA" w:rsidRPr="006F7A53">
        <w:rPr>
          <w:sz w:val="22"/>
          <w:lang w:val="en-US"/>
        </w:rPr>
        <w:t xml:space="preserve">upport the development and </w:t>
      </w:r>
      <w:r w:rsidR="000C1E80">
        <w:rPr>
          <w:sz w:val="22"/>
          <w:lang w:val="en-US"/>
        </w:rPr>
        <w:t xml:space="preserve">institutionalization </w:t>
      </w:r>
      <w:r w:rsidR="009571FA" w:rsidRPr="006F7A53">
        <w:rPr>
          <w:sz w:val="22"/>
          <w:lang w:val="en-US"/>
        </w:rPr>
        <w:t xml:space="preserve">of monitoring indicators and </w:t>
      </w:r>
      <w:r w:rsidR="000C1E80">
        <w:rPr>
          <w:sz w:val="22"/>
          <w:lang w:val="en-US"/>
        </w:rPr>
        <w:t xml:space="preserve">mechanisms that guarantee accountability </w:t>
      </w:r>
      <w:r w:rsidR="000C1E80" w:rsidRPr="006F7A53">
        <w:rPr>
          <w:sz w:val="22"/>
          <w:lang w:val="en-US"/>
        </w:rPr>
        <w:t>and provide incentives for gender-friendly performance to managers, teams and individuals</w:t>
      </w:r>
      <w:r w:rsidR="000C1E80">
        <w:rPr>
          <w:sz w:val="22"/>
          <w:lang w:val="en-US"/>
        </w:rPr>
        <w:t>. D</w:t>
      </w:r>
      <w:r w:rsidR="009571FA" w:rsidRPr="006F7A53">
        <w:rPr>
          <w:sz w:val="22"/>
          <w:lang w:val="en-US"/>
        </w:rPr>
        <w:t xml:space="preserve">isseminate the results of the corresponding evaluations.  </w:t>
      </w:r>
    </w:p>
    <w:p w:rsidR="009571FA" w:rsidRPr="00D74FA1" w:rsidRDefault="009571FA" w:rsidP="008A3246">
      <w:pPr>
        <w:pStyle w:val="ListParagraph"/>
        <w:ind w:left="432" w:right="-540" w:hanging="432"/>
        <w:rPr>
          <w:bCs/>
          <w:sz w:val="18"/>
        </w:rPr>
      </w:pPr>
    </w:p>
    <w:p w:rsidR="000C1E80" w:rsidRDefault="009571FA" w:rsidP="008A3246">
      <w:pPr>
        <w:pStyle w:val="ListParagraph"/>
        <w:ind w:left="432" w:right="-540" w:hanging="432"/>
        <w:rPr>
          <w:bCs/>
          <w:i/>
          <w:sz w:val="22"/>
        </w:rPr>
      </w:pPr>
      <w:r>
        <w:rPr>
          <w:bCs/>
          <w:i/>
          <w:sz w:val="22"/>
        </w:rPr>
        <w:t xml:space="preserve">         </w:t>
      </w:r>
    </w:p>
    <w:p w:rsidR="009571FA" w:rsidRDefault="009571FA" w:rsidP="008A3246">
      <w:pPr>
        <w:pStyle w:val="ListParagraph"/>
        <w:ind w:left="432" w:right="-540" w:hanging="432"/>
        <w:rPr>
          <w:bCs/>
          <w:i/>
          <w:sz w:val="22"/>
        </w:rPr>
      </w:pPr>
      <w:r>
        <w:rPr>
          <w:bCs/>
          <w:i/>
          <w:sz w:val="22"/>
        </w:rPr>
        <w:t>On engendering</w:t>
      </w:r>
      <w:r w:rsidRPr="009B57BB">
        <w:rPr>
          <w:bCs/>
          <w:i/>
          <w:sz w:val="22"/>
        </w:rPr>
        <w:t xml:space="preserve"> CCS and </w:t>
      </w:r>
      <w:r w:rsidR="000C1E80">
        <w:rPr>
          <w:bCs/>
          <w:i/>
          <w:sz w:val="22"/>
        </w:rPr>
        <w:t>Country W</w:t>
      </w:r>
      <w:r w:rsidRPr="009B57BB">
        <w:rPr>
          <w:bCs/>
          <w:i/>
          <w:sz w:val="22"/>
        </w:rPr>
        <w:t xml:space="preserve">ork </w:t>
      </w:r>
      <w:r w:rsidR="000C1E80">
        <w:rPr>
          <w:bCs/>
          <w:i/>
          <w:sz w:val="22"/>
        </w:rPr>
        <w:t>P</w:t>
      </w:r>
      <w:r w:rsidRPr="009B57BB">
        <w:rPr>
          <w:bCs/>
          <w:i/>
          <w:sz w:val="22"/>
        </w:rPr>
        <w:t>lans</w:t>
      </w:r>
    </w:p>
    <w:p w:rsidR="009571FA" w:rsidRPr="00D74FA1" w:rsidRDefault="009571FA" w:rsidP="008A3246">
      <w:pPr>
        <w:pStyle w:val="ListParagraph"/>
        <w:ind w:left="432" w:right="-540" w:hanging="432"/>
        <w:rPr>
          <w:bCs/>
          <w:sz w:val="10"/>
        </w:rPr>
      </w:pPr>
    </w:p>
    <w:p w:rsidR="00773A50" w:rsidRDefault="009571FA" w:rsidP="00581596">
      <w:pPr>
        <w:numPr>
          <w:ilvl w:val="0"/>
          <w:numId w:val="53"/>
        </w:numPr>
        <w:ind w:left="432" w:right="-540" w:hanging="432"/>
        <w:rPr>
          <w:sz w:val="22"/>
          <w:lang w:val="en-US"/>
        </w:rPr>
      </w:pPr>
      <w:r w:rsidRPr="00D74FA1">
        <w:rPr>
          <w:bCs/>
          <w:sz w:val="22"/>
        </w:rPr>
        <w:t xml:space="preserve">WHO </w:t>
      </w:r>
      <w:r w:rsidR="00FE6F98">
        <w:rPr>
          <w:bCs/>
          <w:sz w:val="22"/>
        </w:rPr>
        <w:t xml:space="preserve">gender integration </w:t>
      </w:r>
      <w:r w:rsidRPr="00D74FA1">
        <w:rPr>
          <w:bCs/>
          <w:sz w:val="22"/>
        </w:rPr>
        <w:t xml:space="preserve">guidelines are too general.  A companion tool could be prepared to support country teams in identifying questions to be asked, types of information to be collected, and issues to be considered, that would engender the CCS </w:t>
      </w:r>
      <w:r w:rsidR="00773A50">
        <w:rPr>
          <w:bCs/>
          <w:sz w:val="22"/>
        </w:rPr>
        <w:t xml:space="preserve"> and </w:t>
      </w:r>
      <w:r w:rsidRPr="00D74FA1">
        <w:rPr>
          <w:bCs/>
          <w:sz w:val="22"/>
        </w:rPr>
        <w:t xml:space="preserve">work plan, with special emphasis on the situation analysis. </w:t>
      </w:r>
    </w:p>
    <w:p w:rsidR="00773A50" w:rsidRDefault="00773A50" w:rsidP="00773A50">
      <w:pPr>
        <w:ind w:left="432" w:right="-540"/>
        <w:rPr>
          <w:sz w:val="22"/>
          <w:lang w:val="en-US"/>
        </w:rPr>
      </w:pPr>
    </w:p>
    <w:p w:rsidR="009571FA" w:rsidRPr="00773A50" w:rsidRDefault="00773A50" w:rsidP="00581596">
      <w:pPr>
        <w:numPr>
          <w:ilvl w:val="0"/>
          <w:numId w:val="53"/>
        </w:numPr>
        <w:ind w:left="432" w:right="-540" w:hanging="432"/>
        <w:rPr>
          <w:sz w:val="22"/>
          <w:lang w:val="en-US"/>
        </w:rPr>
      </w:pPr>
      <w:r>
        <w:rPr>
          <w:bCs/>
          <w:sz w:val="22"/>
        </w:rPr>
        <w:t>E</w:t>
      </w:r>
      <w:r w:rsidR="009571FA" w:rsidRPr="00773A50">
        <w:rPr>
          <w:bCs/>
          <w:sz w:val="22"/>
        </w:rPr>
        <w:t xml:space="preserve">stablish coordination between WHO/GWH, PAHO/GE, and the </w:t>
      </w:r>
      <w:r>
        <w:rPr>
          <w:bCs/>
          <w:sz w:val="22"/>
        </w:rPr>
        <w:t xml:space="preserve">respective </w:t>
      </w:r>
      <w:r w:rsidR="009571FA" w:rsidRPr="00773A50">
        <w:rPr>
          <w:bCs/>
          <w:sz w:val="22"/>
        </w:rPr>
        <w:t xml:space="preserve">Offices in WHO and PAHO in charge of supporting </w:t>
      </w:r>
      <w:r>
        <w:rPr>
          <w:bCs/>
          <w:sz w:val="22"/>
        </w:rPr>
        <w:t xml:space="preserve">and overseeing </w:t>
      </w:r>
      <w:r w:rsidR="009571FA" w:rsidRPr="00773A50">
        <w:rPr>
          <w:bCs/>
          <w:sz w:val="22"/>
        </w:rPr>
        <w:t xml:space="preserve">CCS development, so the latter will </w:t>
      </w:r>
      <w:r>
        <w:rPr>
          <w:bCs/>
          <w:sz w:val="22"/>
        </w:rPr>
        <w:t xml:space="preserve">explicitly </w:t>
      </w:r>
      <w:r w:rsidR="009571FA" w:rsidRPr="00773A50">
        <w:rPr>
          <w:bCs/>
          <w:sz w:val="22"/>
        </w:rPr>
        <w:t>carry a message consistent with the WHO gender guidelines.</w:t>
      </w:r>
    </w:p>
    <w:p w:rsidR="009571FA" w:rsidRPr="00764E5A" w:rsidRDefault="009571FA" w:rsidP="008A3246">
      <w:pPr>
        <w:pStyle w:val="ListParagraph"/>
        <w:ind w:left="432" w:right="-540" w:hanging="432"/>
        <w:rPr>
          <w:bCs/>
          <w:sz w:val="22"/>
          <w:lang w:val="en-US"/>
        </w:rPr>
      </w:pPr>
    </w:p>
    <w:p w:rsidR="009571FA" w:rsidRPr="00D74FA1" w:rsidRDefault="00773A50" w:rsidP="00581596">
      <w:pPr>
        <w:numPr>
          <w:ilvl w:val="0"/>
          <w:numId w:val="53"/>
        </w:numPr>
        <w:ind w:left="432" w:right="-540" w:hanging="432"/>
        <w:rPr>
          <w:sz w:val="22"/>
          <w:lang w:val="en-US"/>
        </w:rPr>
      </w:pPr>
      <w:r>
        <w:rPr>
          <w:bCs/>
          <w:sz w:val="22"/>
          <w:lang w:val="en-US"/>
        </w:rPr>
        <w:t xml:space="preserve">Strengthen the </w:t>
      </w:r>
      <w:r w:rsidR="004918E6">
        <w:rPr>
          <w:bCs/>
          <w:sz w:val="22"/>
          <w:lang w:val="en-US"/>
        </w:rPr>
        <w:t xml:space="preserve">planning </w:t>
      </w:r>
      <w:r>
        <w:rPr>
          <w:bCs/>
          <w:sz w:val="22"/>
          <w:lang w:val="en-US"/>
        </w:rPr>
        <w:t xml:space="preserve">capacity </w:t>
      </w:r>
      <w:r w:rsidR="009571FA" w:rsidRPr="00D74FA1">
        <w:rPr>
          <w:bCs/>
          <w:sz w:val="22"/>
        </w:rPr>
        <w:t xml:space="preserve">of the GE network </w:t>
      </w:r>
      <w:r>
        <w:rPr>
          <w:bCs/>
          <w:sz w:val="22"/>
        </w:rPr>
        <w:t xml:space="preserve">in the field </w:t>
      </w:r>
      <w:r w:rsidR="009571FA" w:rsidRPr="00D74FA1">
        <w:rPr>
          <w:bCs/>
          <w:sz w:val="22"/>
        </w:rPr>
        <w:t xml:space="preserve">(country </w:t>
      </w:r>
      <w:r>
        <w:rPr>
          <w:bCs/>
          <w:sz w:val="22"/>
        </w:rPr>
        <w:t xml:space="preserve">and </w:t>
      </w:r>
      <w:r w:rsidR="009571FA" w:rsidRPr="00D74FA1">
        <w:rPr>
          <w:bCs/>
          <w:sz w:val="22"/>
        </w:rPr>
        <w:t>sub regional focal</w:t>
      </w:r>
      <w:r w:rsidR="009571FA">
        <w:rPr>
          <w:bCs/>
          <w:sz w:val="22"/>
        </w:rPr>
        <w:t xml:space="preserve"> </w:t>
      </w:r>
      <w:r w:rsidR="009571FA" w:rsidRPr="00D74FA1">
        <w:rPr>
          <w:bCs/>
          <w:sz w:val="22"/>
        </w:rPr>
        <w:t xml:space="preserve">points) </w:t>
      </w:r>
      <w:r>
        <w:rPr>
          <w:bCs/>
          <w:sz w:val="22"/>
          <w:lang w:val="en-US"/>
        </w:rPr>
        <w:t xml:space="preserve">and </w:t>
      </w:r>
      <w:r w:rsidRPr="00D74FA1">
        <w:rPr>
          <w:bCs/>
          <w:sz w:val="22"/>
        </w:rPr>
        <w:t xml:space="preserve">facilitate </w:t>
      </w:r>
      <w:r>
        <w:rPr>
          <w:bCs/>
          <w:sz w:val="22"/>
        </w:rPr>
        <w:t>in co</w:t>
      </w:r>
      <w:r w:rsidR="004918E6">
        <w:rPr>
          <w:bCs/>
          <w:sz w:val="22"/>
        </w:rPr>
        <w:t>ordination</w:t>
      </w:r>
      <w:r>
        <w:rPr>
          <w:bCs/>
          <w:sz w:val="22"/>
        </w:rPr>
        <w:t xml:space="preserve"> with the PWRs</w:t>
      </w:r>
      <w:r w:rsidR="004918E6">
        <w:rPr>
          <w:bCs/>
          <w:sz w:val="22"/>
        </w:rPr>
        <w:t>,</w:t>
      </w:r>
      <w:r>
        <w:rPr>
          <w:bCs/>
          <w:sz w:val="22"/>
        </w:rPr>
        <w:t xml:space="preserve"> its</w:t>
      </w:r>
      <w:r w:rsidRPr="00D74FA1">
        <w:rPr>
          <w:bCs/>
          <w:sz w:val="22"/>
        </w:rPr>
        <w:t xml:space="preserve"> </w:t>
      </w:r>
      <w:r>
        <w:rPr>
          <w:bCs/>
          <w:sz w:val="22"/>
        </w:rPr>
        <w:t xml:space="preserve">proactive </w:t>
      </w:r>
      <w:r w:rsidRPr="00D74FA1">
        <w:rPr>
          <w:bCs/>
          <w:sz w:val="22"/>
        </w:rPr>
        <w:t xml:space="preserve">participation </w:t>
      </w:r>
      <w:r w:rsidR="009571FA" w:rsidRPr="00D74FA1">
        <w:rPr>
          <w:bCs/>
          <w:sz w:val="22"/>
        </w:rPr>
        <w:t>in the process of CCS development</w:t>
      </w:r>
      <w:r w:rsidR="00FE6F98">
        <w:rPr>
          <w:bCs/>
          <w:sz w:val="22"/>
        </w:rPr>
        <w:t xml:space="preserve"> and evaluation</w:t>
      </w:r>
      <w:r w:rsidR="009571FA" w:rsidRPr="00D74FA1">
        <w:rPr>
          <w:bCs/>
          <w:sz w:val="22"/>
        </w:rPr>
        <w:t xml:space="preserve">. </w:t>
      </w:r>
    </w:p>
    <w:p w:rsidR="009571FA" w:rsidRDefault="009571FA" w:rsidP="008A3246">
      <w:pPr>
        <w:pStyle w:val="ListParagraph"/>
        <w:ind w:left="432" w:right="-540" w:hanging="432"/>
        <w:rPr>
          <w:b/>
          <w:sz w:val="22"/>
          <w:szCs w:val="22"/>
        </w:rPr>
      </w:pPr>
    </w:p>
    <w:p w:rsidR="009571FA" w:rsidRDefault="009571FA" w:rsidP="008A3246">
      <w:pPr>
        <w:pStyle w:val="ListParagraph"/>
        <w:ind w:left="432" w:right="-540" w:hanging="432"/>
        <w:rPr>
          <w:i/>
          <w:sz w:val="22"/>
          <w:szCs w:val="22"/>
        </w:rPr>
      </w:pPr>
      <w:r w:rsidRPr="00477064">
        <w:rPr>
          <w:i/>
          <w:sz w:val="22"/>
          <w:szCs w:val="22"/>
        </w:rPr>
        <w:t xml:space="preserve">On </w:t>
      </w:r>
      <w:r>
        <w:rPr>
          <w:i/>
          <w:sz w:val="22"/>
          <w:szCs w:val="22"/>
        </w:rPr>
        <w:t>achieving s</w:t>
      </w:r>
      <w:r w:rsidRPr="00477064">
        <w:rPr>
          <w:i/>
          <w:sz w:val="22"/>
          <w:szCs w:val="22"/>
        </w:rPr>
        <w:t>ex parity in staffing</w:t>
      </w:r>
    </w:p>
    <w:p w:rsidR="009571FA" w:rsidRPr="00477064" w:rsidRDefault="009571FA" w:rsidP="008A3246">
      <w:pPr>
        <w:pStyle w:val="ListParagraph"/>
        <w:ind w:left="432" w:right="-540" w:hanging="432"/>
        <w:rPr>
          <w:i/>
          <w:sz w:val="22"/>
          <w:szCs w:val="22"/>
        </w:rPr>
      </w:pPr>
    </w:p>
    <w:p w:rsidR="009571FA" w:rsidRPr="004918E6" w:rsidRDefault="004918E6" w:rsidP="00581596">
      <w:pPr>
        <w:numPr>
          <w:ilvl w:val="0"/>
          <w:numId w:val="53"/>
        </w:numPr>
        <w:ind w:left="432" w:right="-540" w:hanging="432"/>
        <w:rPr>
          <w:sz w:val="22"/>
          <w:szCs w:val="22"/>
        </w:rPr>
      </w:pPr>
      <w:r w:rsidRPr="004918E6">
        <w:rPr>
          <w:sz w:val="22"/>
          <w:szCs w:val="22"/>
        </w:rPr>
        <w:t>G</w:t>
      </w:r>
      <w:r w:rsidR="009571FA" w:rsidRPr="004918E6">
        <w:rPr>
          <w:sz w:val="22"/>
          <w:szCs w:val="22"/>
        </w:rPr>
        <w:t>ive special consideration to the recruitment and promotion of women into the P4 grade</w:t>
      </w:r>
      <w:r w:rsidRPr="004918E6">
        <w:rPr>
          <w:sz w:val="22"/>
          <w:szCs w:val="22"/>
        </w:rPr>
        <w:t>, within the context of the Plan of Career Development in Human Resources.</w:t>
      </w:r>
      <w:r w:rsidR="009571FA" w:rsidRPr="004918E6">
        <w:rPr>
          <w:sz w:val="22"/>
          <w:szCs w:val="22"/>
        </w:rPr>
        <w:t xml:space="preserve">  </w:t>
      </w:r>
      <w:r>
        <w:rPr>
          <w:sz w:val="22"/>
          <w:szCs w:val="22"/>
        </w:rPr>
        <w:t xml:space="preserve">Draw attention to </w:t>
      </w:r>
      <w:r w:rsidR="009571FA" w:rsidRPr="004918E6">
        <w:rPr>
          <w:sz w:val="22"/>
          <w:szCs w:val="22"/>
        </w:rPr>
        <w:t>the</w:t>
      </w:r>
      <w:r>
        <w:rPr>
          <w:sz w:val="22"/>
          <w:szCs w:val="22"/>
        </w:rPr>
        <w:t xml:space="preserve"> restricted </w:t>
      </w:r>
      <w:r w:rsidR="009571FA" w:rsidRPr="004918E6">
        <w:rPr>
          <w:sz w:val="22"/>
          <w:szCs w:val="22"/>
        </w:rPr>
        <w:t>opportunities in the P2 and P3 levels to move up</w:t>
      </w:r>
      <w:r>
        <w:rPr>
          <w:sz w:val="22"/>
          <w:szCs w:val="22"/>
        </w:rPr>
        <w:t>.</w:t>
      </w:r>
      <w:r w:rsidR="009571FA" w:rsidRPr="004918E6">
        <w:rPr>
          <w:sz w:val="22"/>
          <w:szCs w:val="22"/>
        </w:rPr>
        <w:t xml:space="preserve">  In this context, </w:t>
      </w:r>
      <w:r>
        <w:rPr>
          <w:sz w:val="22"/>
          <w:szCs w:val="22"/>
        </w:rPr>
        <w:t xml:space="preserve">also </w:t>
      </w:r>
      <w:r w:rsidR="009571FA" w:rsidRPr="004918E6">
        <w:rPr>
          <w:sz w:val="22"/>
          <w:szCs w:val="22"/>
        </w:rPr>
        <w:t>focus efforts on closing the gap on sex parity between HQ and CO.</w:t>
      </w:r>
    </w:p>
    <w:p w:rsidR="009571FA" w:rsidRDefault="009571FA" w:rsidP="008A3246">
      <w:pPr>
        <w:pStyle w:val="ListParagraph"/>
        <w:ind w:left="432" w:right="-540" w:hanging="432"/>
        <w:rPr>
          <w:i/>
          <w:sz w:val="22"/>
          <w:szCs w:val="22"/>
        </w:rPr>
      </w:pPr>
    </w:p>
    <w:p w:rsidR="009571FA" w:rsidRPr="00147881" w:rsidRDefault="009571FA" w:rsidP="008A3246">
      <w:pPr>
        <w:ind w:left="432" w:right="-540" w:hanging="432"/>
        <w:rPr>
          <w:sz w:val="22"/>
          <w:szCs w:val="22"/>
        </w:rPr>
      </w:pPr>
      <w:r w:rsidRPr="00147881">
        <w:rPr>
          <w:i/>
          <w:sz w:val="22"/>
          <w:szCs w:val="22"/>
        </w:rPr>
        <w:t>On promoting SDD and gender analysis</w:t>
      </w:r>
      <w:r>
        <w:rPr>
          <w:i/>
          <w:sz w:val="22"/>
          <w:szCs w:val="22"/>
        </w:rPr>
        <w:t xml:space="preserve"> in PAHO production</w:t>
      </w:r>
    </w:p>
    <w:p w:rsidR="009571FA" w:rsidRPr="00E13E1C" w:rsidRDefault="009571FA" w:rsidP="008A3246">
      <w:pPr>
        <w:pStyle w:val="ListParagraph"/>
        <w:ind w:left="432" w:right="-540" w:hanging="432"/>
        <w:rPr>
          <w:sz w:val="22"/>
          <w:szCs w:val="22"/>
        </w:rPr>
      </w:pPr>
    </w:p>
    <w:p w:rsidR="009571FA" w:rsidRPr="00E13E1C" w:rsidRDefault="009571FA" w:rsidP="00581596">
      <w:pPr>
        <w:numPr>
          <w:ilvl w:val="0"/>
          <w:numId w:val="53"/>
        </w:numPr>
        <w:ind w:left="432" w:right="-540" w:hanging="432"/>
        <w:rPr>
          <w:sz w:val="22"/>
          <w:szCs w:val="22"/>
        </w:rPr>
      </w:pPr>
      <w:r w:rsidRPr="00E13E1C">
        <w:rPr>
          <w:sz w:val="22"/>
          <w:szCs w:val="22"/>
        </w:rPr>
        <w:t xml:space="preserve">Maintain GE presence in the Regional Group on Basic Indicators and in the steering committee of Health in the Americas. Prioritizing strategic </w:t>
      </w:r>
      <w:r w:rsidR="004918E6">
        <w:rPr>
          <w:sz w:val="22"/>
          <w:szCs w:val="22"/>
        </w:rPr>
        <w:t xml:space="preserve">types of </w:t>
      </w:r>
      <w:r w:rsidRPr="00E13E1C">
        <w:rPr>
          <w:sz w:val="22"/>
          <w:szCs w:val="22"/>
        </w:rPr>
        <w:t xml:space="preserve">data (rather than all data) to </w:t>
      </w:r>
      <w:r w:rsidR="00FE6F98">
        <w:rPr>
          <w:sz w:val="22"/>
          <w:szCs w:val="22"/>
        </w:rPr>
        <w:t xml:space="preserve">be </w:t>
      </w:r>
      <w:r w:rsidR="004918E6">
        <w:rPr>
          <w:sz w:val="22"/>
          <w:szCs w:val="22"/>
        </w:rPr>
        <w:t xml:space="preserve">sex- </w:t>
      </w:r>
      <w:r w:rsidRPr="00E13E1C">
        <w:rPr>
          <w:sz w:val="22"/>
          <w:szCs w:val="22"/>
        </w:rPr>
        <w:t>disaggregate</w:t>
      </w:r>
      <w:r w:rsidR="00FE6F98">
        <w:rPr>
          <w:sz w:val="22"/>
          <w:szCs w:val="22"/>
        </w:rPr>
        <w:t>d and analyzed</w:t>
      </w:r>
      <w:r w:rsidRPr="00E13E1C">
        <w:rPr>
          <w:sz w:val="22"/>
          <w:szCs w:val="22"/>
        </w:rPr>
        <w:t xml:space="preserve"> could be an option. </w:t>
      </w:r>
    </w:p>
    <w:p w:rsidR="009571FA" w:rsidRPr="00E13E1C" w:rsidRDefault="009571FA" w:rsidP="008A3246">
      <w:pPr>
        <w:pStyle w:val="ListParagraph"/>
        <w:ind w:left="432" w:right="-540" w:hanging="432"/>
        <w:rPr>
          <w:sz w:val="22"/>
          <w:szCs w:val="22"/>
        </w:rPr>
      </w:pPr>
    </w:p>
    <w:p w:rsidR="009571FA" w:rsidRPr="00E13E1C" w:rsidRDefault="009571FA" w:rsidP="00581596">
      <w:pPr>
        <w:numPr>
          <w:ilvl w:val="0"/>
          <w:numId w:val="53"/>
        </w:numPr>
        <w:ind w:left="432" w:right="-540" w:hanging="432"/>
        <w:rPr>
          <w:sz w:val="22"/>
          <w:szCs w:val="22"/>
        </w:rPr>
      </w:pPr>
      <w:r w:rsidRPr="00E13E1C">
        <w:rPr>
          <w:sz w:val="22"/>
          <w:szCs w:val="22"/>
        </w:rPr>
        <w:t xml:space="preserve">Strengthen training efforts in HQ but, particularly in the field, on integrating gender in the production and analysis of statistical data. </w:t>
      </w:r>
      <w:r w:rsidR="00C36AD9">
        <w:rPr>
          <w:sz w:val="22"/>
          <w:szCs w:val="22"/>
        </w:rPr>
        <w:t>I</w:t>
      </w:r>
      <w:r w:rsidRPr="00E13E1C">
        <w:rPr>
          <w:sz w:val="22"/>
          <w:szCs w:val="22"/>
        </w:rPr>
        <w:t>nvolv</w:t>
      </w:r>
      <w:r w:rsidR="00C36AD9">
        <w:rPr>
          <w:sz w:val="22"/>
          <w:szCs w:val="22"/>
        </w:rPr>
        <w:t>e</w:t>
      </w:r>
      <w:r w:rsidRPr="00E13E1C">
        <w:rPr>
          <w:sz w:val="22"/>
          <w:szCs w:val="22"/>
        </w:rPr>
        <w:t xml:space="preserve"> multi</w:t>
      </w:r>
      <w:r w:rsidR="00C36AD9">
        <w:rPr>
          <w:sz w:val="22"/>
          <w:szCs w:val="22"/>
        </w:rPr>
        <w:t>-</w:t>
      </w:r>
      <w:r w:rsidRPr="00E13E1C">
        <w:rPr>
          <w:sz w:val="22"/>
          <w:szCs w:val="22"/>
        </w:rPr>
        <w:t>sector users and producers of information to ensure data relevance and accountability of its use.</w:t>
      </w:r>
    </w:p>
    <w:p w:rsidR="009571FA" w:rsidRPr="00E13E1C" w:rsidRDefault="009571FA" w:rsidP="008A3246">
      <w:pPr>
        <w:pStyle w:val="ListParagraph"/>
        <w:ind w:left="432" w:right="-540" w:hanging="432"/>
        <w:rPr>
          <w:sz w:val="22"/>
          <w:szCs w:val="22"/>
        </w:rPr>
      </w:pPr>
    </w:p>
    <w:p w:rsidR="009571FA" w:rsidRPr="00E13E1C" w:rsidRDefault="00C36AD9" w:rsidP="00581596">
      <w:pPr>
        <w:numPr>
          <w:ilvl w:val="0"/>
          <w:numId w:val="53"/>
        </w:numPr>
        <w:ind w:left="432" w:right="-540" w:hanging="432"/>
        <w:rPr>
          <w:sz w:val="22"/>
          <w:szCs w:val="22"/>
        </w:rPr>
      </w:pPr>
      <w:r>
        <w:rPr>
          <w:sz w:val="22"/>
          <w:szCs w:val="22"/>
        </w:rPr>
        <w:t xml:space="preserve">Investigate barriers to the production of SDD and to the use of existing SDD. </w:t>
      </w:r>
      <w:r w:rsidR="009571FA" w:rsidRPr="00E13E1C">
        <w:rPr>
          <w:sz w:val="22"/>
          <w:szCs w:val="22"/>
        </w:rPr>
        <w:t xml:space="preserve">Provide incentives and demand the collection, compiling and publication of </w:t>
      </w:r>
      <w:r>
        <w:rPr>
          <w:sz w:val="22"/>
          <w:szCs w:val="22"/>
        </w:rPr>
        <w:t xml:space="preserve">key </w:t>
      </w:r>
      <w:r w:rsidR="009571FA" w:rsidRPr="00E13E1C">
        <w:rPr>
          <w:sz w:val="22"/>
          <w:szCs w:val="22"/>
        </w:rPr>
        <w:t>SDD in PAHO key publications and situational analyses. Make this a monitoring/evaluation item of work plans</w:t>
      </w:r>
      <w:r>
        <w:rPr>
          <w:sz w:val="22"/>
          <w:szCs w:val="22"/>
        </w:rPr>
        <w:t>.</w:t>
      </w:r>
    </w:p>
    <w:p w:rsidR="009571FA" w:rsidRPr="00E13E1C" w:rsidRDefault="009571FA" w:rsidP="008A3246">
      <w:pPr>
        <w:pStyle w:val="ListParagraph"/>
        <w:ind w:left="432" w:right="-540" w:hanging="432"/>
        <w:rPr>
          <w:sz w:val="22"/>
          <w:szCs w:val="22"/>
        </w:rPr>
      </w:pPr>
    </w:p>
    <w:p w:rsidR="00C36AD9" w:rsidRDefault="009571FA" w:rsidP="00581596">
      <w:pPr>
        <w:numPr>
          <w:ilvl w:val="0"/>
          <w:numId w:val="53"/>
        </w:numPr>
        <w:ind w:left="432" w:right="-540" w:hanging="432"/>
        <w:rPr>
          <w:sz w:val="22"/>
          <w:szCs w:val="22"/>
        </w:rPr>
      </w:pPr>
      <w:r w:rsidRPr="00E13E1C">
        <w:rPr>
          <w:sz w:val="22"/>
          <w:szCs w:val="22"/>
        </w:rPr>
        <w:t xml:space="preserve">Strengthen the presence of the GE network and local gender experts in similar information committees at country level.  </w:t>
      </w:r>
    </w:p>
    <w:p w:rsidR="00C36AD9" w:rsidRDefault="00C36AD9" w:rsidP="00C36AD9">
      <w:pPr>
        <w:pStyle w:val="ListParagraph"/>
        <w:rPr>
          <w:sz w:val="22"/>
          <w:szCs w:val="22"/>
        </w:rPr>
      </w:pPr>
    </w:p>
    <w:p w:rsidR="009571FA" w:rsidRDefault="00C36AD9" w:rsidP="00581596">
      <w:pPr>
        <w:numPr>
          <w:ilvl w:val="0"/>
          <w:numId w:val="53"/>
        </w:numPr>
        <w:ind w:left="432" w:right="-540" w:hanging="432"/>
        <w:rPr>
          <w:sz w:val="22"/>
          <w:szCs w:val="22"/>
        </w:rPr>
      </w:pPr>
      <w:r w:rsidRPr="00C004BC">
        <w:rPr>
          <w:sz w:val="22"/>
          <w:szCs w:val="22"/>
        </w:rPr>
        <w:t xml:space="preserve">Integrate gender elements in the guidelines for the preparation of documents to be presented to PAHO Governing Bodies, and engage the collaboration of the </w:t>
      </w:r>
      <w:r w:rsidR="004935CD" w:rsidRPr="00C004BC">
        <w:rPr>
          <w:sz w:val="22"/>
          <w:szCs w:val="22"/>
        </w:rPr>
        <w:t xml:space="preserve">Governing Bodies </w:t>
      </w:r>
      <w:r w:rsidRPr="00C004BC">
        <w:rPr>
          <w:sz w:val="22"/>
          <w:szCs w:val="22"/>
        </w:rPr>
        <w:t xml:space="preserve">Office in overseeing </w:t>
      </w:r>
      <w:r w:rsidR="004935CD" w:rsidRPr="00C004BC">
        <w:rPr>
          <w:sz w:val="22"/>
          <w:szCs w:val="22"/>
        </w:rPr>
        <w:t xml:space="preserve">the respective </w:t>
      </w:r>
      <w:r w:rsidRPr="00C004BC">
        <w:rPr>
          <w:sz w:val="22"/>
          <w:szCs w:val="22"/>
        </w:rPr>
        <w:t xml:space="preserve">compliance. </w:t>
      </w:r>
      <w:r w:rsidR="009571FA" w:rsidRPr="00C004BC">
        <w:rPr>
          <w:sz w:val="22"/>
          <w:szCs w:val="22"/>
        </w:rPr>
        <w:t xml:space="preserve"> </w:t>
      </w:r>
    </w:p>
    <w:p w:rsidR="00C004BC" w:rsidRDefault="00C004BC" w:rsidP="00C004BC">
      <w:pPr>
        <w:pStyle w:val="ListParagraph"/>
        <w:rPr>
          <w:sz w:val="22"/>
          <w:szCs w:val="22"/>
        </w:rPr>
      </w:pPr>
    </w:p>
    <w:p w:rsidR="00C004BC" w:rsidRDefault="00C004BC" w:rsidP="00C004BC">
      <w:pPr>
        <w:ind w:right="-540"/>
        <w:rPr>
          <w:sz w:val="22"/>
          <w:szCs w:val="22"/>
        </w:rPr>
      </w:pPr>
    </w:p>
    <w:p w:rsidR="00C004BC" w:rsidRDefault="00C004BC" w:rsidP="00C004BC">
      <w:pPr>
        <w:ind w:right="-540"/>
        <w:rPr>
          <w:sz w:val="22"/>
          <w:szCs w:val="22"/>
        </w:rPr>
      </w:pPr>
    </w:p>
    <w:p w:rsidR="00C004BC" w:rsidRDefault="00C004BC" w:rsidP="00C004BC">
      <w:pPr>
        <w:ind w:right="-540"/>
        <w:rPr>
          <w:sz w:val="22"/>
          <w:szCs w:val="22"/>
        </w:rPr>
      </w:pPr>
    </w:p>
    <w:p w:rsidR="00C004BC" w:rsidRDefault="00C004BC" w:rsidP="00C004BC">
      <w:pPr>
        <w:ind w:right="-540"/>
        <w:rPr>
          <w:sz w:val="22"/>
          <w:szCs w:val="22"/>
        </w:rPr>
      </w:pPr>
    </w:p>
    <w:p w:rsidR="00C004BC" w:rsidRDefault="00C004BC" w:rsidP="00C004BC">
      <w:pPr>
        <w:ind w:right="-540"/>
        <w:rPr>
          <w:sz w:val="22"/>
          <w:szCs w:val="22"/>
        </w:rPr>
      </w:pPr>
    </w:p>
    <w:p w:rsidR="00C004BC" w:rsidRDefault="00C004BC" w:rsidP="00C004BC">
      <w:pPr>
        <w:ind w:right="-540"/>
        <w:rPr>
          <w:sz w:val="22"/>
          <w:szCs w:val="22"/>
        </w:rPr>
      </w:pPr>
    </w:p>
    <w:p w:rsidR="00C004BC" w:rsidRDefault="00C004BC" w:rsidP="00C004BC">
      <w:pPr>
        <w:ind w:right="-540"/>
        <w:rPr>
          <w:sz w:val="22"/>
          <w:szCs w:val="22"/>
        </w:rPr>
      </w:pPr>
    </w:p>
    <w:p w:rsidR="00C004BC" w:rsidRDefault="00C004BC" w:rsidP="00C004BC">
      <w:pPr>
        <w:ind w:right="-540"/>
        <w:rPr>
          <w:sz w:val="22"/>
          <w:szCs w:val="22"/>
        </w:rPr>
      </w:pPr>
    </w:p>
    <w:p w:rsidR="00C004BC" w:rsidRDefault="00C004BC" w:rsidP="00C004BC">
      <w:pPr>
        <w:ind w:right="-540"/>
        <w:rPr>
          <w:sz w:val="22"/>
          <w:szCs w:val="22"/>
        </w:rPr>
      </w:pPr>
    </w:p>
    <w:p w:rsidR="00C004BC" w:rsidRDefault="00C004BC" w:rsidP="00C004BC">
      <w:pPr>
        <w:ind w:right="-540"/>
        <w:rPr>
          <w:sz w:val="22"/>
          <w:szCs w:val="22"/>
        </w:rPr>
      </w:pPr>
    </w:p>
    <w:sectPr w:rsidR="00C004BC" w:rsidSect="004D106B">
      <w:footerReference w:type="default" r:id="rId2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754E" w:rsidRDefault="00E2754E" w:rsidP="00FD6F1A">
      <w:r>
        <w:separator/>
      </w:r>
    </w:p>
  </w:endnote>
  <w:endnote w:type="continuationSeparator" w:id="1">
    <w:p w:rsidR="00E2754E" w:rsidRDefault="00E2754E" w:rsidP="00FD6F1A">
      <w:r>
        <w:continuationSeparator/>
      </w:r>
    </w:p>
  </w:endnote>
  <w:endnote w:id="2">
    <w:p w:rsidR="00D345DF" w:rsidRPr="003871FF" w:rsidRDefault="00D345DF" w:rsidP="003871FF">
      <w:pPr>
        <w:pStyle w:val="EndnoteText"/>
        <w:rPr>
          <w:lang w:val="en-US"/>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orbel">
    <w:panose1 w:val="020B0503020204020204"/>
    <w:charset w:val="00"/>
    <w:family w:val="swiss"/>
    <w:pitch w:val="variable"/>
    <w:sig w:usb0="A00002EF" w:usb1="4000204B"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5DF" w:rsidRDefault="00BD4C31">
    <w:pPr>
      <w:pStyle w:val="Footer"/>
      <w:jc w:val="right"/>
    </w:pPr>
    <w:fldSimple w:instr=" PAGE   \* MERGEFORMAT ">
      <w:r w:rsidR="000E175B">
        <w:rPr>
          <w:noProof/>
        </w:rPr>
        <w:t>67</w:t>
      </w:r>
    </w:fldSimple>
  </w:p>
  <w:p w:rsidR="00D345DF" w:rsidRDefault="00D345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754E" w:rsidRDefault="00E2754E" w:rsidP="00FD6F1A">
      <w:r>
        <w:separator/>
      </w:r>
    </w:p>
  </w:footnote>
  <w:footnote w:type="continuationSeparator" w:id="1">
    <w:p w:rsidR="00E2754E" w:rsidRDefault="00E2754E" w:rsidP="00FD6F1A">
      <w:r>
        <w:continuationSeparator/>
      </w:r>
    </w:p>
  </w:footnote>
  <w:footnote w:id="2">
    <w:p w:rsidR="00D345DF" w:rsidRDefault="00D345DF" w:rsidP="00854987">
      <w:pPr>
        <w:pStyle w:val="FootnoteText"/>
      </w:pPr>
      <w:r>
        <w:rPr>
          <w:rStyle w:val="FootnoteReference"/>
        </w:rPr>
        <w:footnoteRef/>
      </w:r>
      <w:r>
        <w:t xml:space="preserve"> Planning focal points are defined as those individuals involved in the strategic and operational planning process in 2006 and 2007 (typically directors of Departments or Divisions and/or coordinators of units, teams)</w:t>
      </w:r>
    </w:p>
  </w:footnote>
  <w:footnote w:id="3">
    <w:p w:rsidR="00D345DF" w:rsidRDefault="00D345DF" w:rsidP="00437606">
      <w:pPr>
        <w:pStyle w:val="FootnoteText"/>
        <w:rPr>
          <w:rFonts w:eastAsia="Times New Roman"/>
        </w:rPr>
      </w:pPr>
      <w:r>
        <w:rPr>
          <w:rStyle w:val="FootnoteReference"/>
        </w:rPr>
        <w:footnoteRef/>
      </w:r>
      <w:r>
        <w:t xml:space="preserve"> Planning focal points are defined as those individuals who were involved in the strategic and operational planning process in 2006 and 2007 (typically directors of Departments or Divisions and/or coordinators of units, teams)</w:t>
      </w:r>
    </w:p>
  </w:footnote>
  <w:footnote w:id="4">
    <w:p w:rsidR="00D345DF" w:rsidRDefault="00D345DF" w:rsidP="00437606">
      <w:pPr>
        <w:pStyle w:val="FootnoteText"/>
        <w:rPr>
          <w:color w:val="FF0000"/>
          <w:sz w:val="18"/>
        </w:rPr>
      </w:pPr>
      <w:r>
        <w:rPr>
          <w:rStyle w:val="FootnoteReference"/>
        </w:rPr>
        <w:footnoteRef/>
      </w:r>
      <w:r>
        <w:t xml:space="preserve">  </w:t>
      </w:r>
      <w:r>
        <w:rPr>
          <w:sz w:val="18"/>
        </w:rPr>
        <w:t>A list of the additional areas to be measured at the mid-term review and evaluation stages are detailed in Annex 7.</w:t>
      </w:r>
    </w:p>
  </w:footnote>
  <w:footnote w:id="5">
    <w:p w:rsidR="00D345DF" w:rsidRDefault="00D345DF" w:rsidP="00437606">
      <w:pPr>
        <w:pStyle w:val="FootnoteText"/>
        <w:rPr>
          <w:sz w:val="18"/>
          <w:lang w:val="en-GB"/>
        </w:rPr>
      </w:pPr>
      <w:r>
        <w:rPr>
          <w:rStyle w:val="FootnoteReference"/>
          <w:sz w:val="18"/>
        </w:rPr>
        <w:footnoteRef/>
      </w:r>
      <w:r>
        <w:rPr>
          <w:sz w:val="18"/>
        </w:rPr>
        <w:t xml:space="preserve"> </w:t>
      </w:r>
      <w:r>
        <w:rPr>
          <w:sz w:val="18"/>
          <w:lang w:val="en-GB"/>
        </w:rPr>
        <w:t xml:space="preserve">Refers to Office-Specific Expected Results, which are overall expected result statements for each budget centre (e.g. Department or Unit) in the organization at various levels.  </w:t>
      </w:r>
    </w:p>
  </w:footnote>
  <w:footnote w:id="6">
    <w:p w:rsidR="00D345DF" w:rsidRDefault="00D345DF" w:rsidP="00437606">
      <w:pPr>
        <w:pStyle w:val="FootnoteText"/>
        <w:rPr>
          <w:sz w:val="18"/>
          <w:lang w:val="en-GB"/>
        </w:rPr>
      </w:pPr>
      <w:r>
        <w:rPr>
          <w:rStyle w:val="FootnoteReference"/>
          <w:sz w:val="18"/>
        </w:rPr>
        <w:footnoteRef/>
      </w:r>
      <w:r>
        <w:rPr>
          <w:sz w:val="18"/>
        </w:rPr>
        <w:t xml:space="preserve"> </w:t>
      </w:r>
      <w:r>
        <w:rPr>
          <w:sz w:val="18"/>
          <w:lang w:val="en-GB"/>
        </w:rPr>
        <w:t xml:space="preserve">Products refer to deliverables that contribute to the Office-Specific Expected Results such as publications and activities.  </w:t>
      </w:r>
    </w:p>
  </w:footnote>
  <w:footnote w:id="7">
    <w:p w:rsidR="00D345DF" w:rsidRPr="00A56963" w:rsidRDefault="00D345DF" w:rsidP="00A56963">
      <w:pPr>
        <w:pStyle w:val="ListParagraph"/>
        <w:ind w:left="0"/>
        <w:jc w:val="both"/>
        <w:rPr>
          <w:sz w:val="22"/>
          <w:szCs w:val="22"/>
        </w:rPr>
      </w:pPr>
      <w:r w:rsidRPr="00A56963">
        <w:rPr>
          <w:rStyle w:val="FootnoteReference"/>
          <w:sz w:val="22"/>
          <w:szCs w:val="22"/>
        </w:rPr>
        <w:footnoteRef/>
      </w:r>
      <w:r w:rsidRPr="00A56963">
        <w:rPr>
          <w:sz w:val="22"/>
          <w:szCs w:val="22"/>
        </w:rPr>
        <w:t xml:space="preserve"> </w:t>
      </w:r>
      <w:r w:rsidRPr="008A6D21">
        <w:rPr>
          <w:szCs w:val="22"/>
        </w:rPr>
        <w:t xml:space="preserve">This sex-difference, however, could be the spurious result of women predominating among the G staff category which has not been a priority target of gender mainstreaming and is indicating (Tables 4-5, and Figure 3) significant lower percentages in reporting both gender relevance and gender knowledge application to PAHO’s work </w:t>
      </w:r>
    </w:p>
    <w:p w:rsidR="00D345DF" w:rsidRPr="00A56963" w:rsidRDefault="00D345DF">
      <w:pPr>
        <w:pStyle w:val="FootnoteText"/>
      </w:pPr>
    </w:p>
  </w:footnote>
  <w:footnote w:id="8">
    <w:p w:rsidR="00D345DF" w:rsidRPr="00E9113B" w:rsidRDefault="00D345DF" w:rsidP="00E06B4C">
      <w:pPr>
        <w:rPr>
          <w:sz w:val="18"/>
        </w:rPr>
      </w:pPr>
      <w:r w:rsidRPr="00E9113B">
        <w:rPr>
          <w:rStyle w:val="FootnoteReference"/>
          <w:sz w:val="18"/>
        </w:rPr>
        <w:footnoteRef/>
      </w:r>
      <w:r w:rsidRPr="00E9113B">
        <w:rPr>
          <w:sz w:val="18"/>
        </w:rPr>
        <w:t xml:space="preserve"> </w:t>
      </w:r>
      <w:r w:rsidRPr="00E9113B">
        <w:rPr>
          <w:color w:val="000000"/>
          <w:sz w:val="18"/>
        </w:rPr>
        <w:t xml:space="preserve">To arrive at this indicator value, </w:t>
      </w:r>
      <w:r w:rsidRPr="00E9113B">
        <w:rPr>
          <w:sz w:val="18"/>
        </w:rPr>
        <w:t>the percentage figures for the cells "some support" and "strong support" were added up.</w:t>
      </w:r>
    </w:p>
    <w:p w:rsidR="00D345DF" w:rsidRDefault="00D345DF" w:rsidP="00E06B4C"/>
  </w:footnote>
  <w:footnote w:id="9">
    <w:p w:rsidR="00D345DF" w:rsidRPr="002F41A6" w:rsidRDefault="00D345DF" w:rsidP="002F41A6">
      <w:pPr>
        <w:pStyle w:val="ListParagraph"/>
        <w:ind w:left="0"/>
        <w:rPr>
          <w:szCs w:val="20"/>
        </w:rPr>
      </w:pPr>
      <w:r>
        <w:rPr>
          <w:rStyle w:val="FootnoteReference"/>
        </w:rPr>
        <w:footnoteRef/>
      </w:r>
      <w:r>
        <w:t xml:space="preserve"> </w:t>
      </w:r>
      <w:r w:rsidRPr="002F41A6">
        <w:rPr>
          <w:szCs w:val="20"/>
        </w:rPr>
        <w:t>Th</w:t>
      </w:r>
      <w:r>
        <w:rPr>
          <w:szCs w:val="20"/>
        </w:rPr>
        <w:t>ese</w:t>
      </w:r>
      <w:r w:rsidRPr="002F41A6">
        <w:rPr>
          <w:szCs w:val="20"/>
        </w:rPr>
        <w:t xml:space="preserve"> </w:t>
      </w:r>
      <w:r>
        <w:rPr>
          <w:szCs w:val="20"/>
        </w:rPr>
        <w:t>included:</w:t>
      </w:r>
      <w:r w:rsidRPr="002F41A6">
        <w:rPr>
          <w:szCs w:val="20"/>
        </w:rPr>
        <w:t xml:space="preserve"> (a) implementation of related products, activities or services; (b) promotion and use of sex-disaggregated data; (c) financial expenditure on related products or activities; and (d) allocation of human resources for related products or activities.</w:t>
      </w:r>
    </w:p>
    <w:p w:rsidR="00D345DF" w:rsidRPr="002F41A6" w:rsidRDefault="00D345DF">
      <w:pPr>
        <w:pStyle w:val="FootnoteText"/>
      </w:pPr>
    </w:p>
  </w:footnote>
  <w:footnote w:id="10">
    <w:p w:rsidR="00D345DF" w:rsidRPr="00777306" w:rsidRDefault="00D345DF" w:rsidP="00602E79">
      <w:pPr>
        <w:pStyle w:val="ListParagraph"/>
        <w:tabs>
          <w:tab w:val="left" w:pos="1691"/>
        </w:tabs>
        <w:ind w:left="0"/>
        <w:rPr>
          <w:sz w:val="22"/>
        </w:rPr>
      </w:pPr>
      <w:r>
        <w:rPr>
          <w:rStyle w:val="FootnoteReference"/>
        </w:rPr>
        <w:footnoteRef/>
      </w:r>
      <w:r>
        <w:t xml:space="preserve"> </w:t>
      </w:r>
      <w:r w:rsidRPr="00602E79">
        <w:rPr>
          <w:sz w:val="18"/>
          <w:szCs w:val="18"/>
        </w:rPr>
        <w:t>Specific references were made to whether or not this process included: (a) being asked to assess if gender inequalities were addressed by products, activities or services; (b) having office discussions on this subject as part of the monitoring process; (c) having sex-disaggregated indicators to monitor outcomes; (d) analysing relevant indicators to assess effect on gender inequalities; (e) taking corrective actions to rectify gender inequalities.</w:t>
      </w:r>
      <w:r w:rsidRPr="00777306">
        <w:rPr>
          <w:sz w:val="22"/>
        </w:rPr>
        <w:t xml:space="preserve">   </w:t>
      </w:r>
    </w:p>
    <w:p w:rsidR="00D345DF" w:rsidRPr="00602E79" w:rsidRDefault="00D345DF">
      <w:pPr>
        <w:pStyle w:val="FootnoteText"/>
      </w:pPr>
    </w:p>
  </w:footnote>
  <w:footnote w:id="11">
    <w:p w:rsidR="00D345DF" w:rsidRDefault="00D345DF" w:rsidP="00433E33">
      <w:pPr>
        <w:pStyle w:val="NormalWeb"/>
      </w:pPr>
      <w:r w:rsidRPr="004437D0">
        <w:rPr>
          <w:rStyle w:val="FootnoteReference"/>
          <w:rFonts w:ascii="Arial" w:hAnsi="Arial" w:cs="Arial"/>
          <w:sz w:val="18"/>
        </w:rPr>
        <w:footnoteRef/>
      </w:r>
      <w:r w:rsidRPr="004437D0">
        <w:rPr>
          <w:rFonts w:ascii="Arial" w:hAnsi="Arial" w:cs="Arial"/>
          <w:sz w:val="18"/>
        </w:rPr>
        <w:t xml:space="preserve"> The WHO Country Cooperation Strategy (CCS) reflects a medium-term vision of the World Health Organization for its cooperation with a given country. It defines a strategic agenda for working with that country. The strategic agenda states the priorities jointly agreed upon for WHO cooperation in and with the country and clarifies the role WHO will play in which areas. The CCS is flexible. It is generally developed with a vision of four to six years but this time frame can be shorter, in particular for countries in crisis situations. The CCS is the key WHO instrument for alignment with national plans and strategies, and harmonization with partners at the country level. The CCS is thus used as a basis for dialogue, advocacy, resource mobilization and planning. </w:t>
      </w:r>
    </w:p>
  </w:footnote>
  <w:footnote w:id="12">
    <w:p w:rsidR="00D345DF" w:rsidRDefault="00D345DF" w:rsidP="00AB0DC6">
      <w:pPr>
        <w:pStyle w:val="FootnoteText"/>
      </w:pPr>
      <w:r>
        <w:rPr>
          <w:rStyle w:val="FootnoteReference"/>
        </w:rPr>
        <w:footnoteRef/>
      </w:r>
      <w:r>
        <w:t xml:space="preserve"> It must also be noted that during the promotion by WHO of the CCS framework in the regional and country offices, the issue of gender as a cross-cutting concern </w:t>
      </w:r>
      <w:r w:rsidRPr="001049E5">
        <w:rPr>
          <w:b/>
        </w:rPr>
        <w:t>was not part</w:t>
      </w:r>
      <w:r>
        <w:t xml:space="preserve"> of the presentations given by WHO in the Regions.</w:t>
      </w:r>
    </w:p>
  </w:footnote>
  <w:footnote w:id="13">
    <w:p w:rsidR="00D345DF" w:rsidRDefault="00D345DF" w:rsidP="00573033">
      <w:pPr>
        <w:pStyle w:val="FootnoteText"/>
      </w:pPr>
      <w:r w:rsidRPr="00D50597">
        <w:rPr>
          <w:rStyle w:val="FootnoteReference"/>
          <w:sz w:val="18"/>
        </w:rPr>
        <w:footnoteRef/>
      </w:r>
      <w:r w:rsidRPr="00D50597">
        <w:rPr>
          <w:sz w:val="18"/>
        </w:rPr>
        <w:t xml:space="preserve"> </w:t>
      </w:r>
      <w:r w:rsidRPr="00D50597">
        <w:rPr>
          <w:sz w:val="18"/>
          <w:lang w:val="en-US"/>
        </w:rPr>
        <w:t xml:space="preserve">The author wishes to express her gratitude to Peg Boyne of the PAHO’s Human Resources Administration Office who kindly and timely provided all the PAHO data used in this analysis. The author also wants to thank Lily Jara, from the PAHO Gender, Ethnicity and Health Unit, for her invaluable help in translating this data into the tables and graphs included in this section and its corresponding appendixes.     </w:t>
      </w:r>
    </w:p>
  </w:footnote>
  <w:footnote w:id="14">
    <w:p w:rsidR="00D345DF" w:rsidRDefault="00D345DF" w:rsidP="002A3BC0">
      <w:r>
        <w:rPr>
          <w:rStyle w:val="FootnoteReference"/>
        </w:rPr>
        <w:footnoteRef/>
      </w:r>
      <w:r>
        <w:t xml:space="preserve"> </w:t>
      </w:r>
      <w:r w:rsidRPr="005E1F47">
        <w:t xml:space="preserve">SDD involves </w:t>
      </w:r>
      <w:r w:rsidRPr="005E1F47">
        <w:rPr>
          <w:i/>
        </w:rPr>
        <w:t>both</w:t>
      </w:r>
      <w:r w:rsidRPr="005E1F47">
        <w:t xml:space="preserve">, sex-differentiating situations </w:t>
      </w:r>
      <w:r w:rsidRPr="005E1F47">
        <w:rPr>
          <w:i/>
        </w:rPr>
        <w:t>common</w:t>
      </w:r>
      <w:r w:rsidRPr="005E1F47">
        <w:t xml:space="preserve"> to both sexes, and</w:t>
      </w:r>
      <w:r w:rsidRPr="005E1F47">
        <w:rPr>
          <w:i/>
        </w:rPr>
        <w:t xml:space="preserve"> </w:t>
      </w:r>
      <w:r w:rsidRPr="005E1F47">
        <w:t xml:space="preserve">distinctly documenting those </w:t>
      </w:r>
      <w:r w:rsidRPr="005E1F47">
        <w:rPr>
          <w:i/>
        </w:rPr>
        <w:t xml:space="preserve">exclusive </w:t>
      </w:r>
      <w:r w:rsidRPr="005E1F47">
        <w:t>of one sex</w:t>
      </w:r>
      <w:r w:rsidRPr="005E1F47">
        <w:rPr>
          <w:sz w:val="16"/>
        </w:rPr>
        <w:t xml:space="preserve">. </w:t>
      </w:r>
    </w:p>
    <w:p w:rsidR="00D345DF" w:rsidRDefault="00D345DF" w:rsidP="002A3BC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11.4pt;height:11.4pt" o:bullet="t">
        <v:imagedata r:id="rId1" o:title=""/>
      </v:shape>
    </w:pict>
  </w:numPicBullet>
  <w:numPicBullet w:numPicBulletId="1">
    <w:pict>
      <v:shape id="_x0000_i1083" type="#_x0000_t75" style="width:11.4pt;height:11.4pt" o:bullet="t">
        <v:imagedata r:id="rId2" o:title="mso7C60"/>
      </v:shape>
    </w:pict>
  </w:numPicBullet>
  <w:abstractNum w:abstractNumId="0">
    <w:nsid w:val="00000001"/>
    <w:multiLevelType w:val="singleLevel"/>
    <w:tmpl w:val="00000001"/>
    <w:name w:val="WW8Num2"/>
    <w:lvl w:ilvl="0">
      <w:start w:val="1"/>
      <w:numFmt w:val="bullet"/>
      <w:lvlText w:val=""/>
      <w:lvlJc w:val="left"/>
      <w:pPr>
        <w:tabs>
          <w:tab w:val="num" w:pos="720"/>
        </w:tabs>
        <w:ind w:left="720" w:hanging="360"/>
      </w:pPr>
      <w:rPr>
        <w:rFonts w:ascii="Symbol" w:hAnsi="Symbol"/>
      </w:rPr>
    </w:lvl>
  </w:abstractNum>
  <w:abstractNum w:abstractNumId="1">
    <w:nsid w:val="00491D79"/>
    <w:multiLevelType w:val="hybridMultilevel"/>
    <w:tmpl w:val="E902772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06C6539"/>
    <w:multiLevelType w:val="hybridMultilevel"/>
    <w:tmpl w:val="C072540A"/>
    <w:lvl w:ilvl="0" w:tplc="04090019">
      <w:start w:val="2"/>
      <w:numFmt w:val="lowerLetter"/>
      <w:lvlText w:val="%1."/>
      <w:lvlJc w:val="left"/>
      <w:pPr>
        <w:ind w:left="1080" w:hanging="360"/>
      </w:pPr>
      <w:rPr>
        <w:rFonts w:cs="Times New Roman"/>
      </w:rPr>
    </w:lvl>
    <w:lvl w:ilvl="1" w:tplc="80804CA8">
      <w:start w:val="1"/>
      <w:numFmt w:val="lowerLetter"/>
      <w:lvlText w:val="%2."/>
      <w:lvlJc w:val="left"/>
      <w:pPr>
        <w:ind w:left="1080" w:hanging="360"/>
      </w:pPr>
      <w:rPr>
        <w:rFonts w:cs="Times New Roman"/>
        <w:sz w:val="22"/>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018915A0"/>
    <w:multiLevelType w:val="hybridMultilevel"/>
    <w:tmpl w:val="9FDAD9E0"/>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4">
    <w:nsid w:val="055F3F91"/>
    <w:multiLevelType w:val="hybridMultilevel"/>
    <w:tmpl w:val="C3CC0C1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
    <w:nsid w:val="079F00D7"/>
    <w:multiLevelType w:val="multilevel"/>
    <w:tmpl w:val="D5A2461C"/>
    <w:lvl w:ilvl="0">
      <w:start w:val="3"/>
      <w:numFmt w:val="decimal"/>
      <w:lvlText w:val="%1."/>
      <w:lvlJc w:val="left"/>
      <w:pPr>
        <w:ind w:left="360" w:hanging="360"/>
      </w:pPr>
      <w:rPr>
        <w:rFonts w:cs="Times New Roman" w:hint="default"/>
        <w:sz w:val="22"/>
      </w:rPr>
    </w:lvl>
    <w:lvl w:ilvl="1">
      <w:start w:val="1"/>
      <w:numFmt w:val="decimal"/>
      <w:lvlText w:val="%1.%2."/>
      <w:lvlJc w:val="left"/>
      <w:pPr>
        <w:ind w:left="900" w:hanging="360"/>
      </w:pPr>
      <w:rPr>
        <w:rFonts w:cs="Times New Roman" w:hint="default"/>
        <w:sz w:val="22"/>
      </w:rPr>
    </w:lvl>
    <w:lvl w:ilvl="2">
      <w:start w:val="1"/>
      <w:numFmt w:val="decimal"/>
      <w:lvlText w:val="%1.%2.%3."/>
      <w:lvlJc w:val="left"/>
      <w:pPr>
        <w:ind w:left="2256" w:hanging="720"/>
      </w:pPr>
      <w:rPr>
        <w:rFonts w:cs="Times New Roman" w:hint="default"/>
        <w:sz w:val="22"/>
      </w:rPr>
    </w:lvl>
    <w:lvl w:ilvl="3">
      <w:start w:val="1"/>
      <w:numFmt w:val="decimal"/>
      <w:lvlText w:val="%1.%2.%3.%4."/>
      <w:lvlJc w:val="left"/>
      <w:pPr>
        <w:ind w:left="3024" w:hanging="720"/>
      </w:pPr>
      <w:rPr>
        <w:rFonts w:cs="Times New Roman" w:hint="default"/>
        <w:sz w:val="22"/>
      </w:rPr>
    </w:lvl>
    <w:lvl w:ilvl="4">
      <w:start w:val="1"/>
      <w:numFmt w:val="decimal"/>
      <w:lvlText w:val="%1.%2.%3.%4.%5."/>
      <w:lvlJc w:val="left"/>
      <w:pPr>
        <w:ind w:left="4152" w:hanging="1080"/>
      </w:pPr>
      <w:rPr>
        <w:rFonts w:cs="Times New Roman" w:hint="default"/>
        <w:sz w:val="22"/>
      </w:rPr>
    </w:lvl>
    <w:lvl w:ilvl="5">
      <w:start w:val="1"/>
      <w:numFmt w:val="decimal"/>
      <w:lvlText w:val="%1.%2.%3.%4.%5.%6."/>
      <w:lvlJc w:val="left"/>
      <w:pPr>
        <w:ind w:left="4920" w:hanging="1080"/>
      </w:pPr>
      <w:rPr>
        <w:rFonts w:cs="Times New Roman" w:hint="default"/>
        <w:sz w:val="22"/>
      </w:rPr>
    </w:lvl>
    <w:lvl w:ilvl="6">
      <w:start w:val="1"/>
      <w:numFmt w:val="decimal"/>
      <w:lvlText w:val="%1.%2.%3.%4.%5.%6.%7."/>
      <w:lvlJc w:val="left"/>
      <w:pPr>
        <w:ind w:left="6048" w:hanging="1440"/>
      </w:pPr>
      <w:rPr>
        <w:rFonts w:cs="Times New Roman" w:hint="default"/>
        <w:sz w:val="22"/>
      </w:rPr>
    </w:lvl>
    <w:lvl w:ilvl="7">
      <w:start w:val="1"/>
      <w:numFmt w:val="decimal"/>
      <w:lvlText w:val="%1.%2.%3.%4.%5.%6.%7.%8."/>
      <w:lvlJc w:val="left"/>
      <w:pPr>
        <w:ind w:left="6816" w:hanging="1440"/>
      </w:pPr>
      <w:rPr>
        <w:rFonts w:cs="Times New Roman" w:hint="default"/>
        <w:sz w:val="22"/>
      </w:rPr>
    </w:lvl>
    <w:lvl w:ilvl="8">
      <w:start w:val="1"/>
      <w:numFmt w:val="decimal"/>
      <w:lvlText w:val="%1.%2.%3.%4.%5.%6.%7.%8.%9."/>
      <w:lvlJc w:val="left"/>
      <w:pPr>
        <w:ind w:left="7944" w:hanging="1800"/>
      </w:pPr>
      <w:rPr>
        <w:rFonts w:cs="Times New Roman" w:hint="default"/>
        <w:sz w:val="22"/>
      </w:rPr>
    </w:lvl>
  </w:abstractNum>
  <w:abstractNum w:abstractNumId="6">
    <w:nsid w:val="07A21518"/>
    <w:multiLevelType w:val="hybridMultilevel"/>
    <w:tmpl w:val="D984178A"/>
    <w:lvl w:ilvl="0" w:tplc="9AE4AF4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F97AA5"/>
    <w:multiLevelType w:val="hybridMultilevel"/>
    <w:tmpl w:val="6D6C4470"/>
    <w:lvl w:ilvl="0" w:tplc="F2EE4C20">
      <w:start w:val="1"/>
      <w:numFmt w:val="lowerLetter"/>
      <w:lvlText w:val="%1."/>
      <w:lvlJc w:val="left"/>
      <w:pPr>
        <w:ind w:left="720" w:hanging="360"/>
      </w:pPr>
      <w:rPr>
        <w:rFonts w:cs="Times New Roman" w:hint="default"/>
        <w:b/>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0B45C6"/>
    <w:multiLevelType w:val="hybridMultilevel"/>
    <w:tmpl w:val="0CB0FC22"/>
    <w:lvl w:ilvl="0" w:tplc="04090007">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CF53EA5"/>
    <w:multiLevelType w:val="hybridMultilevel"/>
    <w:tmpl w:val="0374F79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0E0C11CC"/>
    <w:multiLevelType w:val="hybridMultilevel"/>
    <w:tmpl w:val="FE00EE14"/>
    <w:lvl w:ilvl="0" w:tplc="9AE4AF4C">
      <w:start w:val="1"/>
      <w:numFmt w:val="bullet"/>
      <w:lvlText w:val="."/>
      <w:lvlJc w:val="left"/>
      <w:pPr>
        <w:ind w:left="1170" w:hanging="360"/>
      </w:pPr>
      <w:rPr>
        <w:rFonts w:ascii="Courier New" w:hAnsi="Courier New"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0E2302BB"/>
    <w:multiLevelType w:val="hybridMultilevel"/>
    <w:tmpl w:val="B7D29B9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E562372"/>
    <w:multiLevelType w:val="hybridMultilevel"/>
    <w:tmpl w:val="1C46F0DC"/>
    <w:lvl w:ilvl="0" w:tplc="04090015">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102633E1"/>
    <w:multiLevelType w:val="hybridMultilevel"/>
    <w:tmpl w:val="D31A2CF8"/>
    <w:lvl w:ilvl="0" w:tplc="0F7A0748">
      <w:start w:val="1"/>
      <w:numFmt w:val="decimal"/>
      <w:lvlText w:val="%1."/>
      <w:lvlJc w:val="left"/>
      <w:pPr>
        <w:ind w:left="720" w:hanging="360"/>
      </w:pPr>
      <w:rPr>
        <w:rFonts w:ascii="Calibri" w:eastAsia="Times New Roman" w:hAnsi="Calibri" w:cs="Times New Roman" w:hint="default"/>
        <w:b/>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nsid w:val="103F79AB"/>
    <w:multiLevelType w:val="hybridMultilevel"/>
    <w:tmpl w:val="E1E22DA0"/>
    <w:lvl w:ilvl="0" w:tplc="DB32B5EA">
      <w:start w:val="1"/>
      <w:numFmt w:val="lowerLetter"/>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161B345C"/>
    <w:multiLevelType w:val="hybridMultilevel"/>
    <w:tmpl w:val="756C3788"/>
    <w:lvl w:ilvl="0" w:tplc="C748873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62A0173"/>
    <w:multiLevelType w:val="hybridMultilevel"/>
    <w:tmpl w:val="75EAE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7926990"/>
    <w:multiLevelType w:val="hybridMultilevel"/>
    <w:tmpl w:val="241EDAA8"/>
    <w:lvl w:ilvl="0" w:tplc="0409000F">
      <w:start w:val="1"/>
      <w:numFmt w:val="decimal"/>
      <w:lvlText w:val="%1."/>
      <w:lvlJc w:val="left"/>
      <w:pPr>
        <w:ind w:left="1812" w:hanging="360"/>
      </w:p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8">
    <w:nsid w:val="1C8B3BB4"/>
    <w:multiLevelType w:val="hybridMultilevel"/>
    <w:tmpl w:val="56AC5AB6"/>
    <w:lvl w:ilvl="0" w:tplc="0D2493DE">
      <w:start w:val="1"/>
      <w:numFmt w:val="lowerLetter"/>
      <w:lvlText w:val="%1."/>
      <w:lvlJc w:val="left"/>
      <w:pPr>
        <w:ind w:left="2400" w:hanging="360"/>
      </w:pPr>
      <w:rPr>
        <w:rFonts w:cs="Arial" w:hint="default"/>
        <w:color w:val="000000"/>
        <w:sz w:val="20"/>
      </w:rPr>
    </w:lvl>
    <w:lvl w:ilvl="1" w:tplc="04090019" w:tentative="1">
      <w:start w:val="1"/>
      <w:numFmt w:val="lowerLetter"/>
      <w:lvlText w:val="%2."/>
      <w:lvlJc w:val="left"/>
      <w:pPr>
        <w:ind w:left="3120" w:hanging="360"/>
      </w:pPr>
      <w:rPr>
        <w:rFonts w:cs="Times New Roman"/>
      </w:rPr>
    </w:lvl>
    <w:lvl w:ilvl="2" w:tplc="0409001B" w:tentative="1">
      <w:start w:val="1"/>
      <w:numFmt w:val="lowerRoman"/>
      <w:lvlText w:val="%3."/>
      <w:lvlJc w:val="right"/>
      <w:pPr>
        <w:ind w:left="3840" w:hanging="180"/>
      </w:pPr>
      <w:rPr>
        <w:rFonts w:cs="Times New Roman"/>
      </w:rPr>
    </w:lvl>
    <w:lvl w:ilvl="3" w:tplc="0409000F" w:tentative="1">
      <w:start w:val="1"/>
      <w:numFmt w:val="decimal"/>
      <w:lvlText w:val="%4."/>
      <w:lvlJc w:val="left"/>
      <w:pPr>
        <w:ind w:left="4560" w:hanging="360"/>
      </w:pPr>
      <w:rPr>
        <w:rFonts w:cs="Times New Roman"/>
      </w:rPr>
    </w:lvl>
    <w:lvl w:ilvl="4" w:tplc="04090019" w:tentative="1">
      <w:start w:val="1"/>
      <w:numFmt w:val="lowerLetter"/>
      <w:lvlText w:val="%5."/>
      <w:lvlJc w:val="left"/>
      <w:pPr>
        <w:ind w:left="5280" w:hanging="360"/>
      </w:pPr>
      <w:rPr>
        <w:rFonts w:cs="Times New Roman"/>
      </w:rPr>
    </w:lvl>
    <w:lvl w:ilvl="5" w:tplc="0409001B" w:tentative="1">
      <w:start w:val="1"/>
      <w:numFmt w:val="lowerRoman"/>
      <w:lvlText w:val="%6."/>
      <w:lvlJc w:val="right"/>
      <w:pPr>
        <w:ind w:left="6000" w:hanging="180"/>
      </w:pPr>
      <w:rPr>
        <w:rFonts w:cs="Times New Roman"/>
      </w:rPr>
    </w:lvl>
    <w:lvl w:ilvl="6" w:tplc="0409000F" w:tentative="1">
      <w:start w:val="1"/>
      <w:numFmt w:val="decimal"/>
      <w:lvlText w:val="%7."/>
      <w:lvlJc w:val="left"/>
      <w:pPr>
        <w:ind w:left="6720" w:hanging="360"/>
      </w:pPr>
      <w:rPr>
        <w:rFonts w:cs="Times New Roman"/>
      </w:rPr>
    </w:lvl>
    <w:lvl w:ilvl="7" w:tplc="04090019" w:tentative="1">
      <w:start w:val="1"/>
      <w:numFmt w:val="lowerLetter"/>
      <w:lvlText w:val="%8."/>
      <w:lvlJc w:val="left"/>
      <w:pPr>
        <w:ind w:left="7440" w:hanging="360"/>
      </w:pPr>
      <w:rPr>
        <w:rFonts w:cs="Times New Roman"/>
      </w:rPr>
    </w:lvl>
    <w:lvl w:ilvl="8" w:tplc="0409001B" w:tentative="1">
      <w:start w:val="1"/>
      <w:numFmt w:val="lowerRoman"/>
      <w:lvlText w:val="%9."/>
      <w:lvlJc w:val="right"/>
      <w:pPr>
        <w:ind w:left="8160" w:hanging="180"/>
      </w:pPr>
      <w:rPr>
        <w:rFonts w:cs="Times New Roman"/>
      </w:rPr>
    </w:lvl>
  </w:abstractNum>
  <w:abstractNum w:abstractNumId="19">
    <w:nsid w:val="1DB67E23"/>
    <w:multiLevelType w:val="multilevel"/>
    <w:tmpl w:val="C80867A0"/>
    <w:lvl w:ilvl="0">
      <w:start w:val="2"/>
      <w:numFmt w:val="decimal"/>
      <w:lvlText w:val="%1."/>
      <w:lvlJc w:val="left"/>
      <w:pPr>
        <w:ind w:left="408" w:hanging="408"/>
      </w:pPr>
      <w:rPr>
        <w:rFonts w:hint="default"/>
        <w:b/>
        <w:sz w:val="24"/>
      </w:rPr>
    </w:lvl>
    <w:lvl w:ilvl="1">
      <w:start w:val="2"/>
      <w:numFmt w:val="decimal"/>
      <w:lvlText w:val="%1.%2."/>
      <w:lvlJc w:val="left"/>
      <w:pPr>
        <w:ind w:left="588" w:hanging="408"/>
      </w:pPr>
      <w:rPr>
        <w:rFonts w:hint="default"/>
        <w:b/>
        <w:sz w:val="24"/>
      </w:rPr>
    </w:lvl>
    <w:lvl w:ilvl="2">
      <w:start w:val="1"/>
      <w:numFmt w:val="decimal"/>
      <w:lvlText w:val="%1.%2.%3."/>
      <w:lvlJc w:val="left"/>
      <w:pPr>
        <w:ind w:left="1080" w:hanging="720"/>
      </w:pPr>
      <w:rPr>
        <w:rFonts w:hint="default"/>
        <w:b/>
        <w:sz w:val="24"/>
      </w:rPr>
    </w:lvl>
    <w:lvl w:ilvl="3">
      <w:start w:val="1"/>
      <w:numFmt w:val="decimal"/>
      <w:lvlText w:val="%1.%2.%3.%4."/>
      <w:lvlJc w:val="left"/>
      <w:pPr>
        <w:ind w:left="1260" w:hanging="720"/>
      </w:pPr>
      <w:rPr>
        <w:rFonts w:hint="default"/>
        <w:b/>
        <w:sz w:val="24"/>
      </w:rPr>
    </w:lvl>
    <w:lvl w:ilvl="4">
      <w:start w:val="1"/>
      <w:numFmt w:val="decimal"/>
      <w:lvlText w:val="%1.%2.%3.%4.%5."/>
      <w:lvlJc w:val="left"/>
      <w:pPr>
        <w:ind w:left="1800" w:hanging="1080"/>
      </w:pPr>
      <w:rPr>
        <w:rFonts w:hint="default"/>
        <w:b/>
        <w:sz w:val="24"/>
      </w:rPr>
    </w:lvl>
    <w:lvl w:ilvl="5">
      <w:start w:val="1"/>
      <w:numFmt w:val="decimal"/>
      <w:lvlText w:val="%1.%2.%3.%4.%5.%6."/>
      <w:lvlJc w:val="left"/>
      <w:pPr>
        <w:ind w:left="1980" w:hanging="1080"/>
      </w:pPr>
      <w:rPr>
        <w:rFonts w:hint="default"/>
        <w:b/>
        <w:sz w:val="24"/>
      </w:rPr>
    </w:lvl>
    <w:lvl w:ilvl="6">
      <w:start w:val="1"/>
      <w:numFmt w:val="decimal"/>
      <w:lvlText w:val="%1.%2.%3.%4.%5.%6.%7."/>
      <w:lvlJc w:val="left"/>
      <w:pPr>
        <w:ind w:left="2160" w:hanging="1080"/>
      </w:pPr>
      <w:rPr>
        <w:rFonts w:hint="default"/>
        <w:b/>
        <w:sz w:val="24"/>
      </w:rPr>
    </w:lvl>
    <w:lvl w:ilvl="7">
      <w:start w:val="1"/>
      <w:numFmt w:val="decimal"/>
      <w:lvlText w:val="%1.%2.%3.%4.%5.%6.%7.%8."/>
      <w:lvlJc w:val="left"/>
      <w:pPr>
        <w:ind w:left="2700" w:hanging="1440"/>
      </w:pPr>
      <w:rPr>
        <w:rFonts w:hint="default"/>
        <w:b/>
        <w:sz w:val="24"/>
      </w:rPr>
    </w:lvl>
    <w:lvl w:ilvl="8">
      <w:start w:val="1"/>
      <w:numFmt w:val="decimal"/>
      <w:lvlText w:val="%1.%2.%3.%4.%5.%6.%7.%8.%9."/>
      <w:lvlJc w:val="left"/>
      <w:pPr>
        <w:ind w:left="2880" w:hanging="1440"/>
      </w:pPr>
      <w:rPr>
        <w:rFonts w:hint="default"/>
        <w:b/>
        <w:sz w:val="24"/>
      </w:rPr>
    </w:lvl>
  </w:abstractNum>
  <w:abstractNum w:abstractNumId="20">
    <w:nsid w:val="1EDA4482"/>
    <w:multiLevelType w:val="hybridMultilevel"/>
    <w:tmpl w:val="80000DA4"/>
    <w:lvl w:ilvl="0" w:tplc="04090007">
      <w:start w:val="1"/>
      <w:numFmt w:val="bullet"/>
      <w:lvlText w:val=""/>
      <w:lvlPicBulletId w:val="0"/>
      <w:lvlJc w:val="left"/>
      <w:pPr>
        <w:ind w:left="542" w:hanging="360"/>
      </w:pPr>
      <w:rPr>
        <w:rFonts w:ascii="Symbol" w:hAnsi="Symbol" w:hint="default"/>
      </w:rPr>
    </w:lvl>
    <w:lvl w:ilvl="1" w:tplc="04090003" w:tentative="1">
      <w:start w:val="1"/>
      <w:numFmt w:val="bullet"/>
      <w:lvlText w:val="o"/>
      <w:lvlJc w:val="left"/>
      <w:pPr>
        <w:ind w:left="1262" w:hanging="360"/>
      </w:pPr>
      <w:rPr>
        <w:rFonts w:ascii="Courier New" w:hAnsi="Courier New" w:hint="default"/>
      </w:rPr>
    </w:lvl>
    <w:lvl w:ilvl="2" w:tplc="04090005" w:tentative="1">
      <w:start w:val="1"/>
      <w:numFmt w:val="bullet"/>
      <w:lvlText w:val=""/>
      <w:lvlJc w:val="left"/>
      <w:pPr>
        <w:ind w:left="1982" w:hanging="360"/>
      </w:pPr>
      <w:rPr>
        <w:rFonts w:ascii="Wingdings" w:hAnsi="Wingdings" w:hint="default"/>
      </w:rPr>
    </w:lvl>
    <w:lvl w:ilvl="3" w:tplc="04090001" w:tentative="1">
      <w:start w:val="1"/>
      <w:numFmt w:val="bullet"/>
      <w:lvlText w:val=""/>
      <w:lvlJc w:val="left"/>
      <w:pPr>
        <w:ind w:left="2702" w:hanging="360"/>
      </w:pPr>
      <w:rPr>
        <w:rFonts w:ascii="Symbol" w:hAnsi="Symbol" w:hint="default"/>
      </w:rPr>
    </w:lvl>
    <w:lvl w:ilvl="4" w:tplc="04090003" w:tentative="1">
      <w:start w:val="1"/>
      <w:numFmt w:val="bullet"/>
      <w:lvlText w:val="o"/>
      <w:lvlJc w:val="left"/>
      <w:pPr>
        <w:ind w:left="3422" w:hanging="360"/>
      </w:pPr>
      <w:rPr>
        <w:rFonts w:ascii="Courier New" w:hAnsi="Courier New" w:hint="default"/>
      </w:rPr>
    </w:lvl>
    <w:lvl w:ilvl="5" w:tplc="04090005" w:tentative="1">
      <w:start w:val="1"/>
      <w:numFmt w:val="bullet"/>
      <w:lvlText w:val=""/>
      <w:lvlJc w:val="left"/>
      <w:pPr>
        <w:ind w:left="4142" w:hanging="360"/>
      </w:pPr>
      <w:rPr>
        <w:rFonts w:ascii="Wingdings" w:hAnsi="Wingdings" w:hint="default"/>
      </w:rPr>
    </w:lvl>
    <w:lvl w:ilvl="6" w:tplc="04090001" w:tentative="1">
      <w:start w:val="1"/>
      <w:numFmt w:val="bullet"/>
      <w:lvlText w:val=""/>
      <w:lvlJc w:val="left"/>
      <w:pPr>
        <w:ind w:left="4862" w:hanging="360"/>
      </w:pPr>
      <w:rPr>
        <w:rFonts w:ascii="Symbol" w:hAnsi="Symbol" w:hint="default"/>
      </w:rPr>
    </w:lvl>
    <w:lvl w:ilvl="7" w:tplc="04090003" w:tentative="1">
      <w:start w:val="1"/>
      <w:numFmt w:val="bullet"/>
      <w:lvlText w:val="o"/>
      <w:lvlJc w:val="left"/>
      <w:pPr>
        <w:ind w:left="5582" w:hanging="360"/>
      </w:pPr>
      <w:rPr>
        <w:rFonts w:ascii="Courier New" w:hAnsi="Courier New" w:hint="default"/>
      </w:rPr>
    </w:lvl>
    <w:lvl w:ilvl="8" w:tplc="04090005" w:tentative="1">
      <w:start w:val="1"/>
      <w:numFmt w:val="bullet"/>
      <w:lvlText w:val=""/>
      <w:lvlJc w:val="left"/>
      <w:pPr>
        <w:ind w:left="6302" w:hanging="360"/>
      </w:pPr>
      <w:rPr>
        <w:rFonts w:ascii="Wingdings" w:hAnsi="Wingdings" w:hint="default"/>
      </w:rPr>
    </w:lvl>
  </w:abstractNum>
  <w:abstractNum w:abstractNumId="21">
    <w:nsid w:val="20FE5A3F"/>
    <w:multiLevelType w:val="hybridMultilevel"/>
    <w:tmpl w:val="6F5815D6"/>
    <w:lvl w:ilvl="0" w:tplc="04090001">
      <w:start w:val="1"/>
      <w:numFmt w:val="bullet"/>
      <w:lvlText w:val=""/>
      <w:lvlJc w:val="left"/>
      <w:pPr>
        <w:tabs>
          <w:tab w:val="num" w:pos="360"/>
        </w:tabs>
        <w:ind w:left="360" w:hanging="360"/>
      </w:pPr>
      <w:rPr>
        <w:rFonts w:ascii="Symbol" w:hAnsi="Symbol" w:hint="default"/>
      </w:rPr>
    </w:lvl>
    <w:lvl w:ilvl="1" w:tplc="331C0A08">
      <w:start w:val="1"/>
      <w:numFmt w:val="decimal"/>
      <w:lvlText w:val="%2."/>
      <w:lvlJc w:val="left"/>
      <w:pPr>
        <w:tabs>
          <w:tab w:val="num" w:pos="1080"/>
        </w:tabs>
        <w:ind w:left="1080" w:hanging="360"/>
      </w:pPr>
      <w:rPr>
        <w:rFonts w:cs="Times New Roman"/>
        <w:b/>
        <w:sz w:val="24"/>
      </w:rPr>
    </w:lvl>
    <w:lvl w:ilvl="2" w:tplc="04090005">
      <w:start w:val="1"/>
      <w:numFmt w:val="decimal"/>
      <w:lvlText w:val="%3."/>
      <w:lvlJc w:val="left"/>
      <w:pPr>
        <w:tabs>
          <w:tab w:val="num" w:pos="1800"/>
        </w:tabs>
        <w:ind w:left="1800" w:hanging="360"/>
      </w:pPr>
      <w:rPr>
        <w:rFonts w:cs="Times New Roman"/>
      </w:rPr>
    </w:lvl>
    <w:lvl w:ilvl="3" w:tplc="04090001">
      <w:start w:val="1"/>
      <w:numFmt w:val="decimal"/>
      <w:lvlText w:val="%4."/>
      <w:lvlJc w:val="left"/>
      <w:pPr>
        <w:tabs>
          <w:tab w:val="num" w:pos="2520"/>
        </w:tabs>
        <w:ind w:left="2520" w:hanging="360"/>
      </w:pPr>
      <w:rPr>
        <w:rFonts w:cs="Times New Roman"/>
      </w:rPr>
    </w:lvl>
    <w:lvl w:ilvl="4" w:tplc="04090003">
      <w:start w:val="1"/>
      <w:numFmt w:val="decimal"/>
      <w:lvlText w:val="%5."/>
      <w:lvlJc w:val="left"/>
      <w:pPr>
        <w:tabs>
          <w:tab w:val="num" w:pos="3240"/>
        </w:tabs>
        <w:ind w:left="3240" w:hanging="360"/>
      </w:pPr>
      <w:rPr>
        <w:rFonts w:cs="Times New Roman"/>
      </w:rPr>
    </w:lvl>
    <w:lvl w:ilvl="5" w:tplc="04090005">
      <w:start w:val="1"/>
      <w:numFmt w:val="decimal"/>
      <w:lvlText w:val="%6."/>
      <w:lvlJc w:val="left"/>
      <w:pPr>
        <w:tabs>
          <w:tab w:val="num" w:pos="3960"/>
        </w:tabs>
        <w:ind w:left="3960" w:hanging="360"/>
      </w:pPr>
      <w:rPr>
        <w:rFonts w:cs="Times New Roman"/>
      </w:rPr>
    </w:lvl>
    <w:lvl w:ilvl="6" w:tplc="04090001">
      <w:start w:val="1"/>
      <w:numFmt w:val="decimal"/>
      <w:lvlText w:val="%7."/>
      <w:lvlJc w:val="left"/>
      <w:pPr>
        <w:tabs>
          <w:tab w:val="num" w:pos="4680"/>
        </w:tabs>
        <w:ind w:left="4680" w:hanging="360"/>
      </w:pPr>
      <w:rPr>
        <w:rFonts w:cs="Times New Roman"/>
      </w:rPr>
    </w:lvl>
    <w:lvl w:ilvl="7" w:tplc="04090003">
      <w:start w:val="1"/>
      <w:numFmt w:val="decimal"/>
      <w:lvlText w:val="%8."/>
      <w:lvlJc w:val="left"/>
      <w:pPr>
        <w:tabs>
          <w:tab w:val="num" w:pos="5400"/>
        </w:tabs>
        <w:ind w:left="5400" w:hanging="360"/>
      </w:pPr>
      <w:rPr>
        <w:rFonts w:cs="Times New Roman"/>
      </w:rPr>
    </w:lvl>
    <w:lvl w:ilvl="8" w:tplc="04090005">
      <w:start w:val="1"/>
      <w:numFmt w:val="decimal"/>
      <w:lvlText w:val="%9."/>
      <w:lvlJc w:val="left"/>
      <w:pPr>
        <w:tabs>
          <w:tab w:val="num" w:pos="6120"/>
        </w:tabs>
        <w:ind w:left="6120" w:hanging="360"/>
      </w:pPr>
      <w:rPr>
        <w:rFonts w:cs="Times New Roman"/>
      </w:rPr>
    </w:lvl>
  </w:abstractNum>
  <w:abstractNum w:abstractNumId="22">
    <w:nsid w:val="20FF1EC0"/>
    <w:multiLevelType w:val="hybridMultilevel"/>
    <w:tmpl w:val="DFAC6DA4"/>
    <w:lvl w:ilvl="0" w:tplc="0F3258C6">
      <w:start w:val="1"/>
      <w:numFmt w:val="lowerLetter"/>
      <w:lvlText w:val="%1."/>
      <w:lvlJc w:val="left"/>
      <w:pPr>
        <w:ind w:left="1224" w:hanging="360"/>
      </w:pPr>
      <w:rPr>
        <w:rFonts w:cs="Times New Roman"/>
      </w:rPr>
    </w:lvl>
    <w:lvl w:ilvl="1" w:tplc="04090019">
      <w:start w:val="1"/>
      <w:numFmt w:val="lowerLetter"/>
      <w:lvlText w:val="%2."/>
      <w:lvlJc w:val="left"/>
      <w:pPr>
        <w:ind w:left="450"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3">
    <w:nsid w:val="241561B2"/>
    <w:multiLevelType w:val="hybridMultilevel"/>
    <w:tmpl w:val="9362BED4"/>
    <w:lvl w:ilvl="0" w:tplc="62FE45C0">
      <w:start w:val="1"/>
      <w:numFmt w:val="lowerLetter"/>
      <w:lvlText w:val="%1."/>
      <w:lvlJc w:val="left"/>
      <w:pPr>
        <w:ind w:left="430" w:hanging="360"/>
      </w:pPr>
      <w:rPr>
        <w:rFonts w:cs="Times New Roman" w:hint="default"/>
        <w:b/>
        <w:sz w:val="22"/>
        <w:szCs w:val="22"/>
      </w:rPr>
    </w:lvl>
    <w:lvl w:ilvl="1" w:tplc="04090003" w:tentative="1">
      <w:start w:val="1"/>
      <w:numFmt w:val="bullet"/>
      <w:lvlText w:val="o"/>
      <w:lvlJc w:val="left"/>
      <w:pPr>
        <w:ind w:left="1150" w:hanging="360"/>
      </w:pPr>
      <w:rPr>
        <w:rFonts w:ascii="Courier New" w:hAnsi="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24">
    <w:nsid w:val="24D07CB1"/>
    <w:multiLevelType w:val="hybridMultilevel"/>
    <w:tmpl w:val="E8C6AFE0"/>
    <w:lvl w:ilvl="0" w:tplc="0A26AD6A">
      <w:start w:val="1"/>
      <w:numFmt w:val="lowerLetter"/>
      <w:lvlText w:val="%1."/>
      <w:lvlJc w:val="left"/>
      <w:pPr>
        <w:ind w:left="720" w:hanging="360"/>
      </w:pPr>
      <w:rPr>
        <w:rFonts w:cs="Times New Roman"/>
        <w:b/>
        <w:i w:val="0"/>
      </w:rPr>
    </w:lvl>
    <w:lvl w:ilvl="1" w:tplc="C116EFE0">
      <w:start w:val="1"/>
      <w:numFmt w:val="lowerLetter"/>
      <w:lvlText w:val="%2."/>
      <w:lvlJc w:val="left"/>
      <w:pPr>
        <w:ind w:left="630" w:hanging="360"/>
      </w:pPr>
      <w:rPr>
        <w:rFonts w:cs="Times New Roman"/>
        <w:b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25474458"/>
    <w:multiLevelType w:val="hybridMultilevel"/>
    <w:tmpl w:val="278EF5B2"/>
    <w:lvl w:ilvl="0" w:tplc="3320C4AA">
      <w:start w:val="1"/>
      <w:numFmt w:val="lowerLetter"/>
      <w:lvlText w:val="%1."/>
      <w:lvlJc w:val="left"/>
      <w:pPr>
        <w:tabs>
          <w:tab w:val="num" w:pos="3240"/>
        </w:tabs>
        <w:ind w:left="32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285C0E4E"/>
    <w:multiLevelType w:val="multilevel"/>
    <w:tmpl w:val="2BDAD2D2"/>
    <w:lvl w:ilvl="0">
      <w:start w:val="1"/>
      <w:numFmt w:val="decimal"/>
      <w:lvlText w:val="%1."/>
      <w:lvlJc w:val="left"/>
      <w:pPr>
        <w:ind w:left="1080" w:hanging="360"/>
      </w:pPr>
      <w:rPr>
        <w:rFonts w:cs="Times New Roman" w:hint="default"/>
        <w:b/>
        <w:i w:val="0"/>
      </w:rPr>
    </w:lvl>
    <w:lvl w:ilvl="1">
      <w:start w:val="3"/>
      <w:numFmt w:val="decimal"/>
      <w:isLgl/>
      <w:lvlText w:val="%1.%2"/>
      <w:lvlJc w:val="left"/>
      <w:pPr>
        <w:ind w:left="1104" w:hanging="384"/>
      </w:pPr>
      <w:rPr>
        <w:rFonts w:cs="Times New Roman" w:hint="default"/>
        <w:sz w:val="24"/>
      </w:rPr>
    </w:lvl>
    <w:lvl w:ilvl="2">
      <w:start w:val="1"/>
      <w:numFmt w:val="decimal"/>
      <w:isLgl/>
      <w:lvlText w:val="%1.%2.%3"/>
      <w:lvlJc w:val="left"/>
      <w:pPr>
        <w:ind w:left="1440" w:hanging="720"/>
      </w:pPr>
      <w:rPr>
        <w:rFonts w:cs="Times New Roman" w:hint="default"/>
        <w:sz w:val="28"/>
      </w:rPr>
    </w:lvl>
    <w:lvl w:ilvl="3">
      <w:start w:val="1"/>
      <w:numFmt w:val="decimal"/>
      <w:isLgl/>
      <w:lvlText w:val="%1.%2.%3.%4"/>
      <w:lvlJc w:val="left"/>
      <w:pPr>
        <w:ind w:left="1800" w:hanging="1080"/>
      </w:pPr>
      <w:rPr>
        <w:rFonts w:cs="Times New Roman" w:hint="default"/>
        <w:sz w:val="28"/>
      </w:rPr>
    </w:lvl>
    <w:lvl w:ilvl="4">
      <w:start w:val="1"/>
      <w:numFmt w:val="decimal"/>
      <w:isLgl/>
      <w:lvlText w:val="%1.%2.%3.%4.%5"/>
      <w:lvlJc w:val="left"/>
      <w:pPr>
        <w:ind w:left="1800" w:hanging="1080"/>
      </w:pPr>
      <w:rPr>
        <w:rFonts w:cs="Times New Roman" w:hint="default"/>
        <w:sz w:val="28"/>
      </w:rPr>
    </w:lvl>
    <w:lvl w:ilvl="5">
      <w:start w:val="1"/>
      <w:numFmt w:val="decimal"/>
      <w:isLgl/>
      <w:lvlText w:val="%1.%2.%3.%4.%5.%6"/>
      <w:lvlJc w:val="left"/>
      <w:pPr>
        <w:ind w:left="2160" w:hanging="1440"/>
      </w:pPr>
      <w:rPr>
        <w:rFonts w:cs="Times New Roman" w:hint="default"/>
        <w:sz w:val="28"/>
      </w:rPr>
    </w:lvl>
    <w:lvl w:ilvl="6">
      <w:start w:val="1"/>
      <w:numFmt w:val="decimal"/>
      <w:isLgl/>
      <w:lvlText w:val="%1.%2.%3.%4.%5.%6.%7"/>
      <w:lvlJc w:val="left"/>
      <w:pPr>
        <w:ind w:left="2160" w:hanging="1440"/>
      </w:pPr>
      <w:rPr>
        <w:rFonts w:cs="Times New Roman" w:hint="default"/>
        <w:sz w:val="28"/>
      </w:rPr>
    </w:lvl>
    <w:lvl w:ilvl="7">
      <w:start w:val="1"/>
      <w:numFmt w:val="decimal"/>
      <w:isLgl/>
      <w:lvlText w:val="%1.%2.%3.%4.%5.%6.%7.%8"/>
      <w:lvlJc w:val="left"/>
      <w:pPr>
        <w:ind w:left="2520" w:hanging="1800"/>
      </w:pPr>
      <w:rPr>
        <w:rFonts w:cs="Times New Roman" w:hint="default"/>
        <w:sz w:val="28"/>
      </w:rPr>
    </w:lvl>
    <w:lvl w:ilvl="8">
      <w:start w:val="1"/>
      <w:numFmt w:val="decimal"/>
      <w:isLgl/>
      <w:lvlText w:val="%1.%2.%3.%4.%5.%6.%7.%8.%9"/>
      <w:lvlJc w:val="left"/>
      <w:pPr>
        <w:ind w:left="2520" w:hanging="1800"/>
      </w:pPr>
      <w:rPr>
        <w:rFonts w:cs="Times New Roman" w:hint="default"/>
        <w:sz w:val="28"/>
      </w:rPr>
    </w:lvl>
  </w:abstractNum>
  <w:abstractNum w:abstractNumId="27">
    <w:nsid w:val="2C9C27E1"/>
    <w:multiLevelType w:val="hybridMultilevel"/>
    <w:tmpl w:val="E06E60B2"/>
    <w:lvl w:ilvl="0" w:tplc="02A25FE2">
      <w:start w:val="1"/>
      <w:numFmt w:val="lowerLetter"/>
      <w:lvlText w:val="%1."/>
      <w:lvlJc w:val="left"/>
      <w:pPr>
        <w:ind w:left="360" w:hanging="360"/>
      </w:pPr>
      <w:rPr>
        <w:rFonts w:cs="Times New Roman"/>
        <w:b/>
        <w:i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nsid w:val="30D50BA5"/>
    <w:multiLevelType w:val="hybridMultilevel"/>
    <w:tmpl w:val="B6B6F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1647858"/>
    <w:multiLevelType w:val="hybridMultilevel"/>
    <w:tmpl w:val="2284A280"/>
    <w:lvl w:ilvl="0" w:tplc="04090001">
      <w:start w:val="1"/>
      <w:numFmt w:val="bullet"/>
      <w:lvlText w:val=""/>
      <w:lvlJc w:val="left"/>
      <w:pPr>
        <w:ind w:left="765"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nsid w:val="319B4794"/>
    <w:multiLevelType w:val="hybridMultilevel"/>
    <w:tmpl w:val="47782F84"/>
    <w:lvl w:ilvl="0" w:tplc="4092A598">
      <w:start w:val="1"/>
      <w:numFmt w:val="decimal"/>
      <w:lvlText w:val="%1."/>
      <w:lvlJc w:val="left"/>
      <w:pPr>
        <w:ind w:left="360" w:hanging="360"/>
      </w:pPr>
      <w:rPr>
        <w:rFonts w:cs="Times New Roman" w:hint="default"/>
        <w:sz w:val="24"/>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1">
    <w:nsid w:val="34207100"/>
    <w:multiLevelType w:val="hybridMultilevel"/>
    <w:tmpl w:val="B0E2465C"/>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35C04D67"/>
    <w:multiLevelType w:val="hybridMultilevel"/>
    <w:tmpl w:val="38E4E374"/>
    <w:lvl w:ilvl="0" w:tplc="04090001">
      <w:start w:val="1"/>
      <w:numFmt w:val="bullet"/>
      <w:lvlText w:val=""/>
      <w:lvlJc w:val="left"/>
      <w:pPr>
        <w:tabs>
          <w:tab w:val="num" w:pos="720"/>
        </w:tabs>
        <w:ind w:left="720" w:hanging="360"/>
      </w:pPr>
      <w:rPr>
        <w:rFonts w:ascii="Symbol" w:hAnsi="Symbol" w:hint="default"/>
        <w:b/>
        <w:i w:val="0"/>
      </w:rPr>
    </w:lvl>
    <w:lvl w:ilvl="1" w:tplc="65502764">
      <w:numFmt w:val="none"/>
      <w:lvlText w:val=""/>
      <w:lvlJc w:val="left"/>
      <w:pPr>
        <w:tabs>
          <w:tab w:val="num" w:pos="720"/>
        </w:tabs>
      </w:pPr>
      <w:rPr>
        <w:rFonts w:cs="Times New Roman"/>
      </w:rPr>
    </w:lvl>
    <w:lvl w:ilvl="2" w:tplc="890C22E6">
      <w:numFmt w:val="none"/>
      <w:lvlText w:val=""/>
      <w:lvlJc w:val="left"/>
      <w:pPr>
        <w:tabs>
          <w:tab w:val="num" w:pos="720"/>
        </w:tabs>
      </w:pPr>
      <w:rPr>
        <w:rFonts w:cs="Times New Roman"/>
      </w:rPr>
    </w:lvl>
    <w:lvl w:ilvl="3" w:tplc="3D486B06">
      <w:numFmt w:val="none"/>
      <w:lvlText w:val=""/>
      <w:lvlJc w:val="left"/>
      <w:pPr>
        <w:tabs>
          <w:tab w:val="num" w:pos="720"/>
        </w:tabs>
      </w:pPr>
      <w:rPr>
        <w:rFonts w:cs="Times New Roman"/>
      </w:rPr>
    </w:lvl>
    <w:lvl w:ilvl="4" w:tplc="4A087DD8">
      <w:numFmt w:val="none"/>
      <w:lvlText w:val=""/>
      <w:lvlJc w:val="left"/>
      <w:pPr>
        <w:tabs>
          <w:tab w:val="num" w:pos="720"/>
        </w:tabs>
      </w:pPr>
      <w:rPr>
        <w:rFonts w:cs="Times New Roman"/>
      </w:rPr>
    </w:lvl>
    <w:lvl w:ilvl="5" w:tplc="622CCBAC">
      <w:numFmt w:val="none"/>
      <w:lvlText w:val=""/>
      <w:lvlJc w:val="left"/>
      <w:pPr>
        <w:tabs>
          <w:tab w:val="num" w:pos="720"/>
        </w:tabs>
      </w:pPr>
      <w:rPr>
        <w:rFonts w:cs="Times New Roman"/>
      </w:rPr>
    </w:lvl>
    <w:lvl w:ilvl="6" w:tplc="239A3B66">
      <w:numFmt w:val="none"/>
      <w:lvlText w:val=""/>
      <w:lvlJc w:val="left"/>
      <w:pPr>
        <w:tabs>
          <w:tab w:val="num" w:pos="720"/>
        </w:tabs>
      </w:pPr>
      <w:rPr>
        <w:rFonts w:cs="Times New Roman"/>
      </w:rPr>
    </w:lvl>
    <w:lvl w:ilvl="7" w:tplc="29806210">
      <w:numFmt w:val="none"/>
      <w:lvlText w:val=""/>
      <w:lvlJc w:val="left"/>
      <w:pPr>
        <w:tabs>
          <w:tab w:val="num" w:pos="720"/>
        </w:tabs>
      </w:pPr>
      <w:rPr>
        <w:rFonts w:cs="Times New Roman"/>
      </w:rPr>
    </w:lvl>
    <w:lvl w:ilvl="8" w:tplc="5E5A1AEA">
      <w:numFmt w:val="none"/>
      <w:lvlText w:val=""/>
      <w:lvlJc w:val="left"/>
      <w:pPr>
        <w:tabs>
          <w:tab w:val="num" w:pos="720"/>
        </w:tabs>
      </w:pPr>
      <w:rPr>
        <w:rFonts w:cs="Times New Roman"/>
      </w:rPr>
    </w:lvl>
  </w:abstractNum>
  <w:abstractNum w:abstractNumId="33">
    <w:nsid w:val="388A406F"/>
    <w:multiLevelType w:val="hybridMultilevel"/>
    <w:tmpl w:val="F7C042CE"/>
    <w:lvl w:ilvl="0" w:tplc="04090019">
      <w:start w:val="1"/>
      <w:numFmt w:val="lowerLetter"/>
      <w:lvlText w:val="%1."/>
      <w:lvlJc w:val="left"/>
      <w:pPr>
        <w:ind w:left="720" w:hanging="360"/>
      </w:pPr>
      <w:rPr>
        <w:rFonts w:cs="Times New Roman"/>
      </w:rPr>
    </w:lvl>
    <w:lvl w:ilvl="1" w:tplc="573E68D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39715E21"/>
    <w:multiLevelType w:val="hybridMultilevel"/>
    <w:tmpl w:val="5620A592"/>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5">
    <w:nsid w:val="3C2F1316"/>
    <w:multiLevelType w:val="hybridMultilevel"/>
    <w:tmpl w:val="2864ED88"/>
    <w:lvl w:ilvl="0" w:tplc="04090007">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440379D3"/>
    <w:multiLevelType w:val="hybridMultilevel"/>
    <w:tmpl w:val="C352CA7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7">
    <w:nsid w:val="46A9037C"/>
    <w:multiLevelType w:val="hybridMultilevel"/>
    <w:tmpl w:val="AA1EE32A"/>
    <w:lvl w:ilvl="0" w:tplc="0F7A0748">
      <w:start w:val="1"/>
      <w:numFmt w:val="decimal"/>
      <w:lvlText w:val="%1."/>
      <w:lvlJc w:val="left"/>
      <w:pPr>
        <w:ind w:left="720" w:hanging="360"/>
      </w:pPr>
      <w:rPr>
        <w:rFonts w:ascii="Calibri" w:eastAsia="Times New Roman" w:hAnsi="Calibri" w:cs="Times New Roman" w:hint="default"/>
        <w:b/>
      </w:rPr>
    </w:lvl>
    <w:lvl w:ilvl="1" w:tplc="791EF1D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4B7216C9"/>
    <w:multiLevelType w:val="hybridMultilevel"/>
    <w:tmpl w:val="E960CEA0"/>
    <w:lvl w:ilvl="0" w:tplc="71FAE122">
      <w:start w:val="2"/>
      <w:numFmt w:val="decimal"/>
      <w:lvlText w:val="%1."/>
      <w:lvlJc w:val="left"/>
      <w:pPr>
        <w:ind w:left="360" w:hanging="360"/>
      </w:pPr>
      <w:rPr>
        <w:rFonts w:cs="Times New Roman" w:hint="default"/>
        <w:sz w:val="22"/>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9">
    <w:nsid w:val="50187C4F"/>
    <w:multiLevelType w:val="hybridMultilevel"/>
    <w:tmpl w:val="77E89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3C27B0E"/>
    <w:multiLevelType w:val="hybridMultilevel"/>
    <w:tmpl w:val="F120E0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53E53B0F"/>
    <w:multiLevelType w:val="hybridMultilevel"/>
    <w:tmpl w:val="8C5293F0"/>
    <w:lvl w:ilvl="0" w:tplc="E9B8F62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441197C"/>
    <w:multiLevelType w:val="hybridMultilevel"/>
    <w:tmpl w:val="278EF5B2"/>
    <w:lvl w:ilvl="0" w:tplc="3320C4AA">
      <w:start w:val="1"/>
      <w:numFmt w:val="lowerLetter"/>
      <w:lvlText w:val="%1."/>
      <w:lvlJc w:val="left"/>
      <w:pPr>
        <w:tabs>
          <w:tab w:val="num" w:pos="1620"/>
        </w:tabs>
        <w:ind w:left="1620" w:hanging="360"/>
      </w:pPr>
    </w:lvl>
    <w:lvl w:ilvl="1" w:tplc="04090019">
      <w:start w:val="1"/>
      <w:numFmt w:val="decimal"/>
      <w:lvlText w:val="%2."/>
      <w:lvlJc w:val="left"/>
      <w:pPr>
        <w:tabs>
          <w:tab w:val="num" w:pos="-180"/>
        </w:tabs>
        <w:ind w:left="-180" w:hanging="360"/>
      </w:pPr>
    </w:lvl>
    <w:lvl w:ilvl="2" w:tplc="0409001B">
      <w:start w:val="1"/>
      <w:numFmt w:val="decimal"/>
      <w:lvlText w:val="%3."/>
      <w:lvlJc w:val="left"/>
      <w:pPr>
        <w:tabs>
          <w:tab w:val="num" w:pos="540"/>
        </w:tabs>
        <w:ind w:left="540" w:hanging="360"/>
      </w:pPr>
    </w:lvl>
    <w:lvl w:ilvl="3" w:tplc="0409000F">
      <w:start w:val="1"/>
      <w:numFmt w:val="decimal"/>
      <w:lvlText w:val="%4."/>
      <w:lvlJc w:val="left"/>
      <w:pPr>
        <w:tabs>
          <w:tab w:val="num" w:pos="1260"/>
        </w:tabs>
        <w:ind w:left="1260" w:hanging="360"/>
      </w:pPr>
    </w:lvl>
    <w:lvl w:ilvl="4" w:tplc="04090019">
      <w:start w:val="1"/>
      <w:numFmt w:val="decimal"/>
      <w:lvlText w:val="%5."/>
      <w:lvlJc w:val="left"/>
      <w:pPr>
        <w:tabs>
          <w:tab w:val="num" w:pos="1980"/>
        </w:tabs>
        <w:ind w:left="1980" w:hanging="360"/>
      </w:pPr>
    </w:lvl>
    <w:lvl w:ilvl="5" w:tplc="0409001B">
      <w:start w:val="1"/>
      <w:numFmt w:val="decimal"/>
      <w:lvlText w:val="%6."/>
      <w:lvlJc w:val="left"/>
      <w:pPr>
        <w:tabs>
          <w:tab w:val="num" w:pos="2700"/>
        </w:tabs>
        <w:ind w:left="2700" w:hanging="360"/>
      </w:pPr>
    </w:lvl>
    <w:lvl w:ilvl="6" w:tplc="0409000F">
      <w:start w:val="1"/>
      <w:numFmt w:val="decimal"/>
      <w:lvlText w:val="%7."/>
      <w:lvlJc w:val="left"/>
      <w:pPr>
        <w:tabs>
          <w:tab w:val="num" w:pos="3420"/>
        </w:tabs>
        <w:ind w:left="3420" w:hanging="360"/>
      </w:pPr>
    </w:lvl>
    <w:lvl w:ilvl="7" w:tplc="04090019">
      <w:start w:val="1"/>
      <w:numFmt w:val="decimal"/>
      <w:lvlText w:val="%8."/>
      <w:lvlJc w:val="left"/>
      <w:pPr>
        <w:tabs>
          <w:tab w:val="num" w:pos="4140"/>
        </w:tabs>
        <w:ind w:left="4140" w:hanging="360"/>
      </w:pPr>
    </w:lvl>
    <w:lvl w:ilvl="8" w:tplc="0409001B">
      <w:start w:val="1"/>
      <w:numFmt w:val="decimal"/>
      <w:lvlText w:val="%9."/>
      <w:lvlJc w:val="left"/>
      <w:pPr>
        <w:tabs>
          <w:tab w:val="num" w:pos="4860"/>
        </w:tabs>
        <w:ind w:left="4860" w:hanging="360"/>
      </w:pPr>
    </w:lvl>
  </w:abstractNum>
  <w:abstractNum w:abstractNumId="43">
    <w:nsid w:val="5F1A434D"/>
    <w:multiLevelType w:val="hybridMultilevel"/>
    <w:tmpl w:val="2982B09C"/>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44">
    <w:nsid w:val="5F7D06E4"/>
    <w:multiLevelType w:val="hybridMultilevel"/>
    <w:tmpl w:val="E286B5F2"/>
    <w:lvl w:ilvl="0" w:tplc="262CD084">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1E31C09"/>
    <w:multiLevelType w:val="hybridMultilevel"/>
    <w:tmpl w:val="96F81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2970DAD"/>
    <w:multiLevelType w:val="hybridMultilevel"/>
    <w:tmpl w:val="1100950E"/>
    <w:lvl w:ilvl="0" w:tplc="CB540C00">
      <w:start w:val="1"/>
      <w:numFmt w:val="lowerLetter"/>
      <w:lvlText w:val="%1."/>
      <w:lvlJc w:val="left"/>
      <w:pPr>
        <w:ind w:left="720" w:hanging="360"/>
      </w:pPr>
      <w:rPr>
        <w:rFonts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91F0CCE"/>
    <w:multiLevelType w:val="hybridMultilevel"/>
    <w:tmpl w:val="D20E0794"/>
    <w:lvl w:ilvl="0" w:tplc="04090007">
      <w:start w:val="1"/>
      <w:numFmt w:val="bullet"/>
      <w:lvlText w:val=""/>
      <w:lvlPicBulletId w:val="0"/>
      <w:lvlJc w:val="left"/>
      <w:pPr>
        <w:ind w:left="514" w:hanging="360"/>
      </w:pPr>
      <w:rPr>
        <w:rFonts w:ascii="Symbol" w:hAnsi="Symbol" w:hint="default"/>
      </w:rPr>
    </w:lvl>
    <w:lvl w:ilvl="1" w:tplc="04090003" w:tentative="1">
      <w:start w:val="1"/>
      <w:numFmt w:val="bullet"/>
      <w:lvlText w:val="o"/>
      <w:lvlJc w:val="left"/>
      <w:pPr>
        <w:ind w:left="1234" w:hanging="360"/>
      </w:pPr>
      <w:rPr>
        <w:rFonts w:ascii="Courier New" w:hAnsi="Courier New" w:hint="default"/>
      </w:rPr>
    </w:lvl>
    <w:lvl w:ilvl="2" w:tplc="04090005" w:tentative="1">
      <w:start w:val="1"/>
      <w:numFmt w:val="bullet"/>
      <w:lvlText w:val=""/>
      <w:lvlJc w:val="left"/>
      <w:pPr>
        <w:ind w:left="1954" w:hanging="360"/>
      </w:pPr>
      <w:rPr>
        <w:rFonts w:ascii="Wingdings" w:hAnsi="Wingdings" w:hint="default"/>
      </w:rPr>
    </w:lvl>
    <w:lvl w:ilvl="3" w:tplc="04090001" w:tentative="1">
      <w:start w:val="1"/>
      <w:numFmt w:val="bullet"/>
      <w:lvlText w:val=""/>
      <w:lvlJc w:val="left"/>
      <w:pPr>
        <w:ind w:left="2674" w:hanging="360"/>
      </w:pPr>
      <w:rPr>
        <w:rFonts w:ascii="Symbol" w:hAnsi="Symbol" w:hint="default"/>
      </w:rPr>
    </w:lvl>
    <w:lvl w:ilvl="4" w:tplc="04090003" w:tentative="1">
      <w:start w:val="1"/>
      <w:numFmt w:val="bullet"/>
      <w:lvlText w:val="o"/>
      <w:lvlJc w:val="left"/>
      <w:pPr>
        <w:ind w:left="3394" w:hanging="360"/>
      </w:pPr>
      <w:rPr>
        <w:rFonts w:ascii="Courier New" w:hAnsi="Courier New" w:hint="default"/>
      </w:rPr>
    </w:lvl>
    <w:lvl w:ilvl="5" w:tplc="04090005" w:tentative="1">
      <w:start w:val="1"/>
      <w:numFmt w:val="bullet"/>
      <w:lvlText w:val=""/>
      <w:lvlJc w:val="left"/>
      <w:pPr>
        <w:ind w:left="4114" w:hanging="360"/>
      </w:pPr>
      <w:rPr>
        <w:rFonts w:ascii="Wingdings" w:hAnsi="Wingdings" w:hint="default"/>
      </w:rPr>
    </w:lvl>
    <w:lvl w:ilvl="6" w:tplc="04090001" w:tentative="1">
      <w:start w:val="1"/>
      <w:numFmt w:val="bullet"/>
      <w:lvlText w:val=""/>
      <w:lvlJc w:val="left"/>
      <w:pPr>
        <w:ind w:left="4834" w:hanging="360"/>
      </w:pPr>
      <w:rPr>
        <w:rFonts w:ascii="Symbol" w:hAnsi="Symbol" w:hint="default"/>
      </w:rPr>
    </w:lvl>
    <w:lvl w:ilvl="7" w:tplc="04090003" w:tentative="1">
      <w:start w:val="1"/>
      <w:numFmt w:val="bullet"/>
      <w:lvlText w:val="o"/>
      <w:lvlJc w:val="left"/>
      <w:pPr>
        <w:ind w:left="5554" w:hanging="360"/>
      </w:pPr>
      <w:rPr>
        <w:rFonts w:ascii="Courier New" w:hAnsi="Courier New" w:hint="default"/>
      </w:rPr>
    </w:lvl>
    <w:lvl w:ilvl="8" w:tplc="04090005" w:tentative="1">
      <w:start w:val="1"/>
      <w:numFmt w:val="bullet"/>
      <w:lvlText w:val=""/>
      <w:lvlJc w:val="left"/>
      <w:pPr>
        <w:ind w:left="6274" w:hanging="360"/>
      </w:pPr>
      <w:rPr>
        <w:rFonts w:ascii="Wingdings" w:hAnsi="Wingdings" w:hint="default"/>
      </w:rPr>
    </w:lvl>
  </w:abstractNum>
  <w:abstractNum w:abstractNumId="48">
    <w:nsid w:val="6B04594D"/>
    <w:multiLevelType w:val="hybridMultilevel"/>
    <w:tmpl w:val="DD5CC486"/>
    <w:lvl w:ilvl="0" w:tplc="0438172C">
      <w:start w:val="1"/>
      <w:numFmt w:val="bullet"/>
      <w:lvlText w:val=""/>
      <w:lvlPicBulletId w:val="1"/>
      <w:lvlJc w:val="left"/>
      <w:pPr>
        <w:ind w:left="360" w:hanging="360"/>
      </w:pPr>
      <w:rPr>
        <w:rFonts w:ascii="Symbol" w:hAnsi="Symbol" w:hint="default"/>
        <w:sz w:val="22"/>
        <w:szCs w:val="22"/>
      </w:rPr>
    </w:lvl>
    <w:lvl w:ilvl="1" w:tplc="04090003">
      <w:start w:val="1"/>
      <w:numFmt w:val="bullet"/>
      <w:lvlText w:val="o"/>
      <w:lvlJc w:val="left"/>
      <w:pPr>
        <w:ind w:left="1638" w:hanging="360"/>
      </w:pPr>
      <w:rPr>
        <w:rFonts w:ascii="Courier New" w:hAnsi="Courier New" w:hint="default"/>
      </w:rPr>
    </w:lvl>
    <w:lvl w:ilvl="2" w:tplc="04090005" w:tentative="1">
      <w:start w:val="1"/>
      <w:numFmt w:val="bullet"/>
      <w:lvlText w:val=""/>
      <w:lvlJc w:val="left"/>
      <w:pPr>
        <w:ind w:left="2358" w:hanging="360"/>
      </w:pPr>
      <w:rPr>
        <w:rFonts w:ascii="Wingdings" w:hAnsi="Wingdings" w:hint="default"/>
      </w:rPr>
    </w:lvl>
    <w:lvl w:ilvl="3" w:tplc="04090001" w:tentative="1">
      <w:start w:val="1"/>
      <w:numFmt w:val="bullet"/>
      <w:lvlText w:val=""/>
      <w:lvlJc w:val="left"/>
      <w:pPr>
        <w:ind w:left="3078" w:hanging="360"/>
      </w:pPr>
      <w:rPr>
        <w:rFonts w:ascii="Symbol" w:hAnsi="Symbol" w:hint="default"/>
      </w:rPr>
    </w:lvl>
    <w:lvl w:ilvl="4" w:tplc="04090003" w:tentative="1">
      <w:start w:val="1"/>
      <w:numFmt w:val="bullet"/>
      <w:lvlText w:val="o"/>
      <w:lvlJc w:val="left"/>
      <w:pPr>
        <w:ind w:left="3798" w:hanging="360"/>
      </w:pPr>
      <w:rPr>
        <w:rFonts w:ascii="Courier New" w:hAnsi="Courier New" w:hint="default"/>
      </w:rPr>
    </w:lvl>
    <w:lvl w:ilvl="5" w:tplc="04090005" w:tentative="1">
      <w:start w:val="1"/>
      <w:numFmt w:val="bullet"/>
      <w:lvlText w:val=""/>
      <w:lvlJc w:val="left"/>
      <w:pPr>
        <w:ind w:left="4518" w:hanging="360"/>
      </w:pPr>
      <w:rPr>
        <w:rFonts w:ascii="Wingdings" w:hAnsi="Wingdings" w:hint="default"/>
      </w:rPr>
    </w:lvl>
    <w:lvl w:ilvl="6" w:tplc="04090001" w:tentative="1">
      <w:start w:val="1"/>
      <w:numFmt w:val="bullet"/>
      <w:lvlText w:val=""/>
      <w:lvlJc w:val="left"/>
      <w:pPr>
        <w:ind w:left="5238" w:hanging="360"/>
      </w:pPr>
      <w:rPr>
        <w:rFonts w:ascii="Symbol" w:hAnsi="Symbol" w:hint="default"/>
      </w:rPr>
    </w:lvl>
    <w:lvl w:ilvl="7" w:tplc="04090003" w:tentative="1">
      <w:start w:val="1"/>
      <w:numFmt w:val="bullet"/>
      <w:lvlText w:val="o"/>
      <w:lvlJc w:val="left"/>
      <w:pPr>
        <w:ind w:left="5958" w:hanging="360"/>
      </w:pPr>
      <w:rPr>
        <w:rFonts w:ascii="Courier New" w:hAnsi="Courier New" w:hint="default"/>
      </w:rPr>
    </w:lvl>
    <w:lvl w:ilvl="8" w:tplc="04090005" w:tentative="1">
      <w:start w:val="1"/>
      <w:numFmt w:val="bullet"/>
      <w:lvlText w:val=""/>
      <w:lvlJc w:val="left"/>
      <w:pPr>
        <w:ind w:left="6678" w:hanging="360"/>
      </w:pPr>
      <w:rPr>
        <w:rFonts w:ascii="Wingdings" w:hAnsi="Wingdings" w:hint="default"/>
      </w:rPr>
    </w:lvl>
  </w:abstractNum>
  <w:abstractNum w:abstractNumId="49">
    <w:nsid w:val="6B283D8D"/>
    <w:multiLevelType w:val="hybridMultilevel"/>
    <w:tmpl w:val="6A22294C"/>
    <w:lvl w:ilvl="0" w:tplc="04090007">
      <w:start w:val="1"/>
      <w:numFmt w:val="bullet"/>
      <w:lvlText w:val=""/>
      <w:lvlPicBulletId w:val="0"/>
      <w:lvlJc w:val="left"/>
      <w:pPr>
        <w:ind w:left="360" w:hanging="360"/>
      </w:pPr>
      <w:rPr>
        <w:rFonts w:ascii="Symbol" w:hAnsi="Symbol" w:hint="default"/>
      </w:rPr>
    </w:lvl>
    <w:lvl w:ilvl="1" w:tplc="04090007">
      <w:start w:val="1"/>
      <w:numFmt w:val="bullet"/>
      <w:lvlText w:val=""/>
      <w:lvlPicBulletId w:val="0"/>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6F321C34"/>
    <w:multiLevelType w:val="hybridMultilevel"/>
    <w:tmpl w:val="E7066ADE"/>
    <w:lvl w:ilvl="0" w:tplc="0F3258C6">
      <w:start w:val="1"/>
      <w:numFmt w:val="lowerLetter"/>
      <w:lvlText w:val="%1."/>
      <w:lvlJc w:val="left"/>
      <w:pPr>
        <w:ind w:left="2376" w:hanging="360"/>
      </w:pPr>
      <w:rPr>
        <w:rFonts w:cs="Times New Roman"/>
      </w:rPr>
    </w:lvl>
    <w:lvl w:ilvl="1" w:tplc="04090019">
      <w:start w:val="1"/>
      <w:numFmt w:val="decimal"/>
      <w:lvlText w:val="%2."/>
      <w:lvlJc w:val="left"/>
      <w:pPr>
        <w:tabs>
          <w:tab w:val="num" w:pos="2004"/>
        </w:tabs>
        <w:ind w:left="2004" w:hanging="360"/>
      </w:pPr>
      <w:rPr>
        <w:rFonts w:cs="Times New Roman"/>
      </w:rPr>
    </w:lvl>
    <w:lvl w:ilvl="2" w:tplc="0409001B">
      <w:start w:val="1"/>
      <w:numFmt w:val="decimal"/>
      <w:lvlText w:val="%3."/>
      <w:lvlJc w:val="left"/>
      <w:pPr>
        <w:tabs>
          <w:tab w:val="num" w:pos="2724"/>
        </w:tabs>
        <w:ind w:left="2724" w:hanging="360"/>
      </w:pPr>
      <w:rPr>
        <w:rFonts w:cs="Times New Roman"/>
      </w:rPr>
    </w:lvl>
    <w:lvl w:ilvl="3" w:tplc="0409000F">
      <w:start w:val="1"/>
      <w:numFmt w:val="decimal"/>
      <w:lvlText w:val="%4."/>
      <w:lvlJc w:val="left"/>
      <w:pPr>
        <w:tabs>
          <w:tab w:val="num" w:pos="3444"/>
        </w:tabs>
        <w:ind w:left="3444" w:hanging="360"/>
      </w:pPr>
      <w:rPr>
        <w:rFonts w:cs="Times New Roman"/>
      </w:rPr>
    </w:lvl>
    <w:lvl w:ilvl="4" w:tplc="04090019">
      <w:start w:val="1"/>
      <w:numFmt w:val="decimal"/>
      <w:lvlText w:val="%5."/>
      <w:lvlJc w:val="left"/>
      <w:pPr>
        <w:tabs>
          <w:tab w:val="num" w:pos="4164"/>
        </w:tabs>
        <w:ind w:left="4164" w:hanging="360"/>
      </w:pPr>
      <w:rPr>
        <w:rFonts w:cs="Times New Roman"/>
      </w:rPr>
    </w:lvl>
    <w:lvl w:ilvl="5" w:tplc="0409001B">
      <w:start w:val="1"/>
      <w:numFmt w:val="decimal"/>
      <w:lvlText w:val="%6."/>
      <w:lvlJc w:val="left"/>
      <w:pPr>
        <w:tabs>
          <w:tab w:val="num" w:pos="4884"/>
        </w:tabs>
        <w:ind w:left="4884" w:hanging="360"/>
      </w:pPr>
      <w:rPr>
        <w:rFonts w:cs="Times New Roman"/>
      </w:rPr>
    </w:lvl>
    <w:lvl w:ilvl="6" w:tplc="0409000F">
      <w:start w:val="1"/>
      <w:numFmt w:val="decimal"/>
      <w:lvlText w:val="%7."/>
      <w:lvlJc w:val="left"/>
      <w:pPr>
        <w:tabs>
          <w:tab w:val="num" w:pos="5604"/>
        </w:tabs>
        <w:ind w:left="5604" w:hanging="360"/>
      </w:pPr>
      <w:rPr>
        <w:rFonts w:cs="Times New Roman"/>
      </w:rPr>
    </w:lvl>
    <w:lvl w:ilvl="7" w:tplc="04090019">
      <w:start w:val="1"/>
      <w:numFmt w:val="decimal"/>
      <w:lvlText w:val="%8."/>
      <w:lvlJc w:val="left"/>
      <w:pPr>
        <w:tabs>
          <w:tab w:val="num" w:pos="6324"/>
        </w:tabs>
        <w:ind w:left="6324" w:hanging="360"/>
      </w:pPr>
      <w:rPr>
        <w:rFonts w:cs="Times New Roman"/>
      </w:rPr>
    </w:lvl>
    <w:lvl w:ilvl="8" w:tplc="0409001B">
      <w:start w:val="1"/>
      <w:numFmt w:val="decimal"/>
      <w:lvlText w:val="%9."/>
      <w:lvlJc w:val="left"/>
      <w:pPr>
        <w:tabs>
          <w:tab w:val="num" w:pos="7044"/>
        </w:tabs>
        <w:ind w:left="7044" w:hanging="360"/>
      </w:pPr>
      <w:rPr>
        <w:rFonts w:cs="Times New Roman"/>
      </w:rPr>
    </w:lvl>
  </w:abstractNum>
  <w:abstractNum w:abstractNumId="51">
    <w:nsid w:val="701C3D17"/>
    <w:multiLevelType w:val="hybridMultilevel"/>
    <w:tmpl w:val="D8642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03C7F6D"/>
    <w:multiLevelType w:val="hybridMultilevel"/>
    <w:tmpl w:val="0A9E9D28"/>
    <w:lvl w:ilvl="0" w:tplc="04090007">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70B063CB"/>
    <w:multiLevelType w:val="hybridMultilevel"/>
    <w:tmpl w:val="D74888E2"/>
    <w:lvl w:ilvl="0" w:tplc="B19666CA">
      <w:start w:val="1"/>
      <w:numFmt w:val="lowerLetter"/>
      <w:lvlText w:val="%1."/>
      <w:lvlJc w:val="left"/>
      <w:pPr>
        <w:ind w:left="360" w:hanging="360"/>
      </w:pPr>
      <w:rPr>
        <w:rFonts w:cs="Times New Roman" w:hint="default"/>
        <w:b/>
        <w:i w:val="0"/>
        <w:sz w:val="22"/>
        <w:szCs w:val="22"/>
        <w:lang w:val="en-US"/>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2880D34"/>
    <w:multiLevelType w:val="hybridMultilevel"/>
    <w:tmpl w:val="7EC00572"/>
    <w:lvl w:ilvl="0" w:tplc="04090007">
      <w:start w:val="1"/>
      <w:numFmt w:val="bullet"/>
      <w:lvlText w:val=""/>
      <w:lvlPicBulletId w:val="1"/>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55">
    <w:nsid w:val="73125755"/>
    <w:multiLevelType w:val="hybridMultilevel"/>
    <w:tmpl w:val="6DD054AE"/>
    <w:lvl w:ilvl="0" w:tplc="5AB09804">
      <w:start w:val="1"/>
      <w:numFmt w:val="lowerLetter"/>
      <w:lvlText w:val="%1."/>
      <w:lvlJc w:val="left"/>
      <w:pPr>
        <w:ind w:left="2064" w:hanging="360"/>
      </w:pPr>
      <w:rPr>
        <w:rFonts w:cs="Arial" w:hint="default"/>
        <w:color w:val="000000"/>
        <w:sz w:val="20"/>
      </w:rPr>
    </w:lvl>
    <w:lvl w:ilvl="1" w:tplc="04090019" w:tentative="1">
      <w:start w:val="1"/>
      <w:numFmt w:val="lowerLetter"/>
      <w:lvlText w:val="%2."/>
      <w:lvlJc w:val="left"/>
      <w:pPr>
        <w:ind w:left="2784" w:hanging="360"/>
      </w:pPr>
    </w:lvl>
    <w:lvl w:ilvl="2" w:tplc="0409001B" w:tentative="1">
      <w:start w:val="1"/>
      <w:numFmt w:val="lowerRoman"/>
      <w:lvlText w:val="%3."/>
      <w:lvlJc w:val="right"/>
      <w:pPr>
        <w:ind w:left="3504" w:hanging="180"/>
      </w:pPr>
    </w:lvl>
    <w:lvl w:ilvl="3" w:tplc="0409000F" w:tentative="1">
      <w:start w:val="1"/>
      <w:numFmt w:val="decimal"/>
      <w:lvlText w:val="%4."/>
      <w:lvlJc w:val="left"/>
      <w:pPr>
        <w:ind w:left="4224" w:hanging="360"/>
      </w:p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56">
    <w:nsid w:val="73E15E08"/>
    <w:multiLevelType w:val="hybridMultilevel"/>
    <w:tmpl w:val="7A6619FC"/>
    <w:lvl w:ilvl="0" w:tplc="1A322FD6">
      <w:start w:val="1"/>
      <w:numFmt w:val="lowerLetter"/>
      <w:lvlText w:val="%1."/>
      <w:lvlJc w:val="left"/>
      <w:pPr>
        <w:ind w:left="360" w:hanging="360"/>
      </w:pPr>
      <w:rPr>
        <w:rFonts w:cs="Times New Roman"/>
        <w:b/>
        <w:sz w:val="22"/>
        <w:szCs w:val="22"/>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7">
    <w:nsid w:val="7686403D"/>
    <w:multiLevelType w:val="hybridMultilevel"/>
    <w:tmpl w:val="590810EA"/>
    <w:lvl w:ilvl="0" w:tplc="0F7A0748">
      <w:start w:val="1"/>
      <w:numFmt w:val="decimal"/>
      <w:lvlText w:val="%1."/>
      <w:lvlJc w:val="left"/>
      <w:pPr>
        <w:ind w:left="720" w:hanging="360"/>
      </w:pPr>
      <w:rPr>
        <w:rFonts w:ascii="Calibri" w:eastAsia="Times New Roman" w:hAnsi="Calibri" w:cs="Times New Roman" w:hint="default"/>
        <w:b/>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8">
    <w:nsid w:val="78133664"/>
    <w:multiLevelType w:val="multilevel"/>
    <w:tmpl w:val="79506958"/>
    <w:lvl w:ilvl="0">
      <w:start w:val="1"/>
      <w:numFmt w:val="decimal"/>
      <w:lvlText w:val="%1."/>
      <w:lvlJc w:val="left"/>
      <w:pPr>
        <w:ind w:left="360" w:hanging="360"/>
      </w:pPr>
      <w:rPr>
        <w:rFonts w:hint="default"/>
      </w:rPr>
    </w:lvl>
    <w:lvl w:ilvl="1">
      <w:start w:val="1"/>
      <w:numFmt w:val="decimal"/>
      <w:lvlText w:val="%1.%2."/>
      <w:lvlJc w:val="left"/>
      <w:pPr>
        <w:ind w:left="810" w:hanging="720"/>
      </w:pPr>
      <w:rPr>
        <w:rFonts w:hint="default"/>
        <w:b/>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520" w:hanging="1800"/>
      </w:pPr>
      <w:rPr>
        <w:rFonts w:hint="default"/>
      </w:rPr>
    </w:lvl>
  </w:abstractNum>
  <w:abstractNum w:abstractNumId="59">
    <w:nsid w:val="79F1630A"/>
    <w:multiLevelType w:val="hybridMultilevel"/>
    <w:tmpl w:val="407C5D60"/>
    <w:lvl w:ilvl="0" w:tplc="70920594">
      <w:start w:val="1"/>
      <w:numFmt w:val="lowerLetter"/>
      <w:lvlText w:val="%1."/>
      <w:lvlJc w:val="left"/>
      <w:pPr>
        <w:tabs>
          <w:tab w:val="num" w:pos="1512"/>
        </w:tabs>
        <w:ind w:left="1512" w:hanging="360"/>
      </w:pPr>
    </w:lvl>
    <w:lvl w:ilvl="1" w:tplc="04090019">
      <w:start w:val="1"/>
      <w:numFmt w:val="decimal"/>
      <w:lvlText w:val="%2."/>
      <w:lvlJc w:val="left"/>
      <w:pPr>
        <w:tabs>
          <w:tab w:val="num" w:pos="-288"/>
        </w:tabs>
        <w:ind w:left="-288" w:hanging="360"/>
      </w:pPr>
    </w:lvl>
    <w:lvl w:ilvl="2" w:tplc="0409001B">
      <w:start w:val="1"/>
      <w:numFmt w:val="decimal"/>
      <w:lvlText w:val="%3."/>
      <w:lvlJc w:val="left"/>
      <w:pPr>
        <w:tabs>
          <w:tab w:val="num" w:pos="432"/>
        </w:tabs>
        <w:ind w:left="432" w:hanging="360"/>
      </w:pPr>
    </w:lvl>
    <w:lvl w:ilvl="3" w:tplc="0409000F">
      <w:start w:val="1"/>
      <w:numFmt w:val="decimal"/>
      <w:lvlText w:val="%4."/>
      <w:lvlJc w:val="left"/>
      <w:pPr>
        <w:tabs>
          <w:tab w:val="num" w:pos="1152"/>
        </w:tabs>
        <w:ind w:left="1152" w:hanging="360"/>
      </w:pPr>
    </w:lvl>
    <w:lvl w:ilvl="4" w:tplc="04090019">
      <w:start w:val="1"/>
      <w:numFmt w:val="decimal"/>
      <w:lvlText w:val="%5."/>
      <w:lvlJc w:val="left"/>
      <w:pPr>
        <w:tabs>
          <w:tab w:val="num" w:pos="1872"/>
        </w:tabs>
        <w:ind w:left="1872" w:hanging="360"/>
      </w:pPr>
    </w:lvl>
    <w:lvl w:ilvl="5" w:tplc="0409001B">
      <w:start w:val="1"/>
      <w:numFmt w:val="decimal"/>
      <w:lvlText w:val="%6."/>
      <w:lvlJc w:val="left"/>
      <w:pPr>
        <w:tabs>
          <w:tab w:val="num" w:pos="2592"/>
        </w:tabs>
        <w:ind w:left="2592" w:hanging="360"/>
      </w:pPr>
    </w:lvl>
    <w:lvl w:ilvl="6" w:tplc="0409000F">
      <w:start w:val="1"/>
      <w:numFmt w:val="decimal"/>
      <w:lvlText w:val="%7."/>
      <w:lvlJc w:val="left"/>
      <w:pPr>
        <w:tabs>
          <w:tab w:val="num" w:pos="3312"/>
        </w:tabs>
        <w:ind w:left="3312" w:hanging="360"/>
      </w:pPr>
    </w:lvl>
    <w:lvl w:ilvl="7" w:tplc="04090019">
      <w:start w:val="1"/>
      <w:numFmt w:val="decimal"/>
      <w:lvlText w:val="%8."/>
      <w:lvlJc w:val="left"/>
      <w:pPr>
        <w:tabs>
          <w:tab w:val="num" w:pos="4032"/>
        </w:tabs>
        <w:ind w:left="4032" w:hanging="360"/>
      </w:pPr>
    </w:lvl>
    <w:lvl w:ilvl="8" w:tplc="0409001B">
      <w:start w:val="1"/>
      <w:numFmt w:val="decimal"/>
      <w:lvlText w:val="%9."/>
      <w:lvlJc w:val="left"/>
      <w:pPr>
        <w:tabs>
          <w:tab w:val="num" w:pos="4752"/>
        </w:tabs>
        <w:ind w:left="4752" w:hanging="360"/>
      </w:pPr>
    </w:lvl>
  </w:abstractNum>
  <w:abstractNum w:abstractNumId="60">
    <w:nsid w:val="7D462A4F"/>
    <w:multiLevelType w:val="hybridMultilevel"/>
    <w:tmpl w:val="A844AE3A"/>
    <w:lvl w:ilvl="0" w:tplc="5FE8D246">
      <w:start w:val="1"/>
      <w:numFmt w:val="upperLetter"/>
      <w:lvlText w:val="%1."/>
      <w:lvlJc w:val="left"/>
      <w:pPr>
        <w:ind w:left="720" w:hanging="360"/>
      </w:pPr>
      <w:rPr>
        <w:rFonts w:cs="Times New Roman"/>
        <w:b/>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1">
    <w:nsid w:val="7DF0372C"/>
    <w:multiLevelType w:val="hybridMultilevel"/>
    <w:tmpl w:val="7FF68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FC914C9"/>
    <w:multiLevelType w:val="hybridMultilevel"/>
    <w:tmpl w:val="2974A17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31"/>
  </w:num>
  <w:num w:numId="2">
    <w:abstractNumId w:val="35"/>
  </w:num>
  <w:num w:numId="3">
    <w:abstractNumId w:val="20"/>
  </w:num>
  <w:num w:numId="4">
    <w:abstractNumId w:val="26"/>
  </w:num>
  <w:num w:numId="5">
    <w:abstractNumId w:val="32"/>
  </w:num>
  <w:num w:numId="6">
    <w:abstractNumId w:val="47"/>
  </w:num>
  <w:num w:numId="7">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9"/>
  </w:num>
  <w:num w:numId="9">
    <w:abstractNumId w:val="50"/>
  </w:num>
  <w:num w:numId="1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num>
  <w:num w:numId="16">
    <w:abstractNumId w:val="39"/>
  </w:num>
  <w:num w:numId="17">
    <w:abstractNumId w:val="48"/>
  </w:num>
  <w:num w:numId="18">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
  </w:num>
  <w:num w:numId="21">
    <w:abstractNumId w:val="8"/>
  </w:num>
  <w:num w:numId="22">
    <w:abstractNumId w:val="56"/>
  </w:num>
  <w:num w:numId="23">
    <w:abstractNumId w:val="5"/>
  </w:num>
  <w:num w:numId="24">
    <w:abstractNumId w:val="4"/>
  </w:num>
  <w:num w:numId="25">
    <w:abstractNumId w:val="13"/>
  </w:num>
  <w:num w:numId="26">
    <w:abstractNumId w:val="57"/>
  </w:num>
  <w:num w:numId="27">
    <w:abstractNumId w:val="37"/>
  </w:num>
  <w:num w:numId="28">
    <w:abstractNumId w:val="12"/>
  </w:num>
  <w:num w:numId="29">
    <w:abstractNumId w:val="33"/>
  </w:num>
  <w:num w:numId="30">
    <w:abstractNumId w:val="14"/>
  </w:num>
  <w:num w:numId="31">
    <w:abstractNumId w:val="46"/>
  </w:num>
  <w:num w:numId="32">
    <w:abstractNumId w:val="7"/>
  </w:num>
  <w:num w:numId="33">
    <w:abstractNumId w:val="23"/>
  </w:num>
  <w:num w:numId="34">
    <w:abstractNumId w:val="53"/>
  </w:num>
  <w:num w:numId="35">
    <w:abstractNumId w:val="27"/>
  </w:num>
  <w:num w:numId="36">
    <w:abstractNumId w:val="24"/>
  </w:num>
  <w:num w:numId="37">
    <w:abstractNumId w:val="30"/>
  </w:num>
  <w:num w:numId="38">
    <w:abstractNumId w:val="11"/>
  </w:num>
  <w:num w:numId="39">
    <w:abstractNumId w:val="30"/>
  </w:num>
  <w:num w:numId="4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8"/>
  </w:num>
  <w:num w:numId="45">
    <w:abstractNumId w:val="19"/>
  </w:num>
  <w:num w:numId="46">
    <w:abstractNumId w:val="55"/>
  </w:num>
  <w:num w:numId="47">
    <w:abstractNumId w:val="28"/>
  </w:num>
  <w:num w:numId="48">
    <w:abstractNumId w:val="6"/>
  </w:num>
  <w:num w:numId="49">
    <w:abstractNumId w:val="61"/>
  </w:num>
  <w:num w:numId="50">
    <w:abstractNumId w:val="45"/>
  </w:num>
  <w:num w:numId="51">
    <w:abstractNumId w:val="43"/>
  </w:num>
  <w:num w:numId="52">
    <w:abstractNumId w:val="3"/>
  </w:num>
  <w:num w:numId="53">
    <w:abstractNumId w:val="17"/>
  </w:num>
  <w:num w:numId="54">
    <w:abstractNumId w:val="44"/>
  </w:num>
  <w:num w:numId="55">
    <w:abstractNumId w:val="22"/>
  </w:num>
  <w:num w:numId="5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1"/>
  </w:num>
  <w:num w:numId="61">
    <w:abstractNumId w:val="5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4"/>
  </w:num>
  <w:num w:numId="6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2"/>
  </w:num>
  <w:num w:numId="65">
    <w:abstractNumId w:val="25"/>
  </w:num>
  <w:num w:numId="6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88"/>
  <w:drawingGridHorizontalSpacing w:val="100"/>
  <w:displayHorizontalDrawingGridEvery w:val="2"/>
  <w:characterSpacingControl w:val="doNotCompress"/>
  <w:savePreviewPicture/>
  <w:footnotePr>
    <w:footnote w:id="0"/>
    <w:footnote w:id="1"/>
  </w:footnotePr>
  <w:endnotePr>
    <w:endnote w:id="0"/>
    <w:endnote w:id="1"/>
  </w:endnotePr>
  <w:compat/>
  <w:rsids>
    <w:rsidRoot w:val="00AA7A1C"/>
    <w:rsid w:val="00000847"/>
    <w:rsid w:val="000022EB"/>
    <w:rsid w:val="00003521"/>
    <w:rsid w:val="00004EC9"/>
    <w:rsid w:val="000050CD"/>
    <w:rsid w:val="000051F3"/>
    <w:rsid w:val="00006573"/>
    <w:rsid w:val="0000664B"/>
    <w:rsid w:val="00006BBE"/>
    <w:rsid w:val="000072A3"/>
    <w:rsid w:val="0001031C"/>
    <w:rsid w:val="00010879"/>
    <w:rsid w:val="00010C07"/>
    <w:rsid w:val="00010DAB"/>
    <w:rsid w:val="00011DB4"/>
    <w:rsid w:val="00011EC5"/>
    <w:rsid w:val="00012544"/>
    <w:rsid w:val="00014713"/>
    <w:rsid w:val="00017F3F"/>
    <w:rsid w:val="00020E2F"/>
    <w:rsid w:val="00021150"/>
    <w:rsid w:val="00022666"/>
    <w:rsid w:val="0002276C"/>
    <w:rsid w:val="00023CB1"/>
    <w:rsid w:val="000258E1"/>
    <w:rsid w:val="00025A8B"/>
    <w:rsid w:val="00025CFD"/>
    <w:rsid w:val="00027A40"/>
    <w:rsid w:val="00027BF9"/>
    <w:rsid w:val="00027D50"/>
    <w:rsid w:val="00030429"/>
    <w:rsid w:val="00031FA0"/>
    <w:rsid w:val="00037D00"/>
    <w:rsid w:val="00044BFD"/>
    <w:rsid w:val="00045517"/>
    <w:rsid w:val="00046D3D"/>
    <w:rsid w:val="000540F4"/>
    <w:rsid w:val="00056411"/>
    <w:rsid w:val="00057B01"/>
    <w:rsid w:val="000615BE"/>
    <w:rsid w:val="00061610"/>
    <w:rsid w:val="00061802"/>
    <w:rsid w:val="0006209D"/>
    <w:rsid w:val="000636BB"/>
    <w:rsid w:val="000639A0"/>
    <w:rsid w:val="00063CFD"/>
    <w:rsid w:val="00064CF3"/>
    <w:rsid w:val="00065488"/>
    <w:rsid w:val="00065BB7"/>
    <w:rsid w:val="00067BC0"/>
    <w:rsid w:val="00071848"/>
    <w:rsid w:val="000750E1"/>
    <w:rsid w:val="00076C18"/>
    <w:rsid w:val="00083FB8"/>
    <w:rsid w:val="000845CB"/>
    <w:rsid w:val="00084CBD"/>
    <w:rsid w:val="00087C0C"/>
    <w:rsid w:val="0009013A"/>
    <w:rsid w:val="0009179B"/>
    <w:rsid w:val="00093574"/>
    <w:rsid w:val="000943E9"/>
    <w:rsid w:val="000A02EF"/>
    <w:rsid w:val="000A26F2"/>
    <w:rsid w:val="000A3172"/>
    <w:rsid w:val="000A5497"/>
    <w:rsid w:val="000A6A3F"/>
    <w:rsid w:val="000A7959"/>
    <w:rsid w:val="000B4B67"/>
    <w:rsid w:val="000B5F32"/>
    <w:rsid w:val="000B7E48"/>
    <w:rsid w:val="000C057E"/>
    <w:rsid w:val="000C1CAA"/>
    <w:rsid w:val="000C1E80"/>
    <w:rsid w:val="000C2D85"/>
    <w:rsid w:val="000C492D"/>
    <w:rsid w:val="000C5AC7"/>
    <w:rsid w:val="000C6146"/>
    <w:rsid w:val="000C7290"/>
    <w:rsid w:val="000C7A25"/>
    <w:rsid w:val="000C7F3A"/>
    <w:rsid w:val="000D21AF"/>
    <w:rsid w:val="000D3483"/>
    <w:rsid w:val="000D39F5"/>
    <w:rsid w:val="000D4844"/>
    <w:rsid w:val="000D5610"/>
    <w:rsid w:val="000D5AE2"/>
    <w:rsid w:val="000D7E08"/>
    <w:rsid w:val="000E0373"/>
    <w:rsid w:val="000E175B"/>
    <w:rsid w:val="000E1B85"/>
    <w:rsid w:val="000E40C0"/>
    <w:rsid w:val="000E6D16"/>
    <w:rsid w:val="000E6D2F"/>
    <w:rsid w:val="000F1037"/>
    <w:rsid w:val="000F1824"/>
    <w:rsid w:val="000F5684"/>
    <w:rsid w:val="000F5D6A"/>
    <w:rsid w:val="000F6D1E"/>
    <w:rsid w:val="000F72B5"/>
    <w:rsid w:val="000F78F5"/>
    <w:rsid w:val="00100D10"/>
    <w:rsid w:val="00101B59"/>
    <w:rsid w:val="001037ED"/>
    <w:rsid w:val="001038E3"/>
    <w:rsid w:val="001049E5"/>
    <w:rsid w:val="001055A0"/>
    <w:rsid w:val="00111561"/>
    <w:rsid w:val="00111E56"/>
    <w:rsid w:val="001151A6"/>
    <w:rsid w:val="00115848"/>
    <w:rsid w:val="00115D64"/>
    <w:rsid w:val="00117582"/>
    <w:rsid w:val="0011797B"/>
    <w:rsid w:val="00122C47"/>
    <w:rsid w:val="00122D4D"/>
    <w:rsid w:val="00124815"/>
    <w:rsid w:val="001259E8"/>
    <w:rsid w:val="00125C4A"/>
    <w:rsid w:val="00127D0B"/>
    <w:rsid w:val="001315F3"/>
    <w:rsid w:val="00131ED0"/>
    <w:rsid w:val="001321A6"/>
    <w:rsid w:val="001341AE"/>
    <w:rsid w:val="00136321"/>
    <w:rsid w:val="00137C59"/>
    <w:rsid w:val="001408BD"/>
    <w:rsid w:val="00141EAB"/>
    <w:rsid w:val="00144EE5"/>
    <w:rsid w:val="001452C5"/>
    <w:rsid w:val="001455F0"/>
    <w:rsid w:val="00147881"/>
    <w:rsid w:val="00150DD7"/>
    <w:rsid w:val="00152605"/>
    <w:rsid w:val="00152A2E"/>
    <w:rsid w:val="00153208"/>
    <w:rsid w:val="001543AC"/>
    <w:rsid w:val="00154BB7"/>
    <w:rsid w:val="00155BB8"/>
    <w:rsid w:val="001616AD"/>
    <w:rsid w:val="00161754"/>
    <w:rsid w:val="0016346E"/>
    <w:rsid w:val="00163679"/>
    <w:rsid w:val="0016703B"/>
    <w:rsid w:val="00167211"/>
    <w:rsid w:val="00170A73"/>
    <w:rsid w:val="00170C24"/>
    <w:rsid w:val="00171D36"/>
    <w:rsid w:val="00172204"/>
    <w:rsid w:val="001722FA"/>
    <w:rsid w:val="0017293E"/>
    <w:rsid w:val="0017657D"/>
    <w:rsid w:val="001816C7"/>
    <w:rsid w:val="00181B01"/>
    <w:rsid w:val="00182EA8"/>
    <w:rsid w:val="00184626"/>
    <w:rsid w:val="00185762"/>
    <w:rsid w:val="00186F33"/>
    <w:rsid w:val="0019688F"/>
    <w:rsid w:val="00196DCF"/>
    <w:rsid w:val="0019701F"/>
    <w:rsid w:val="001A27C8"/>
    <w:rsid w:val="001A5EB2"/>
    <w:rsid w:val="001A70FF"/>
    <w:rsid w:val="001B062E"/>
    <w:rsid w:val="001B117C"/>
    <w:rsid w:val="001B1512"/>
    <w:rsid w:val="001B2DA3"/>
    <w:rsid w:val="001B36C5"/>
    <w:rsid w:val="001B4A1E"/>
    <w:rsid w:val="001B50CE"/>
    <w:rsid w:val="001B7539"/>
    <w:rsid w:val="001C07D7"/>
    <w:rsid w:val="001C1938"/>
    <w:rsid w:val="001C271F"/>
    <w:rsid w:val="001C28B7"/>
    <w:rsid w:val="001C2B8B"/>
    <w:rsid w:val="001C33D3"/>
    <w:rsid w:val="001C5381"/>
    <w:rsid w:val="001C659C"/>
    <w:rsid w:val="001D0054"/>
    <w:rsid w:val="001D2729"/>
    <w:rsid w:val="001D3C7B"/>
    <w:rsid w:val="001D6630"/>
    <w:rsid w:val="001E0EAA"/>
    <w:rsid w:val="001E1469"/>
    <w:rsid w:val="001E3480"/>
    <w:rsid w:val="001E3616"/>
    <w:rsid w:val="001F1463"/>
    <w:rsid w:val="001F2046"/>
    <w:rsid w:val="001F4E24"/>
    <w:rsid w:val="001F5576"/>
    <w:rsid w:val="001F58C9"/>
    <w:rsid w:val="001F614F"/>
    <w:rsid w:val="001F7AB8"/>
    <w:rsid w:val="0020061D"/>
    <w:rsid w:val="00202B63"/>
    <w:rsid w:val="00202FAD"/>
    <w:rsid w:val="0021226E"/>
    <w:rsid w:val="00214392"/>
    <w:rsid w:val="00215720"/>
    <w:rsid w:val="00215A6D"/>
    <w:rsid w:val="0021756C"/>
    <w:rsid w:val="00220780"/>
    <w:rsid w:val="002207CF"/>
    <w:rsid w:val="0022291B"/>
    <w:rsid w:val="00222EF1"/>
    <w:rsid w:val="002232C9"/>
    <w:rsid w:val="002263E0"/>
    <w:rsid w:val="00227E00"/>
    <w:rsid w:val="00230420"/>
    <w:rsid w:val="00231487"/>
    <w:rsid w:val="002333EE"/>
    <w:rsid w:val="0023487A"/>
    <w:rsid w:val="0023662F"/>
    <w:rsid w:val="00236820"/>
    <w:rsid w:val="00236FB5"/>
    <w:rsid w:val="00240840"/>
    <w:rsid w:val="00242F7A"/>
    <w:rsid w:val="002431D3"/>
    <w:rsid w:val="00245FBD"/>
    <w:rsid w:val="002465EE"/>
    <w:rsid w:val="00246E32"/>
    <w:rsid w:val="0025148A"/>
    <w:rsid w:val="0025160C"/>
    <w:rsid w:val="00252C2F"/>
    <w:rsid w:val="002541F1"/>
    <w:rsid w:val="0026275C"/>
    <w:rsid w:val="002628F8"/>
    <w:rsid w:val="00263F25"/>
    <w:rsid w:val="00263F6C"/>
    <w:rsid w:val="002641D5"/>
    <w:rsid w:val="002648D4"/>
    <w:rsid w:val="00265478"/>
    <w:rsid w:val="00266674"/>
    <w:rsid w:val="00267CAE"/>
    <w:rsid w:val="00273A55"/>
    <w:rsid w:val="00274082"/>
    <w:rsid w:val="00274C4C"/>
    <w:rsid w:val="00274EB2"/>
    <w:rsid w:val="00282B56"/>
    <w:rsid w:val="00283F51"/>
    <w:rsid w:val="00287D52"/>
    <w:rsid w:val="00296CDC"/>
    <w:rsid w:val="00297D2C"/>
    <w:rsid w:val="002A1467"/>
    <w:rsid w:val="002A2076"/>
    <w:rsid w:val="002A2A6A"/>
    <w:rsid w:val="002A3BC0"/>
    <w:rsid w:val="002A5355"/>
    <w:rsid w:val="002A6067"/>
    <w:rsid w:val="002A6E85"/>
    <w:rsid w:val="002A7054"/>
    <w:rsid w:val="002B02A6"/>
    <w:rsid w:val="002B04C4"/>
    <w:rsid w:val="002B0D33"/>
    <w:rsid w:val="002B3217"/>
    <w:rsid w:val="002B396E"/>
    <w:rsid w:val="002B56BA"/>
    <w:rsid w:val="002B6BA7"/>
    <w:rsid w:val="002C23F5"/>
    <w:rsid w:val="002C272C"/>
    <w:rsid w:val="002C3769"/>
    <w:rsid w:val="002C39F1"/>
    <w:rsid w:val="002C3F1C"/>
    <w:rsid w:val="002D00FF"/>
    <w:rsid w:val="002D03AE"/>
    <w:rsid w:val="002D1788"/>
    <w:rsid w:val="002D350C"/>
    <w:rsid w:val="002D53CF"/>
    <w:rsid w:val="002D5A3F"/>
    <w:rsid w:val="002E0AE9"/>
    <w:rsid w:val="002E16D6"/>
    <w:rsid w:val="002E5AA6"/>
    <w:rsid w:val="002E6627"/>
    <w:rsid w:val="002F01E0"/>
    <w:rsid w:val="002F271A"/>
    <w:rsid w:val="002F41A6"/>
    <w:rsid w:val="002F70DC"/>
    <w:rsid w:val="002F7FDD"/>
    <w:rsid w:val="00300F91"/>
    <w:rsid w:val="00303FF7"/>
    <w:rsid w:val="00305594"/>
    <w:rsid w:val="00305F39"/>
    <w:rsid w:val="003061C6"/>
    <w:rsid w:val="0030789F"/>
    <w:rsid w:val="00307F09"/>
    <w:rsid w:val="00310A64"/>
    <w:rsid w:val="0031198A"/>
    <w:rsid w:val="003129FD"/>
    <w:rsid w:val="00312E54"/>
    <w:rsid w:val="00314F84"/>
    <w:rsid w:val="0031530C"/>
    <w:rsid w:val="0031590D"/>
    <w:rsid w:val="00315E93"/>
    <w:rsid w:val="00316A04"/>
    <w:rsid w:val="00317F3A"/>
    <w:rsid w:val="0032030A"/>
    <w:rsid w:val="00321E53"/>
    <w:rsid w:val="003232A2"/>
    <w:rsid w:val="0032439F"/>
    <w:rsid w:val="003275B1"/>
    <w:rsid w:val="00332920"/>
    <w:rsid w:val="00334396"/>
    <w:rsid w:val="00340006"/>
    <w:rsid w:val="003413A5"/>
    <w:rsid w:val="003439C6"/>
    <w:rsid w:val="00343A06"/>
    <w:rsid w:val="003465F3"/>
    <w:rsid w:val="00350BBF"/>
    <w:rsid w:val="00352314"/>
    <w:rsid w:val="003539B1"/>
    <w:rsid w:val="0035526F"/>
    <w:rsid w:val="003553CD"/>
    <w:rsid w:val="00355874"/>
    <w:rsid w:val="00355B59"/>
    <w:rsid w:val="003573C1"/>
    <w:rsid w:val="00357606"/>
    <w:rsid w:val="00362096"/>
    <w:rsid w:val="0036386D"/>
    <w:rsid w:val="003669D7"/>
    <w:rsid w:val="003704F9"/>
    <w:rsid w:val="00376C70"/>
    <w:rsid w:val="00380183"/>
    <w:rsid w:val="003807F7"/>
    <w:rsid w:val="0038096D"/>
    <w:rsid w:val="00382B2C"/>
    <w:rsid w:val="00383369"/>
    <w:rsid w:val="00384A77"/>
    <w:rsid w:val="003863E4"/>
    <w:rsid w:val="003871FF"/>
    <w:rsid w:val="00390D5A"/>
    <w:rsid w:val="003914D9"/>
    <w:rsid w:val="00392CE4"/>
    <w:rsid w:val="00393BA7"/>
    <w:rsid w:val="00394329"/>
    <w:rsid w:val="0039448E"/>
    <w:rsid w:val="003947AA"/>
    <w:rsid w:val="003A28DD"/>
    <w:rsid w:val="003A4428"/>
    <w:rsid w:val="003A7C75"/>
    <w:rsid w:val="003B1942"/>
    <w:rsid w:val="003B2620"/>
    <w:rsid w:val="003B2735"/>
    <w:rsid w:val="003B3F06"/>
    <w:rsid w:val="003B5FE3"/>
    <w:rsid w:val="003B6ADA"/>
    <w:rsid w:val="003B6D1A"/>
    <w:rsid w:val="003C29E8"/>
    <w:rsid w:val="003C4FBF"/>
    <w:rsid w:val="003C5DDB"/>
    <w:rsid w:val="003C63E8"/>
    <w:rsid w:val="003D0381"/>
    <w:rsid w:val="003D0C0E"/>
    <w:rsid w:val="003D0D03"/>
    <w:rsid w:val="003D2770"/>
    <w:rsid w:val="003D364D"/>
    <w:rsid w:val="003D65A2"/>
    <w:rsid w:val="003D6C96"/>
    <w:rsid w:val="003D7820"/>
    <w:rsid w:val="003E069C"/>
    <w:rsid w:val="003E072F"/>
    <w:rsid w:val="003E14D7"/>
    <w:rsid w:val="003E3C4D"/>
    <w:rsid w:val="003E4D33"/>
    <w:rsid w:val="003E5EFF"/>
    <w:rsid w:val="003E751B"/>
    <w:rsid w:val="003E791B"/>
    <w:rsid w:val="003F0D08"/>
    <w:rsid w:val="003F2088"/>
    <w:rsid w:val="003F23D0"/>
    <w:rsid w:val="003F5143"/>
    <w:rsid w:val="003F5163"/>
    <w:rsid w:val="003F5B60"/>
    <w:rsid w:val="003F7690"/>
    <w:rsid w:val="003F779F"/>
    <w:rsid w:val="003F7978"/>
    <w:rsid w:val="00401A15"/>
    <w:rsid w:val="00403A41"/>
    <w:rsid w:val="0041450A"/>
    <w:rsid w:val="00415105"/>
    <w:rsid w:val="0041572B"/>
    <w:rsid w:val="004163CA"/>
    <w:rsid w:val="00420A12"/>
    <w:rsid w:val="00420B20"/>
    <w:rsid w:val="00424CDE"/>
    <w:rsid w:val="00427636"/>
    <w:rsid w:val="00430D09"/>
    <w:rsid w:val="00431597"/>
    <w:rsid w:val="0043211C"/>
    <w:rsid w:val="00433087"/>
    <w:rsid w:val="004336E6"/>
    <w:rsid w:val="00433C17"/>
    <w:rsid w:val="00433C1A"/>
    <w:rsid w:val="00433E33"/>
    <w:rsid w:val="00435BF0"/>
    <w:rsid w:val="00437606"/>
    <w:rsid w:val="004408AE"/>
    <w:rsid w:val="004420B8"/>
    <w:rsid w:val="00442428"/>
    <w:rsid w:val="004426EF"/>
    <w:rsid w:val="004437D0"/>
    <w:rsid w:val="00443D5B"/>
    <w:rsid w:val="004456AA"/>
    <w:rsid w:val="00446A71"/>
    <w:rsid w:val="00446BA2"/>
    <w:rsid w:val="00446BC4"/>
    <w:rsid w:val="0045026E"/>
    <w:rsid w:val="00452523"/>
    <w:rsid w:val="004538C3"/>
    <w:rsid w:val="00453D78"/>
    <w:rsid w:val="00457A79"/>
    <w:rsid w:val="0046120A"/>
    <w:rsid w:val="00462BA0"/>
    <w:rsid w:val="0046443F"/>
    <w:rsid w:val="00464CB5"/>
    <w:rsid w:val="00466356"/>
    <w:rsid w:val="00470191"/>
    <w:rsid w:val="00470888"/>
    <w:rsid w:val="00473CC5"/>
    <w:rsid w:val="00474112"/>
    <w:rsid w:val="004742C8"/>
    <w:rsid w:val="004744FF"/>
    <w:rsid w:val="00475E68"/>
    <w:rsid w:val="004765FA"/>
    <w:rsid w:val="00477064"/>
    <w:rsid w:val="004801C2"/>
    <w:rsid w:val="00481E8D"/>
    <w:rsid w:val="004845EE"/>
    <w:rsid w:val="00486494"/>
    <w:rsid w:val="0048703B"/>
    <w:rsid w:val="00490494"/>
    <w:rsid w:val="004918E6"/>
    <w:rsid w:val="004935CD"/>
    <w:rsid w:val="00494F9A"/>
    <w:rsid w:val="004951DF"/>
    <w:rsid w:val="00496749"/>
    <w:rsid w:val="00497BF7"/>
    <w:rsid w:val="004A00FF"/>
    <w:rsid w:val="004A4C89"/>
    <w:rsid w:val="004A4E9A"/>
    <w:rsid w:val="004A6B15"/>
    <w:rsid w:val="004A755E"/>
    <w:rsid w:val="004B21AE"/>
    <w:rsid w:val="004B35AE"/>
    <w:rsid w:val="004B3A58"/>
    <w:rsid w:val="004B49FA"/>
    <w:rsid w:val="004B6A0F"/>
    <w:rsid w:val="004B7F31"/>
    <w:rsid w:val="004C01B3"/>
    <w:rsid w:val="004C3ED5"/>
    <w:rsid w:val="004C5381"/>
    <w:rsid w:val="004C68AD"/>
    <w:rsid w:val="004C6EE3"/>
    <w:rsid w:val="004C750A"/>
    <w:rsid w:val="004D03AA"/>
    <w:rsid w:val="004D04AE"/>
    <w:rsid w:val="004D0BC4"/>
    <w:rsid w:val="004D106B"/>
    <w:rsid w:val="004D2C21"/>
    <w:rsid w:val="004D2C8B"/>
    <w:rsid w:val="004D6E76"/>
    <w:rsid w:val="004E0988"/>
    <w:rsid w:val="004E0F98"/>
    <w:rsid w:val="004E1886"/>
    <w:rsid w:val="004E61DA"/>
    <w:rsid w:val="004E7F5F"/>
    <w:rsid w:val="004F0825"/>
    <w:rsid w:val="004F0B40"/>
    <w:rsid w:val="004F320F"/>
    <w:rsid w:val="004F35BD"/>
    <w:rsid w:val="004F3C95"/>
    <w:rsid w:val="004F5C6D"/>
    <w:rsid w:val="00500C2A"/>
    <w:rsid w:val="00503168"/>
    <w:rsid w:val="00506EA8"/>
    <w:rsid w:val="00511056"/>
    <w:rsid w:val="00512827"/>
    <w:rsid w:val="00513312"/>
    <w:rsid w:val="00514022"/>
    <w:rsid w:val="005158F6"/>
    <w:rsid w:val="00515D55"/>
    <w:rsid w:val="005176F6"/>
    <w:rsid w:val="00517E7E"/>
    <w:rsid w:val="00520A38"/>
    <w:rsid w:val="005210C1"/>
    <w:rsid w:val="005214FF"/>
    <w:rsid w:val="00523233"/>
    <w:rsid w:val="005251C5"/>
    <w:rsid w:val="0052551D"/>
    <w:rsid w:val="0052586F"/>
    <w:rsid w:val="0052731C"/>
    <w:rsid w:val="00530235"/>
    <w:rsid w:val="00530E8C"/>
    <w:rsid w:val="00531AB7"/>
    <w:rsid w:val="005358D7"/>
    <w:rsid w:val="005404B1"/>
    <w:rsid w:val="00540BEA"/>
    <w:rsid w:val="005411AC"/>
    <w:rsid w:val="00541BC6"/>
    <w:rsid w:val="00542313"/>
    <w:rsid w:val="005426FE"/>
    <w:rsid w:val="00542EE3"/>
    <w:rsid w:val="005437CA"/>
    <w:rsid w:val="00543F51"/>
    <w:rsid w:val="00546BD5"/>
    <w:rsid w:val="005479ED"/>
    <w:rsid w:val="00550701"/>
    <w:rsid w:val="0055366F"/>
    <w:rsid w:val="00554702"/>
    <w:rsid w:val="00554DF4"/>
    <w:rsid w:val="00555AFA"/>
    <w:rsid w:val="0055625C"/>
    <w:rsid w:val="00557D9D"/>
    <w:rsid w:val="005638A1"/>
    <w:rsid w:val="00563AD8"/>
    <w:rsid w:val="005675A8"/>
    <w:rsid w:val="00567B82"/>
    <w:rsid w:val="00570306"/>
    <w:rsid w:val="00571D4C"/>
    <w:rsid w:val="00571DDD"/>
    <w:rsid w:val="00571F22"/>
    <w:rsid w:val="00572B45"/>
    <w:rsid w:val="00573033"/>
    <w:rsid w:val="005745C2"/>
    <w:rsid w:val="00574C80"/>
    <w:rsid w:val="005751BE"/>
    <w:rsid w:val="005767AA"/>
    <w:rsid w:val="00580088"/>
    <w:rsid w:val="00581596"/>
    <w:rsid w:val="00583C63"/>
    <w:rsid w:val="005862EB"/>
    <w:rsid w:val="005872AE"/>
    <w:rsid w:val="00590B4C"/>
    <w:rsid w:val="00591367"/>
    <w:rsid w:val="005917AC"/>
    <w:rsid w:val="00591A8E"/>
    <w:rsid w:val="005924F3"/>
    <w:rsid w:val="0059290B"/>
    <w:rsid w:val="0059411A"/>
    <w:rsid w:val="005A046D"/>
    <w:rsid w:val="005A2370"/>
    <w:rsid w:val="005A2BFD"/>
    <w:rsid w:val="005A33F9"/>
    <w:rsid w:val="005A377B"/>
    <w:rsid w:val="005A54A1"/>
    <w:rsid w:val="005A6E4C"/>
    <w:rsid w:val="005A7687"/>
    <w:rsid w:val="005B3416"/>
    <w:rsid w:val="005B354B"/>
    <w:rsid w:val="005B56B4"/>
    <w:rsid w:val="005B5A9E"/>
    <w:rsid w:val="005B624E"/>
    <w:rsid w:val="005C2931"/>
    <w:rsid w:val="005C36C1"/>
    <w:rsid w:val="005C4EB1"/>
    <w:rsid w:val="005C5AF3"/>
    <w:rsid w:val="005D0819"/>
    <w:rsid w:val="005D0F32"/>
    <w:rsid w:val="005D37F4"/>
    <w:rsid w:val="005D3C68"/>
    <w:rsid w:val="005D6B07"/>
    <w:rsid w:val="005E1BEC"/>
    <w:rsid w:val="005E1DE6"/>
    <w:rsid w:val="005E1F47"/>
    <w:rsid w:val="005E262E"/>
    <w:rsid w:val="005E2A39"/>
    <w:rsid w:val="005E3785"/>
    <w:rsid w:val="005E476B"/>
    <w:rsid w:val="005E504B"/>
    <w:rsid w:val="005E5337"/>
    <w:rsid w:val="005F1B3F"/>
    <w:rsid w:val="005F3F85"/>
    <w:rsid w:val="005F531B"/>
    <w:rsid w:val="005F59AE"/>
    <w:rsid w:val="005F6B2B"/>
    <w:rsid w:val="0060157C"/>
    <w:rsid w:val="0060174D"/>
    <w:rsid w:val="00602A3D"/>
    <w:rsid w:val="00602E79"/>
    <w:rsid w:val="0060310B"/>
    <w:rsid w:val="00606B84"/>
    <w:rsid w:val="00607CC9"/>
    <w:rsid w:val="00612899"/>
    <w:rsid w:val="00614287"/>
    <w:rsid w:val="00615C72"/>
    <w:rsid w:val="00617B78"/>
    <w:rsid w:val="00622D73"/>
    <w:rsid w:val="00622FE3"/>
    <w:rsid w:val="006257C8"/>
    <w:rsid w:val="006316BA"/>
    <w:rsid w:val="00631813"/>
    <w:rsid w:val="00633C04"/>
    <w:rsid w:val="00634C02"/>
    <w:rsid w:val="00634C32"/>
    <w:rsid w:val="006350D3"/>
    <w:rsid w:val="00635770"/>
    <w:rsid w:val="006358F5"/>
    <w:rsid w:val="00635E6D"/>
    <w:rsid w:val="00641904"/>
    <w:rsid w:val="00641C40"/>
    <w:rsid w:val="00642B9B"/>
    <w:rsid w:val="0064344F"/>
    <w:rsid w:val="006436C3"/>
    <w:rsid w:val="00645932"/>
    <w:rsid w:val="00645FE1"/>
    <w:rsid w:val="00650225"/>
    <w:rsid w:val="00650F67"/>
    <w:rsid w:val="006528DC"/>
    <w:rsid w:val="00653800"/>
    <w:rsid w:val="00653DE7"/>
    <w:rsid w:val="006545A6"/>
    <w:rsid w:val="00661E8D"/>
    <w:rsid w:val="00664933"/>
    <w:rsid w:val="00665A18"/>
    <w:rsid w:val="006662F2"/>
    <w:rsid w:val="00666FFA"/>
    <w:rsid w:val="00673458"/>
    <w:rsid w:val="0067415B"/>
    <w:rsid w:val="0067564D"/>
    <w:rsid w:val="00675737"/>
    <w:rsid w:val="00676362"/>
    <w:rsid w:val="00677D19"/>
    <w:rsid w:val="00683981"/>
    <w:rsid w:val="006842AE"/>
    <w:rsid w:val="006847B5"/>
    <w:rsid w:val="00686583"/>
    <w:rsid w:val="00686E4D"/>
    <w:rsid w:val="0069057A"/>
    <w:rsid w:val="0069273E"/>
    <w:rsid w:val="00692DDA"/>
    <w:rsid w:val="006937A0"/>
    <w:rsid w:val="006958E8"/>
    <w:rsid w:val="00696A65"/>
    <w:rsid w:val="006A07B7"/>
    <w:rsid w:val="006A1200"/>
    <w:rsid w:val="006A164E"/>
    <w:rsid w:val="006A3994"/>
    <w:rsid w:val="006A4919"/>
    <w:rsid w:val="006A7978"/>
    <w:rsid w:val="006B0BD4"/>
    <w:rsid w:val="006B0FAA"/>
    <w:rsid w:val="006B145F"/>
    <w:rsid w:val="006B166F"/>
    <w:rsid w:val="006B2249"/>
    <w:rsid w:val="006B4342"/>
    <w:rsid w:val="006B45DD"/>
    <w:rsid w:val="006B4CD0"/>
    <w:rsid w:val="006C04D9"/>
    <w:rsid w:val="006C0F58"/>
    <w:rsid w:val="006C3DEF"/>
    <w:rsid w:val="006C3E00"/>
    <w:rsid w:val="006C4795"/>
    <w:rsid w:val="006C5868"/>
    <w:rsid w:val="006C6895"/>
    <w:rsid w:val="006D1855"/>
    <w:rsid w:val="006D45E6"/>
    <w:rsid w:val="006D508E"/>
    <w:rsid w:val="006D59E2"/>
    <w:rsid w:val="006D62DC"/>
    <w:rsid w:val="006E1C1C"/>
    <w:rsid w:val="006E29A6"/>
    <w:rsid w:val="006E3D80"/>
    <w:rsid w:val="006E7552"/>
    <w:rsid w:val="006F0EBA"/>
    <w:rsid w:val="006F2590"/>
    <w:rsid w:val="006F46D6"/>
    <w:rsid w:val="006F5BB6"/>
    <w:rsid w:val="006F5E33"/>
    <w:rsid w:val="006F6348"/>
    <w:rsid w:val="006F643D"/>
    <w:rsid w:val="006F7A53"/>
    <w:rsid w:val="007001F3"/>
    <w:rsid w:val="00704AF6"/>
    <w:rsid w:val="007052AD"/>
    <w:rsid w:val="00706032"/>
    <w:rsid w:val="007105FF"/>
    <w:rsid w:val="00710868"/>
    <w:rsid w:val="0071266F"/>
    <w:rsid w:val="0071297E"/>
    <w:rsid w:val="007134F9"/>
    <w:rsid w:val="00714EE1"/>
    <w:rsid w:val="00716AB6"/>
    <w:rsid w:val="00717CB1"/>
    <w:rsid w:val="00720705"/>
    <w:rsid w:val="007207AB"/>
    <w:rsid w:val="00722835"/>
    <w:rsid w:val="00723142"/>
    <w:rsid w:val="00723EA1"/>
    <w:rsid w:val="0073030F"/>
    <w:rsid w:val="0073064D"/>
    <w:rsid w:val="007306F1"/>
    <w:rsid w:val="00730A0A"/>
    <w:rsid w:val="00730C34"/>
    <w:rsid w:val="0073119B"/>
    <w:rsid w:val="007317EB"/>
    <w:rsid w:val="007324D6"/>
    <w:rsid w:val="0073360A"/>
    <w:rsid w:val="007348AD"/>
    <w:rsid w:val="00734AF6"/>
    <w:rsid w:val="00734B13"/>
    <w:rsid w:val="00735844"/>
    <w:rsid w:val="00737FF5"/>
    <w:rsid w:val="00744A30"/>
    <w:rsid w:val="00744B1C"/>
    <w:rsid w:val="00744CE0"/>
    <w:rsid w:val="007457D3"/>
    <w:rsid w:val="007504A2"/>
    <w:rsid w:val="007510F0"/>
    <w:rsid w:val="00751F92"/>
    <w:rsid w:val="00752E1E"/>
    <w:rsid w:val="00752E44"/>
    <w:rsid w:val="007540F2"/>
    <w:rsid w:val="0075542D"/>
    <w:rsid w:val="00760F06"/>
    <w:rsid w:val="00763121"/>
    <w:rsid w:val="00764E5A"/>
    <w:rsid w:val="00770C05"/>
    <w:rsid w:val="00773920"/>
    <w:rsid w:val="00773A50"/>
    <w:rsid w:val="0077471B"/>
    <w:rsid w:val="00775618"/>
    <w:rsid w:val="00777306"/>
    <w:rsid w:val="00780185"/>
    <w:rsid w:val="00782C3E"/>
    <w:rsid w:val="00783BA8"/>
    <w:rsid w:val="00784FFE"/>
    <w:rsid w:val="007850B3"/>
    <w:rsid w:val="00785793"/>
    <w:rsid w:val="0078591A"/>
    <w:rsid w:val="00786234"/>
    <w:rsid w:val="00787960"/>
    <w:rsid w:val="007909A2"/>
    <w:rsid w:val="00793BF7"/>
    <w:rsid w:val="007953B7"/>
    <w:rsid w:val="00796A80"/>
    <w:rsid w:val="00797CBA"/>
    <w:rsid w:val="007A1499"/>
    <w:rsid w:val="007A6100"/>
    <w:rsid w:val="007A6D1D"/>
    <w:rsid w:val="007A7064"/>
    <w:rsid w:val="007B1320"/>
    <w:rsid w:val="007B1AE9"/>
    <w:rsid w:val="007B20CF"/>
    <w:rsid w:val="007B3532"/>
    <w:rsid w:val="007B501C"/>
    <w:rsid w:val="007B5A2C"/>
    <w:rsid w:val="007B5DC4"/>
    <w:rsid w:val="007B5F9C"/>
    <w:rsid w:val="007C1056"/>
    <w:rsid w:val="007C39A6"/>
    <w:rsid w:val="007C4719"/>
    <w:rsid w:val="007C542C"/>
    <w:rsid w:val="007C65A5"/>
    <w:rsid w:val="007C7B1C"/>
    <w:rsid w:val="007D03AA"/>
    <w:rsid w:val="007D2607"/>
    <w:rsid w:val="007D5FF1"/>
    <w:rsid w:val="007E0429"/>
    <w:rsid w:val="007E2CA0"/>
    <w:rsid w:val="007E3D5C"/>
    <w:rsid w:val="007E5D11"/>
    <w:rsid w:val="007E5EB3"/>
    <w:rsid w:val="007E6A9C"/>
    <w:rsid w:val="007F2C63"/>
    <w:rsid w:val="00802C8A"/>
    <w:rsid w:val="008034BA"/>
    <w:rsid w:val="00803BD5"/>
    <w:rsid w:val="0080409F"/>
    <w:rsid w:val="008040D3"/>
    <w:rsid w:val="008049ED"/>
    <w:rsid w:val="008103A8"/>
    <w:rsid w:val="00810A14"/>
    <w:rsid w:val="00811F32"/>
    <w:rsid w:val="00812C4B"/>
    <w:rsid w:val="0081362A"/>
    <w:rsid w:val="008146F7"/>
    <w:rsid w:val="00814842"/>
    <w:rsid w:val="00815FFB"/>
    <w:rsid w:val="0081759E"/>
    <w:rsid w:val="0082048B"/>
    <w:rsid w:val="0082239F"/>
    <w:rsid w:val="00824E84"/>
    <w:rsid w:val="00824E91"/>
    <w:rsid w:val="00830FFB"/>
    <w:rsid w:val="00833DB8"/>
    <w:rsid w:val="00835BD8"/>
    <w:rsid w:val="008366EC"/>
    <w:rsid w:val="0084263B"/>
    <w:rsid w:val="0084277C"/>
    <w:rsid w:val="00842E16"/>
    <w:rsid w:val="00843AA9"/>
    <w:rsid w:val="00843FF1"/>
    <w:rsid w:val="008448D3"/>
    <w:rsid w:val="00845650"/>
    <w:rsid w:val="00847B3F"/>
    <w:rsid w:val="008520B1"/>
    <w:rsid w:val="00854592"/>
    <w:rsid w:val="00854987"/>
    <w:rsid w:val="00855532"/>
    <w:rsid w:val="00856A60"/>
    <w:rsid w:val="00860380"/>
    <w:rsid w:val="00861B0E"/>
    <w:rsid w:val="00862B36"/>
    <w:rsid w:val="00862BF6"/>
    <w:rsid w:val="008637A0"/>
    <w:rsid w:val="00864D91"/>
    <w:rsid w:val="0086678C"/>
    <w:rsid w:val="00872118"/>
    <w:rsid w:val="00876DD5"/>
    <w:rsid w:val="00884501"/>
    <w:rsid w:val="008856C2"/>
    <w:rsid w:val="00893ACD"/>
    <w:rsid w:val="00894FA5"/>
    <w:rsid w:val="008A2266"/>
    <w:rsid w:val="008A2843"/>
    <w:rsid w:val="008A3246"/>
    <w:rsid w:val="008A4FA4"/>
    <w:rsid w:val="008A6D21"/>
    <w:rsid w:val="008A7A60"/>
    <w:rsid w:val="008B046F"/>
    <w:rsid w:val="008B0DB6"/>
    <w:rsid w:val="008B214F"/>
    <w:rsid w:val="008B30CC"/>
    <w:rsid w:val="008B3398"/>
    <w:rsid w:val="008B643E"/>
    <w:rsid w:val="008B6A15"/>
    <w:rsid w:val="008B6D20"/>
    <w:rsid w:val="008B7989"/>
    <w:rsid w:val="008C0993"/>
    <w:rsid w:val="008C17B5"/>
    <w:rsid w:val="008C3D89"/>
    <w:rsid w:val="008C5DE3"/>
    <w:rsid w:val="008C6D6D"/>
    <w:rsid w:val="008D0016"/>
    <w:rsid w:val="008D1FC7"/>
    <w:rsid w:val="008D2ABF"/>
    <w:rsid w:val="008D39A2"/>
    <w:rsid w:val="008D401A"/>
    <w:rsid w:val="008D5A0A"/>
    <w:rsid w:val="008D70E4"/>
    <w:rsid w:val="008E0214"/>
    <w:rsid w:val="008E23C3"/>
    <w:rsid w:val="008E2C45"/>
    <w:rsid w:val="008E31D0"/>
    <w:rsid w:val="008E3687"/>
    <w:rsid w:val="008E5201"/>
    <w:rsid w:val="008E5687"/>
    <w:rsid w:val="008E649B"/>
    <w:rsid w:val="008F22E5"/>
    <w:rsid w:val="008F2EEE"/>
    <w:rsid w:val="008F4D20"/>
    <w:rsid w:val="008F5536"/>
    <w:rsid w:val="008F6A31"/>
    <w:rsid w:val="008F786F"/>
    <w:rsid w:val="00900386"/>
    <w:rsid w:val="009026DB"/>
    <w:rsid w:val="009027C5"/>
    <w:rsid w:val="00902FCB"/>
    <w:rsid w:val="009034EE"/>
    <w:rsid w:val="00905D38"/>
    <w:rsid w:val="00906B72"/>
    <w:rsid w:val="00906F4A"/>
    <w:rsid w:val="00907878"/>
    <w:rsid w:val="00910C92"/>
    <w:rsid w:val="0091174C"/>
    <w:rsid w:val="00912AA0"/>
    <w:rsid w:val="0091371C"/>
    <w:rsid w:val="00921046"/>
    <w:rsid w:val="00922D04"/>
    <w:rsid w:val="00924C6A"/>
    <w:rsid w:val="009250B4"/>
    <w:rsid w:val="00935E43"/>
    <w:rsid w:val="00936889"/>
    <w:rsid w:val="00937D75"/>
    <w:rsid w:val="00937EA4"/>
    <w:rsid w:val="009406FD"/>
    <w:rsid w:val="00940924"/>
    <w:rsid w:val="00940E43"/>
    <w:rsid w:val="00946398"/>
    <w:rsid w:val="00951AA1"/>
    <w:rsid w:val="00951E57"/>
    <w:rsid w:val="009523B2"/>
    <w:rsid w:val="009530F3"/>
    <w:rsid w:val="00954CE1"/>
    <w:rsid w:val="00954F8D"/>
    <w:rsid w:val="009565D5"/>
    <w:rsid w:val="00956DA4"/>
    <w:rsid w:val="009571FA"/>
    <w:rsid w:val="009575E4"/>
    <w:rsid w:val="00957BE3"/>
    <w:rsid w:val="00957D19"/>
    <w:rsid w:val="00963AD2"/>
    <w:rsid w:val="00965FB2"/>
    <w:rsid w:val="009662FC"/>
    <w:rsid w:val="009700B6"/>
    <w:rsid w:val="00970D0B"/>
    <w:rsid w:val="00972DD8"/>
    <w:rsid w:val="00973D12"/>
    <w:rsid w:val="00974576"/>
    <w:rsid w:val="009770AA"/>
    <w:rsid w:val="009811D0"/>
    <w:rsid w:val="00982DD2"/>
    <w:rsid w:val="00985503"/>
    <w:rsid w:val="00985793"/>
    <w:rsid w:val="00985F19"/>
    <w:rsid w:val="00990F00"/>
    <w:rsid w:val="00991058"/>
    <w:rsid w:val="0099595F"/>
    <w:rsid w:val="0099745A"/>
    <w:rsid w:val="009A27D9"/>
    <w:rsid w:val="009A2EA0"/>
    <w:rsid w:val="009A6F78"/>
    <w:rsid w:val="009A793C"/>
    <w:rsid w:val="009B0015"/>
    <w:rsid w:val="009B1A00"/>
    <w:rsid w:val="009B35CB"/>
    <w:rsid w:val="009B36F4"/>
    <w:rsid w:val="009B41ED"/>
    <w:rsid w:val="009B4593"/>
    <w:rsid w:val="009B474E"/>
    <w:rsid w:val="009B57BB"/>
    <w:rsid w:val="009B6C3A"/>
    <w:rsid w:val="009C071B"/>
    <w:rsid w:val="009C17C9"/>
    <w:rsid w:val="009C26B9"/>
    <w:rsid w:val="009C3E34"/>
    <w:rsid w:val="009C414B"/>
    <w:rsid w:val="009C5F99"/>
    <w:rsid w:val="009C7D9D"/>
    <w:rsid w:val="009C7DAB"/>
    <w:rsid w:val="009D0430"/>
    <w:rsid w:val="009D272F"/>
    <w:rsid w:val="009D3E97"/>
    <w:rsid w:val="009D44E8"/>
    <w:rsid w:val="009D5BBF"/>
    <w:rsid w:val="009D5DA7"/>
    <w:rsid w:val="009D7C54"/>
    <w:rsid w:val="009E062A"/>
    <w:rsid w:val="009E0A8E"/>
    <w:rsid w:val="009E1113"/>
    <w:rsid w:val="009E4AE4"/>
    <w:rsid w:val="009E6CD2"/>
    <w:rsid w:val="009E76E2"/>
    <w:rsid w:val="009F2C87"/>
    <w:rsid w:val="009F2CA7"/>
    <w:rsid w:val="009F3714"/>
    <w:rsid w:val="009F4B85"/>
    <w:rsid w:val="009F6C75"/>
    <w:rsid w:val="009F6DE5"/>
    <w:rsid w:val="00A000A2"/>
    <w:rsid w:val="00A00817"/>
    <w:rsid w:val="00A01F28"/>
    <w:rsid w:val="00A0230E"/>
    <w:rsid w:val="00A031B4"/>
    <w:rsid w:val="00A03C05"/>
    <w:rsid w:val="00A04A3D"/>
    <w:rsid w:val="00A04EA7"/>
    <w:rsid w:val="00A05A92"/>
    <w:rsid w:val="00A06CF0"/>
    <w:rsid w:val="00A07C9C"/>
    <w:rsid w:val="00A1481E"/>
    <w:rsid w:val="00A14D8B"/>
    <w:rsid w:val="00A14E93"/>
    <w:rsid w:val="00A16A5F"/>
    <w:rsid w:val="00A17F0A"/>
    <w:rsid w:val="00A25AA4"/>
    <w:rsid w:val="00A30369"/>
    <w:rsid w:val="00A3782F"/>
    <w:rsid w:val="00A401B0"/>
    <w:rsid w:val="00A42E5A"/>
    <w:rsid w:val="00A43A02"/>
    <w:rsid w:val="00A447EE"/>
    <w:rsid w:val="00A45269"/>
    <w:rsid w:val="00A50D03"/>
    <w:rsid w:val="00A50ED0"/>
    <w:rsid w:val="00A51C74"/>
    <w:rsid w:val="00A52BDB"/>
    <w:rsid w:val="00A5314F"/>
    <w:rsid w:val="00A5426A"/>
    <w:rsid w:val="00A54FC3"/>
    <w:rsid w:val="00A56682"/>
    <w:rsid w:val="00A56963"/>
    <w:rsid w:val="00A56F4C"/>
    <w:rsid w:val="00A6010C"/>
    <w:rsid w:val="00A606F5"/>
    <w:rsid w:val="00A60938"/>
    <w:rsid w:val="00A63C56"/>
    <w:rsid w:val="00A642A9"/>
    <w:rsid w:val="00A64A5E"/>
    <w:rsid w:val="00A64CE7"/>
    <w:rsid w:val="00A6560B"/>
    <w:rsid w:val="00A65618"/>
    <w:rsid w:val="00A675C9"/>
    <w:rsid w:val="00A7044D"/>
    <w:rsid w:val="00A7362A"/>
    <w:rsid w:val="00A80F38"/>
    <w:rsid w:val="00A814DF"/>
    <w:rsid w:val="00A82705"/>
    <w:rsid w:val="00A82916"/>
    <w:rsid w:val="00A83E1A"/>
    <w:rsid w:val="00A84784"/>
    <w:rsid w:val="00A85253"/>
    <w:rsid w:val="00A8627A"/>
    <w:rsid w:val="00A90031"/>
    <w:rsid w:val="00A91591"/>
    <w:rsid w:val="00A918CD"/>
    <w:rsid w:val="00A9717E"/>
    <w:rsid w:val="00A97632"/>
    <w:rsid w:val="00AA274C"/>
    <w:rsid w:val="00AA4533"/>
    <w:rsid w:val="00AA5555"/>
    <w:rsid w:val="00AA6314"/>
    <w:rsid w:val="00AA7A1C"/>
    <w:rsid w:val="00AB0DC6"/>
    <w:rsid w:val="00AB1092"/>
    <w:rsid w:val="00AB2568"/>
    <w:rsid w:val="00AB3676"/>
    <w:rsid w:val="00AB5E42"/>
    <w:rsid w:val="00AC0A25"/>
    <w:rsid w:val="00AC129A"/>
    <w:rsid w:val="00AC25ED"/>
    <w:rsid w:val="00AC280F"/>
    <w:rsid w:val="00AC43E9"/>
    <w:rsid w:val="00AC445A"/>
    <w:rsid w:val="00AD1387"/>
    <w:rsid w:val="00AD16A4"/>
    <w:rsid w:val="00AD2B13"/>
    <w:rsid w:val="00AD55D7"/>
    <w:rsid w:val="00AD6F1B"/>
    <w:rsid w:val="00AE039C"/>
    <w:rsid w:val="00AE047F"/>
    <w:rsid w:val="00AE4CCA"/>
    <w:rsid w:val="00AE601E"/>
    <w:rsid w:val="00AE77AE"/>
    <w:rsid w:val="00AF20FD"/>
    <w:rsid w:val="00AF2CE7"/>
    <w:rsid w:val="00AF430D"/>
    <w:rsid w:val="00AF471D"/>
    <w:rsid w:val="00AF6FF8"/>
    <w:rsid w:val="00AF7E09"/>
    <w:rsid w:val="00B00E74"/>
    <w:rsid w:val="00B00FD4"/>
    <w:rsid w:val="00B02F47"/>
    <w:rsid w:val="00B04838"/>
    <w:rsid w:val="00B12696"/>
    <w:rsid w:val="00B12973"/>
    <w:rsid w:val="00B1382B"/>
    <w:rsid w:val="00B14004"/>
    <w:rsid w:val="00B15132"/>
    <w:rsid w:val="00B15C50"/>
    <w:rsid w:val="00B20169"/>
    <w:rsid w:val="00B20C86"/>
    <w:rsid w:val="00B22E6E"/>
    <w:rsid w:val="00B25F0A"/>
    <w:rsid w:val="00B26328"/>
    <w:rsid w:val="00B27A2E"/>
    <w:rsid w:val="00B302F8"/>
    <w:rsid w:val="00B31EA4"/>
    <w:rsid w:val="00B350B9"/>
    <w:rsid w:val="00B351F6"/>
    <w:rsid w:val="00B378E6"/>
    <w:rsid w:val="00B42B9E"/>
    <w:rsid w:val="00B458C6"/>
    <w:rsid w:val="00B45EB7"/>
    <w:rsid w:val="00B4659C"/>
    <w:rsid w:val="00B52A5F"/>
    <w:rsid w:val="00B5391F"/>
    <w:rsid w:val="00B54EE3"/>
    <w:rsid w:val="00B60701"/>
    <w:rsid w:val="00B60F8B"/>
    <w:rsid w:val="00B63188"/>
    <w:rsid w:val="00B63194"/>
    <w:rsid w:val="00B636E9"/>
    <w:rsid w:val="00B63F86"/>
    <w:rsid w:val="00B66534"/>
    <w:rsid w:val="00B66A32"/>
    <w:rsid w:val="00B66F41"/>
    <w:rsid w:val="00B701E1"/>
    <w:rsid w:val="00B70608"/>
    <w:rsid w:val="00B71C41"/>
    <w:rsid w:val="00B722EC"/>
    <w:rsid w:val="00B7270E"/>
    <w:rsid w:val="00B72D0C"/>
    <w:rsid w:val="00B73D74"/>
    <w:rsid w:val="00B7413D"/>
    <w:rsid w:val="00B74C21"/>
    <w:rsid w:val="00B7620F"/>
    <w:rsid w:val="00B762C2"/>
    <w:rsid w:val="00B77375"/>
    <w:rsid w:val="00B777E5"/>
    <w:rsid w:val="00B77BFD"/>
    <w:rsid w:val="00B83947"/>
    <w:rsid w:val="00B84D5F"/>
    <w:rsid w:val="00B85C9E"/>
    <w:rsid w:val="00B86E5E"/>
    <w:rsid w:val="00B90A47"/>
    <w:rsid w:val="00B915B5"/>
    <w:rsid w:val="00B9280C"/>
    <w:rsid w:val="00B93173"/>
    <w:rsid w:val="00B93A2E"/>
    <w:rsid w:val="00B94DF9"/>
    <w:rsid w:val="00B95232"/>
    <w:rsid w:val="00B975C3"/>
    <w:rsid w:val="00BA08F7"/>
    <w:rsid w:val="00BA10AF"/>
    <w:rsid w:val="00BA16BB"/>
    <w:rsid w:val="00BA5119"/>
    <w:rsid w:val="00BA5EA7"/>
    <w:rsid w:val="00BA677D"/>
    <w:rsid w:val="00BA78DA"/>
    <w:rsid w:val="00BB0015"/>
    <w:rsid w:val="00BB00EF"/>
    <w:rsid w:val="00BB1EB8"/>
    <w:rsid w:val="00BB3B21"/>
    <w:rsid w:val="00BB3C97"/>
    <w:rsid w:val="00BB4761"/>
    <w:rsid w:val="00BB4F13"/>
    <w:rsid w:val="00BB50B7"/>
    <w:rsid w:val="00BB6173"/>
    <w:rsid w:val="00BC175D"/>
    <w:rsid w:val="00BC4472"/>
    <w:rsid w:val="00BC6050"/>
    <w:rsid w:val="00BC6DAE"/>
    <w:rsid w:val="00BC7625"/>
    <w:rsid w:val="00BD3BA4"/>
    <w:rsid w:val="00BD486C"/>
    <w:rsid w:val="00BD4C31"/>
    <w:rsid w:val="00BD6EB0"/>
    <w:rsid w:val="00BD76D5"/>
    <w:rsid w:val="00BE0E51"/>
    <w:rsid w:val="00BE604C"/>
    <w:rsid w:val="00BE7668"/>
    <w:rsid w:val="00BF456E"/>
    <w:rsid w:val="00C004AC"/>
    <w:rsid w:val="00C004BC"/>
    <w:rsid w:val="00C00796"/>
    <w:rsid w:val="00C01C16"/>
    <w:rsid w:val="00C028D4"/>
    <w:rsid w:val="00C03F69"/>
    <w:rsid w:val="00C05423"/>
    <w:rsid w:val="00C074C6"/>
    <w:rsid w:val="00C104EA"/>
    <w:rsid w:val="00C10653"/>
    <w:rsid w:val="00C10679"/>
    <w:rsid w:val="00C10745"/>
    <w:rsid w:val="00C10E80"/>
    <w:rsid w:val="00C1198C"/>
    <w:rsid w:val="00C121F6"/>
    <w:rsid w:val="00C1343F"/>
    <w:rsid w:val="00C15AC7"/>
    <w:rsid w:val="00C170D1"/>
    <w:rsid w:val="00C173AA"/>
    <w:rsid w:val="00C21128"/>
    <w:rsid w:val="00C23007"/>
    <w:rsid w:val="00C23AEE"/>
    <w:rsid w:val="00C24AEA"/>
    <w:rsid w:val="00C27F87"/>
    <w:rsid w:val="00C30CF7"/>
    <w:rsid w:val="00C3487E"/>
    <w:rsid w:val="00C358B7"/>
    <w:rsid w:val="00C36AD9"/>
    <w:rsid w:val="00C37D0C"/>
    <w:rsid w:val="00C40E55"/>
    <w:rsid w:val="00C4251A"/>
    <w:rsid w:val="00C43388"/>
    <w:rsid w:val="00C45C31"/>
    <w:rsid w:val="00C4602E"/>
    <w:rsid w:val="00C460FB"/>
    <w:rsid w:val="00C4766C"/>
    <w:rsid w:val="00C513B3"/>
    <w:rsid w:val="00C517E5"/>
    <w:rsid w:val="00C5205F"/>
    <w:rsid w:val="00C53FE1"/>
    <w:rsid w:val="00C60E80"/>
    <w:rsid w:val="00C613F9"/>
    <w:rsid w:val="00C616DF"/>
    <w:rsid w:val="00C61E82"/>
    <w:rsid w:val="00C64E75"/>
    <w:rsid w:val="00C66C45"/>
    <w:rsid w:val="00C72559"/>
    <w:rsid w:val="00C736A1"/>
    <w:rsid w:val="00C74321"/>
    <w:rsid w:val="00C760C9"/>
    <w:rsid w:val="00C810E2"/>
    <w:rsid w:val="00C8147E"/>
    <w:rsid w:val="00C81949"/>
    <w:rsid w:val="00C83EEF"/>
    <w:rsid w:val="00C858A2"/>
    <w:rsid w:val="00C8762E"/>
    <w:rsid w:val="00C9025D"/>
    <w:rsid w:val="00C919C1"/>
    <w:rsid w:val="00C92A65"/>
    <w:rsid w:val="00C93705"/>
    <w:rsid w:val="00C94E18"/>
    <w:rsid w:val="00C95733"/>
    <w:rsid w:val="00CA04DF"/>
    <w:rsid w:val="00CA1231"/>
    <w:rsid w:val="00CA2B72"/>
    <w:rsid w:val="00CA2F2A"/>
    <w:rsid w:val="00CA3BD8"/>
    <w:rsid w:val="00CA4B98"/>
    <w:rsid w:val="00CA5C81"/>
    <w:rsid w:val="00CA79DF"/>
    <w:rsid w:val="00CA7E64"/>
    <w:rsid w:val="00CA7FE4"/>
    <w:rsid w:val="00CB0D47"/>
    <w:rsid w:val="00CB15BA"/>
    <w:rsid w:val="00CB2174"/>
    <w:rsid w:val="00CB3312"/>
    <w:rsid w:val="00CB3BB1"/>
    <w:rsid w:val="00CB49D0"/>
    <w:rsid w:val="00CB5D8A"/>
    <w:rsid w:val="00CB5FED"/>
    <w:rsid w:val="00CB64BF"/>
    <w:rsid w:val="00CB6A03"/>
    <w:rsid w:val="00CB6A0C"/>
    <w:rsid w:val="00CC0830"/>
    <w:rsid w:val="00CC1874"/>
    <w:rsid w:val="00CC2BB5"/>
    <w:rsid w:val="00CC2F5B"/>
    <w:rsid w:val="00CC72E6"/>
    <w:rsid w:val="00CD0739"/>
    <w:rsid w:val="00CD17B3"/>
    <w:rsid w:val="00CD2673"/>
    <w:rsid w:val="00CD35B1"/>
    <w:rsid w:val="00CD5BEF"/>
    <w:rsid w:val="00CD7676"/>
    <w:rsid w:val="00CE38A5"/>
    <w:rsid w:val="00CE54C7"/>
    <w:rsid w:val="00CE781C"/>
    <w:rsid w:val="00CF19DA"/>
    <w:rsid w:val="00CF1E79"/>
    <w:rsid w:val="00CF271C"/>
    <w:rsid w:val="00CF27CB"/>
    <w:rsid w:val="00CF2BF8"/>
    <w:rsid w:val="00CF6BF4"/>
    <w:rsid w:val="00CF7331"/>
    <w:rsid w:val="00CF75B9"/>
    <w:rsid w:val="00D03CE5"/>
    <w:rsid w:val="00D063A3"/>
    <w:rsid w:val="00D06D9A"/>
    <w:rsid w:val="00D07223"/>
    <w:rsid w:val="00D077B4"/>
    <w:rsid w:val="00D12F13"/>
    <w:rsid w:val="00D14274"/>
    <w:rsid w:val="00D201FE"/>
    <w:rsid w:val="00D2075C"/>
    <w:rsid w:val="00D20827"/>
    <w:rsid w:val="00D21F34"/>
    <w:rsid w:val="00D222B1"/>
    <w:rsid w:val="00D2342B"/>
    <w:rsid w:val="00D2352E"/>
    <w:rsid w:val="00D24B40"/>
    <w:rsid w:val="00D25A3F"/>
    <w:rsid w:val="00D26585"/>
    <w:rsid w:val="00D32512"/>
    <w:rsid w:val="00D32D3C"/>
    <w:rsid w:val="00D345DF"/>
    <w:rsid w:val="00D34BEC"/>
    <w:rsid w:val="00D366C2"/>
    <w:rsid w:val="00D40FB9"/>
    <w:rsid w:val="00D444FC"/>
    <w:rsid w:val="00D46677"/>
    <w:rsid w:val="00D4789D"/>
    <w:rsid w:val="00D50597"/>
    <w:rsid w:val="00D51F7A"/>
    <w:rsid w:val="00D54FB0"/>
    <w:rsid w:val="00D551D6"/>
    <w:rsid w:val="00D567B1"/>
    <w:rsid w:val="00D56D59"/>
    <w:rsid w:val="00D57E96"/>
    <w:rsid w:val="00D60334"/>
    <w:rsid w:val="00D615CA"/>
    <w:rsid w:val="00D62772"/>
    <w:rsid w:val="00D677F3"/>
    <w:rsid w:val="00D71E61"/>
    <w:rsid w:val="00D71FEA"/>
    <w:rsid w:val="00D7202B"/>
    <w:rsid w:val="00D73207"/>
    <w:rsid w:val="00D74FA1"/>
    <w:rsid w:val="00D750D8"/>
    <w:rsid w:val="00D754EC"/>
    <w:rsid w:val="00D76917"/>
    <w:rsid w:val="00D77A25"/>
    <w:rsid w:val="00D84618"/>
    <w:rsid w:val="00D84ACA"/>
    <w:rsid w:val="00D8519A"/>
    <w:rsid w:val="00D8673D"/>
    <w:rsid w:val="00D86FED"/>
    <w:rsid w:val="00D87574"/>
    <w:rsid w:val="00D90BE2"/>
    <w:rsid w:val="00D95D3D"/>
    <w:rsid w:val="00D9605B"/>
    <w:rsid w:val="00D969D3"/>
    <w:rsid w:val="00DA1385"/>
    <w:rsid w:val="00DA20E5"/>
    <w:rsid w:val="00DA218E"/>
    <w:rsid w:val="00DA2373"/>
    <w:rsid w:val="00DA295F"/>
    <w:rsid w:val="00DB1418"/>
    <w:rsid w:val="00DB45B3"/>
    <w:rsid w:val="00DB5605"/>
    <w:rsid w:val="00DB5A74"/>
    <w:rsid w:val="00DC034A"/>
    <w:rsid w:val="00DC2663"/>
    <w:rsid w:val="00DC6365"/>
    <w:rsid w:val="00DD0211"/>
    <w:rsid w:val="00DD09B5"/>
    <w:rsid w:val="00DD34CD"/>
    <w:rsid w:val="00DE1153"/>
    <w:rsid w:val="00DE1EF3"/>
    <w:rsid w:val="00DE30BA"/>
    <w:rsid w:val="00DE3410"/>
    <w:rsid w:val="00DE402A"/>
    <w:rsid w:val="00DE465D"/>
    <w:rsid w:val="00DE4E8A"/>
    <w:rsid w:val="00DE555F"/>
    <w:rsid w:val="00DE5816"/>
    <w:rsid w:val="00DE7297"/>
    <w:rsid w:val="00DE79A8"/>
    <w:rsid w:val="00DF0B33"/>
    <w:rsid w:val="00DF1CDC"/>
    <w:rsid w:val="00DF1E33"/>
    <w:rsid w:val="00DF24AC"/>
    <w:rsid w:val="00DF28B1"/>
    <w:rsid w:val="00DF6AB4"/>
    <w:rsid w:val="00E002C3"/>
    <w:rsid w:val="00E0057B"/>
    <w:rsid w:val="00E04035"/>
    <w:rsid w:val="00E044C9"/>
    <w:rsid w:val="00E045A1"/>
    <w:rsid w:val="00E06B4C"/>
    <w:rsid w:val="00E0738E"/>
    <w:rsid w:val="00E07B13"/>
    <w:rsid w:val="00E10757"/>
    <w:rsid w:val="00E117DD"/>
    <w:rsid w:val="00E11D34"/>
    <w:rsid w:val="00E13E1C"/>
    <w:rsid w:val="00E16590"/>
    <w:rsid w:val="00E176FD"/>
    <w:rsid w:val="00E205AB"/>
    <w:rsid w:val="00E20A0B"/>
    <w:rsid w:val="00E234F2"/>
    <w:rsid w:val="00E2373F"/>
    <w:rsid w:val="00E24E02"/>
    <w:rsid w:val="00E25C52"/>
    <w:rsid w:val="00E265C4"/>
    <w:rsid w:val="00E26766"/>
    <w:rsid w:val="00E2689E"/>
    <w:rsid w:val="00E2754E"/>
    <w:rsid w:val="00E27F05"/>
    <w:rsid w:val="00E30AD6"/>
    <w:rsid w:val="00E30AE8"/>
    <w:rsid w:val="00E31278"/>
    <w:rsid w:val="00E317A2"/>
    <w:rsid w:val="00E337E5"/>
    <w:rsid w:val="00E34D0F"/>
    <w:rsid w:val="00E37E95"/>
    <w:rsid w:val="00E4026E"/>
    <w:rsid w:val="00E4378A"/>
    <w:rsid w:val="00E44C9D"/>
    <w:rsid w:val="00E44F12"/>
    <w:rsid w:val="00E4642A"/>
    <w:rsid w:val="00E46FCC"/>
    <w:rsid w:val="00E5189B"/>
    <w:rsid w:val="00E531B4"/>
    <w:rsid w:val="00E53968"/>
    <w:rsid w:val="00E54059"/>
    <w:rsid w:val="00E54D88"/>
    <w:rsid w:val="00E57D0F"/>
    <w:rsid w:val="00E60F49"/>
    <w:rsid w:val="00E62965"/>
    <w:rsid w:val="00E638BF"/>
    <w:rsid w:val="00E65727"/>
    <w:rsid w:val="00E66527"/>
    <w:rsid w:val="00E667A2"/>
    <w:rsid w:val="00E71FE5"/>
    <w:rsid w:val="00E72073"/>
    <w:rsid w:val="00E7310E"/>
    <w:rsid w:val="00E75A64"/>
    <w:rsid w:val="00E80190"/>
    <w:rsid w:val="00E8132A"/>
    <w:rsid w:val="00E82AB5"/>
    <w:rsid w:val="00E82C3E"/>
    <w:rsid w:val="00E8324F"/>
    <w:rsid w:val="00E841A3"/>
    <w:rsid w:val="00E84EFE"/>
    <w:rsid w:val="00E8560A"/>
    <w:rsid w:val="00E8651D"/>
    <w:rsid w:val="00E8739C"/>
    <w:rsid w:val="00E90722"/>
    <w:rsid w:val="00E90F06"/>
    <w:rsid w:val="00E90FCA"/>
    <w:rsid w:val="00E9113B"/>
    <w:rsid w:val="00E93096"/>
    <w:rsid w:val="00E94205"/>
    <w:rsid w:val="00E97222"/>
    <w:rsid w:val="00E9770E"/>
    <w:rsid w:val="00EA2342"/>
    <w:rsid w:val="00EA2493"/>
    <w:rsid w:val="00EA3B53"/>
    <w:rsid w:val="00EA5283"/>
    <w:rsid w:val="00EA6374"/>
    <w:rsid w:val="00EA796C"/>
    <w:rsid w:val="00EB0CDF"/>
    <w:rsid w:val="00EB285E"/>
    <w:rsid w:val="00EB2FBD"/>
    <w:rsid w:val="00EB368C"/>
    <w:rsid w:val="00EB57ED"/>
    <w:rsid w:val="00EB6282"/>
    <w:rsid w:val="00EC0226"/>
    <w:rsid w:val="00EC0912"/>
    <w:rsid w:val="00EC0AA7"/>
    <w:rsid w:val="00EC0F92"/>
    <w:rsid w:val="00EC2DF7"/>
    <w:rsid w:val="00EC3B13"/>
    <w:rsid w:val="00EC51D2"/>
    <w:rsid w:val="00EC5E7A"/>
    <w:rsid w:val="00EC770F"/>
    <w:rsid w:val="00ED16FB"/>
    <w:rsid w:val="00ED4C97"/>
    <w:rsid w:val="00ED7A14"/>
    <w:rsid w:val="00EE0182"/>
    <w:rsid w:val="00EE01EA"/>
    <w:rsid w:val="00EE051B"/>
    <w:rsid w:val="00EE27A1"/>
    <w:rsid w:val="00EE2E02"/>
    <w:rsid w:val="00EE30E9"/>
    <w:rsid w:val="00EE5F2E"/>
    <w:rsid w:val="00EE6B94"/>
    <w:rsid w:val="00EE7738"/>
    <w:rsid w:val="00EF118B"/>
    <w:rsid w:val="00EF1B9C"/>
    <w:rsid w:val="00EF208D"/>
    <w:rsid w:val="00EF2801"/>
    <w:rsid w:val="00EF365E"/>
    <w:rsid w:val="00EF3E78"/>
    <w:rsid w:val="00EF4104"/>
    <w:rsid w:val="00EF6EC8"/>
    <w:rsid w:val="00EF776F"/>
    <w:rsid w:val="00EF7C2E"/>
    <w:rsid w:val="00F003E9"/>
    <w:rsid w:val="00F02CEB"/>
    <w:rsid w:val="00F04CA1"/>
    <w:rsid w:val="00F0661F"/>
    <w:rsid w:val="00F10089"/>
    <w:rsid w:val="00F120F8"/>
    <w:rsid w:val="00F13D45"/>
    <w:rsid w:val="00F148C3"/>
    <w:rsid w:val="00F15F76"/>
    <w:rsid w:val="00F16C23"/>
    <w:rsid w:val="00F170F6"/>
    <w:rsid w:val="00F2555B"/>
    <w:rsid w:val="00F2632B"/>
    <w:rsid w:val="00F26F27"/>
    <w:rsid w:val="00F30AAB"/>
    <w:rsid w:val="00F313A9"/>
    <w:rsid w:val="00F32D03"/>
    <w:rsid w:val="00F34DA1"/>
    <w:rsid w:val="00F35091"/>
    <w:rsid w:val="00F42929"/>
    <w:rsid w:val="00F5364A"/>
    <w:rsid w:val="00F5557B"/>
    <w:rsid w:val="00F62DCF"/>
    <w:rsid w:val="00F63103"/>
    <w:rsid w:val="00F651D7"/>
    <w:rsid w:val="00F666FD"/>
    <w:rsid w:val="00F669BB"/>
    <w:rsid w:val="00F7003B"/>
    <w:rsid w:val="00F71D06"/>
    <w:rsid w:val="00F71EE7"/>
    <w:rsid w:val="00F72FCF"/>
    <w:rsid w:val="00F73C96"/>
    <w:rsid w:val="00F76090"/>
    <w:rsid w:val="00F803F2"/>
    <w:rsid w:val="00F813B6"/>
    <w:rsid w:val="00F84505"/>
    <w:rsid w:val="00F857C8"/>
    <w:rsid w:val="00F91129"/>
    <w:rsid w:val="00F9303A"/>
    <w:rsid w:val="00F93C35"/>
    <w:rsid w:val="00F96587"/>
    <w:rsid w:val="00FA03D1"/>
    <w:rsid w:val="00FA33D7"/>
    <w:rsid w:val="00FA5DC6"/>
    <w:rsid w:val="00FA631B"/>
    <w:rsid w:val="00FA7321"/>
    <w:rsid w:val="00FB080E"/>
    <w:rsid w:val="00FB5AED"/>
    <w:rsid w:val="00FB6F4C"/>
    <w:rsid w:val="00FC2C62"/>
    <w:rsid w:val="00FC47DB"/>
    <w:rsid w:val="00FC5E10"/>
    <w:rsid w:val="00FD0E79"/>
    <w:rsid w:val="00FD3A57"/>
    <w:rsid w:val="00FD3A5B"/>
    <w:rsid w:val="00FD43B3"/>
    <w:rsid w:val="00FD666D"/>
    <w:rsid w:val="00FD6877"/>
    <w:rsid w:val="00FD6F1A"/>
    <w:rsid w:val="00FE22C9"/>
    <w:rsid w:val="00FE280A"/>
    <w:rsid w:val="00FE2AEF"/>
    <w:rsid w:val="00FE2BB9"/>
    <w:rsid w:val="00FE3F0C"/>
    <w:rsid w:val="00FE4CD1"/>
    <w:rsid w:val="00FE5A29"/>
    <w:rsid w:val="00FE5AD7"/>
    <w:rsid w:val="00FE6F98"/>
    <w:rsid w:val="00FF26C2"/>
    <w:rsid w:val="00FF2731"/>
    <w:rsid w:val="00FF2DAB"/>
    <w:rsid w:val="00FF6CFD"/>
    <w:rsid w:val="00FF70DA"/>
    <w:rsid w:val="00FF7B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City"/>
  <w:smartTagType w:namespaceuri="urn:schemas-microsoft-com:office:smarttags" w:name="place"/>
  <w:shapeDefaults>
    <o:shapedefaults v:ext="edit" spidmax="20482"/>
    <o:shapelayout v:ext="edit">
      <o:idmap v:ext="edit" data="1,2,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locked="1"/>
    <w:lsdException w:name="caption" w:locked="1" w:semiHidden="1" w:unhideWhenUsed="1" w:qFormat="1"/>
    <w:lsdException w:name="footnote reference" w:uiPriority="99"/>
    <w:lsdException w:name="List" w:locked="1"/>
    <w:lsdException w:name="Title" w:locked="1" w:qFormat="1"/>
    <w:lsdException w:name="Default Paragraph Font" w:locked="1"/>
    <w:lsdException w:name="Subtitle" w:locked="1" w:qFormat="1"/>
    <w:lsdException w:name="Body Text 2" w:locked="1"/>
    <w:lsdException w:name="Strong" w:locked="1" w:qFormat="1"/>
    <w:lsdException w:name="Emphasis" w:locked="1" w:qFormat="1"/>
    <w:lsdException w:name="Normal (Web)"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5EFF"/>
    <w:rPr>
      <w:rFonts w:ascii="Arial" w:hAnsi="Arial"/>
      <w:szCs w:val="24"/>
      <w:lang w:val="en-CA"/>
    </w:rPr>
  </w:style>
  <w:style w:type="paragraph" w:styleId="Heading1">
    <w:name w:val="heading 1"/>
    <w:basedOn w:val="Normal"/>
    <w:next w:val="Normal"/>
    <w:link w:val="Heading1Char"/>
    <w:qFormat/>
    <w:locked/>
    <w:rsid w:val="00E4026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locked/>
    <w:rsid w:val="00D46677"/>
    <w:pPr>
      <w:keepNext/>
      <w:keepLines/>
      <w:spacing w:before="200"/>
      <w:outlineLvl w:val="1"/>
    </w:pPr>
    <w:rPr>
      <w:rFonts w:ascii="Corbel" w:hAnsi="Corbel"/>
      <w:b/>
      <w:bCs/>
      <w:color w:val="F7901E"/>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E4026E"/>
    <w:rPr>
      <w:rFonts w:ascii="Cambria" w:hAnsi="Cambria" w:cs="Times New Roman"/>
      <w:b/>
      <w:bCs/>
      <w:kern w:val="32"/>
      <w:sz w:val="32"/>
      <w:szCs w:val="32"/>
      <w:lang w:val="en-CA"/>
    </w:rPr>
  </w:style>
  <w:style w:type="character" w:customStyle="1" w:styleId="Heading2Char">
    <w:name w:val="Heading 2 Char"/>
    <w:basedOn w:val="DefaultParagraphFont"/>
    <w:link w:val="Heading2"/>
    <w:locked/>
    <w:rsid w:val="00D46677"/>
    <w:rPr>
      <w:rFonts w:ascii="Corbel" w:hAnsi="Corbel" w:cs="Times New Roman"/>
      <w:b/>
      <w:bCs/>
      <w:color w:val="F7901E"/>
      <w:sz w:val="26"/>
      <w:szCs w:val="26"/>
    </w:rPr>
  </w:style>
  <w:style w:type="paragraph" w:styleId="BalloonText">
    <w:name w:val="Balloon Text"/>
    <w:basedOn w:val="Normal"/>
    <w:link w:val="BalloonTextChar"/>
    <w:semiHidden/>
    <w:rsid w:val="004E0988"/>
    <w:rPr>
      <w:rFonts w:ascii="Tahoma" w:hAnsi="Tahoma" w:cs="Tahoma"/>
      <w:sz w:val="16"/>
      <w:szCs w:val="16"/>
    </w:rPr>
  </w:style>
  <w:style w:type="character" w:customStyle="1" w:styleId="BalloonTextChar">
    <w:name w:val="Balloon Text Char"/>
    <w:basedOn w:val="DefaultParagraphFont"/>
    <w:link w:val="BalloonText"/>
    <w:semiHidden/>
    <w:locked/>
    <w:rsid w:val="004E0988"/>
    <w:rPr>
      <w:rFonts w:ascii="Tahoma" w:hAnsi="Tahoma" w:cs="Tahoma"/>
      <w:sz w:val="16"/>
      <w:szCs w:val="16"/>
      <w:lang w:val="en-CA"/>
    </w:rPr>
  </w:style>
  <w:style w:type="paragraph" w:styleId="ListParagraph">
    <w:name w:val="List Paragraph"/>
    <w:basedOn w:val="Normal"/>
    <w:qFormat/>
    <w:rsid w:val="00AA7A1C"/>
    <w:pPr>
      <w:ind w:left="720"/>
      <w:contextualSpacing/>
    </w:pPr>
  </w:style>
  <w:style w:type="table" w:styleId="TableGrid">
    <w:name w:val="Table Grid"/>
    <w:basedOn w:val="TableNormal"/>
    <w:locked/>
    <w:rsid w:val="00F84505"/>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FD6F1A"/>
    <w:rPr>
      <w:szCs w:val="20"/>
    </w:rPr>
  </w:style>
  <w:style w:type="character" w:customStyle="1" w:styleId="FootnoteTextChar">
    <w:name w:val="Footnote Text Char"/>
    <w:basedOn w:val="DefaultParagraphFont"/>
    <w:link w:val="FootnoteText"/>
    <w:uiPriority w:val="99"/>
    <w:semiHidden/>
    <w:locked/>
    <w:rsid w:val="00FD6F1A"/>
    <w:rPr>
      <w:rFonts w:ascii="Arial" w:hAnsi="Arial" w:cs="Times New Roman"/>
      <w:lang w:val="en-CA"/>
    </w:rPr>
  </w:style>
  <w:style w:type="character" w:styleId="FootnoteReference">
    <w:name w:val="footnote reference"/>
    <w:basedOn w:val="DefaultParagraphFont"/>
    <w:uiPriority w:val="99"/>
    <w:semiHidden/>
    <w:rsid w:val="00FD6F1A"/>
    <w:rPr>
      <w:rFonts w:cs="Times New Roman"/>
      <w:vertAlign w:val="superscript"/>
    </w:rPr>
  </w:style>
  <w:style w:type="paragraph" w:styleId="Header">
    <w:name w:val="header"/>
    <w:basedOn w:val="Normal"/>
    <w:link w:val="HeaderChar"/>
    <w:semiHidden/>
    <w:rsid w:val="00124815"/>
    <w:pPr>
      <w:tabs>
        <w:tab w:val="center" w:pos="4680"/>
        <w:tab w:val="right" w:pos="9360"/>
      </w:tabs>
    </w:pPr>
  </w:style>
  <w:style w:type="character" w:customStyle="1" w:styleId="HeaderChar">
    <w:name w:val="Header Char"/>
    <w:basedOn w:val="DefaultParagraphFont"/>
    <w:link w:val="Header"/>
    <w:semiHidden/>
    <w:locked/>
    <w:rsid w:val="00124815"/>
    <w:rPr>
      <w:rFonts w:ascii="Arial" w:hAnsi="Arial" w:cs="Times New Roman"/>
      <w:sz w:val="24"/>
      <w:szCs w:val="24"/>
      <w:lang w:val="en-CA"/>
    </w:rPr>
  </w:style>
  <w:style w:type="paragraph" w:styleId="Footer">
    <w:name w:val="footer"/>
    <w:basedOn w:val="Normal"/>
    <w:link w:val="FooterChar"/>
    <w:rsid w:val="00124815"/>
    <w:pPr>
      <w:tabs>
        <w:tab w:val="center" w:pos="4680"/>
        <w:tab w:val="right" w:pos="9360"/>
      </w:tabs>
    </w:pPr>
  </w:style>
  <w:style w:type="character" w:customStyle="1" w:styleId="FooterChar">
    <w:name w:val="Footer Char"/>
    <w:basedOn w:val="DefaultParagraphFont"/>
    <w:link w:val="Footer"/>
    <w:locked/>
    <w:rsid w:val="00124815"/>
    <w:rPr>
      <w:rFonts w:ascii="Arial" w:hAnsi="Arial" w:cs="Times New Roman"/>
      <w:sz w:val="24"/>
      <w:szCs w:val="24"/>
      <w:lang w:val="en-CA"/>
    </w:rPr>
  </w:style>
  <w:style w:type="paragraph" w:styleId="BodyText2">
    <w:name w:val="Body Text 2"/>
    <w:basedOn w:val="Normal"/>
    <w:link w:val="BodyText2Char"/>
    <w:semiHidden/>
    <w:rsid w:val="00FC5E10"/>
    <w:pPr>
      <w:suppressAutoHyphens/>
    </w:pPr>
    <w:rPr>
      <w:rFonts w:ascii="Times New Roman" w:hAnsi="Times New Roman"/>
      <w:i/>
      <w:iCs/>
      <w:sz w:val="24"/>
      <w:lang w:val="en-US" w:eastAsia="ar-SA"/>
    </w:rPr>
  </w:style>
  <w:style w:type="character" w:customStyle="1" w:styleId="BodyText2Char">
    <w:name w:val="Body Text 2 Char"/>
    <w:basedOn w:val="DefaultParagraphFont"/>
    <w:link w:val="BodyText2"/>
    <w:semiHidden/>
    <w:locked/>
    <w:rsid w:val="00FC5E10"/>
    <w:rPr>
      <w:rFonts w:ascii="Times New Roman" w:hAnsi="Times New Roman" w:cs="Times New Roman"/>
      <w:i/>
      <w:iCs/>
      <w:sz w:val="24"/>
      <w:szCs w:val="24"/>
      <w:lang w:eastAsia="ar-SA" w:bidi="ar-SA"/>
    </w:rPr>
  </w:style>
  <w:style w:type="paragraph" w:styleId="CommentText">
    <w:name w:val="annotation text"/>
    <w:basedOn w:val="Normal"/>
    <w:link w:val="CommentTextChar"/>
    <w:rsid w:val="00777306"/>
    <w:rPr>
      <w:szCs w:val="20"/>
    </w:rPr>
  </w:style>
  <w:style w:type="character" w:customStyle="1" w:styleId="CommentTextChar">
    <w:name w:val="Comment Text Char"/>
    <w:basedOn w:val="DefaultParagraphFont"/>
    <w:link w:val="CommentText"/>
    <w:locked/>
    <w:rsid w:val="00777306"/>
    <w:rPr>
      <w:rFonts w:ascii="Arial" w:hAnsi="Arial" w:cs="Times New Roman"/>
      <w:lang w:val="en-CA"/>
    </w:rPr>
  </w:style>
  <w:style w:type="paragraph" w:styleId="NormalWeb">
    <w:name w:val="Normal (Web)"/>
    <w:basedOn w:val="Normal"/>
    <w:semiHidden/>
    <w:rsid w:val="00AB0DC6"/>
    <w:pPr>
      <w:spacing w:before="100" w:beforeAutospacing="1" w:after="100" w:afterAutospacing="1"/>
    </w:pPr>
    <w:rPr>
      <w:rFonts w:ascii="Verdana" w:hAnsi="Verdana"/>
      <w:color w:val="000000"/>
      <w:sz w:val="15"/>
      <w:szCs w:val="15"/>
      <w:lang w:val="en-US"/>
    </w:rPr>
  </w:style>
  <w:style w:type="character" w:styleId="Hyperlink">
    <w:name w:val="Hyperlink"/>
    <w:basedOn w:val="DefaultParagraphFont"/>
    <w:semiHidden/>
    <w:rsid w:val="00AB0DC6"/>
    <w:rPr>
      <w:rFonts w:cs="Times New Roman"/>
      <w:color w:val="FF6600"/>
      <w:u w:val="none"/>
      <w:effect w:val="none"/>
    </w:rPr>
  </w:style>
  <w:style w:type="paragraph" w:customStyle="1" w:styleId="Default">
    <w:name w:val="Default"/>
    <w:rsid w:val="00AB0DC6"/>
    <w:pPr>
      <w:autoSpaceDE w:val="0"/>
      <w:autoSpaceDN w:val="0"/>
      <w:adjustRightInd w:val="0"/>
    </w:pPr>
    <w:rPr>
      <w:rFonts w:ascii="Tahoma" w:eastAsia="Times New Roman" w:hAnsi="Tahoma" w:cs="Tahoma"/>
      <w:color w:val="000000"/>
      <w:sz w:val="24"/>
      <w:szCs w:val="24"/>
    </w:rPr>
  </w:style>
  <w:style w:type="character" w:styleId="FollowedHyperlink">
    <w:name w:val="FollowedHyperlink"/>
    <w:basedOn w:val="DefaultParagraphFont"/>
    <w:semiHidden/>
    <w:rsid w:val="00AB0DC6"/>
    <w:rPr>
      <w:rFonts w:cs="Times New Roman"/>
      <w:color w:val="800080"/>
      <w:u w:val="single"/>
    </w:rPr>
  </w:style>
  <w:style w:type="character" w:customStyle="1" w:styleId="small">
    <w:name w:val="small"/>
    <w:basedOn w:val="DefaultParagraphFont"/>
    <w:rsid w:val="00AB0DC6"/>
    <w:rPr>
      <w:rFonts w:cs="Times New Roman"/>
    </w:rPr>
  </w:style>
  <w:style w:type="character" w:styleId="Strong">
    <w:name w:val="Strong"/>
    <w:basedOn w:val="DefaultParagraphFont"/>
    <w:qFormat/>
    <w:locked/>
    <w:rsid w:val="00AB0DC6"/>
    <w:rPr>
      <w:rFonts w:cs="Times New Roman"/>
      <w:b/>
      <w:bCs/>
    </w:rPr>
  </w:style>
  <w:style w:type="paragraph" w:styleId="List">
    <w:name w:val="List"/>
    <w:basedOn w:val="Normal"/>
    <w:rsid w:val="001D2729"/>
    <w:pPr>
      <w:suppressAutoHyphens/>
      <w:spacing w:after="120"/>
    </w:pPr>
    <w:rPr>
      <w:rFonts w:ascii="Times New Roman" w:hAnsi="Times New Roman" w:cs="Tahoma"/>
      <w:sz w:val="24"/>
      <w:lang w:val="en-US" w:eastAsia="ar-SA"/>
    </w:rPr>
  </w:style>
  <w:style w:type="paragraph" w:styleId="BodyText">
    <w:name w:val="Body Text"/>
    <w:basedOn w:val="Normal"/>
    <w:link w:val="BodyTextChar"/>
    <w:semiHidden/>
    <w:rsid w:val="001D2729"/>
    <w:pPr>
      <w:spacing w:after="120"/>
    </w:pPr>
  </w:style>
  <w:style w:type="character" w:customStyle="1" w:styleId="BodyTextChar">
    <w:name w:val="Body Text Char"/>
    <w:basedOn w:val="DefaultParagraphFont"/>
    <w:link w:val="BodyText"/>
    <w:semiHidden/>
    <w:locked/>
    <w:rsid w:val="001D2729"/>
    <w:rPr>
      <w:rFonts w:ascii="Arial" w:hAnsi="Arial" w:cs="Times New Roman"/>
      <w:sz w:val="24"/>
      <w:szCs w:val="24"/>
      <w:lang w:val="en-CA"/>
    </w:rPr>
  </w:style>
  <w:style w:type="paragraph" w:styleId="EndnoteText">
    <w:name w:val="endnote text"/>
    <w:basedOn w:val="Normal"/>
    <w:link w:val="EndnoteTextChar"/>
    <w:semiHidden/>
    <w:rsid w:val="00CC2F5B"/>
    <w:rPr>
      <w:szCs w:val="20"/>
    </w:rPr>
  </w:style>
  <w:style w:type="character" w:customStyle="1" w:styleId="EndnoteTextChar">
    <w:name w:val="Endnote Text Char"/>
    <w:basedOn w:val="DefaultParagraphFont"/>
    <w:link w:val="EndnoteText"/>
    <w:semiHidden/>
    <w:locked/>
    <w:rsid w:val="00CC2F5B"/>
    <w:rPr>
      <w:rFonts w:ascii="Arial" w:hAnsi="Arial" w:cs="Times New Roman"/>
      <w:lang w:val="en-CA"/>
    </w:rPr>
  </w:style>
  <w:style w:type="character" w:styleId="EndnoteReference">
    <w:name w:val="endnote reference"/>
    <w:basedOn w:val="DefaultParagraphFont"/>
    <w:semiHidden/>
    <w:rsid w:val="00CC2F5B"/>
    <w:rPr>
      <w:rFonts w:cs="Times New Roman"/>
      <w:vertAlign w:val="superscript"/>
    </w:rPr>
  </w:style>
  <w:style w:type="character" w:styleId="CommentReference">
    <w:name w:val="annotation reference"/>
    <w:basedOn w:val="DefaultParagraphFont"/>
    <w:semiHidden/>
    <w:rsid w:val="006F6348"/>
    <w:rPr>
      <w:rFonts w:cs="Times New Roman"/>
      <w:sz w:val="16"/>
      <w:szCs w:val="16"/>
    </w:rPr>
  </w:style>
  <w:style w:type="paragraph" w:styleId="CommentSubject">
    <w:name w:val="annotation subject"/>
    <w:basedOn w:val="CommentText"/>
    <w:next w:val="CommentText"/>
    <w:link w:val="CommentSubjectChar"/>
    <w:semiHidden/>
    <w:rsid w:val="006F6348"/>
    <w:rPr>
      <w:b/>
      <w:bCs/>
    </w:rPr>
  </w:style>
  <w:style w:type="character" w:customStyle="1" w:styleId="CommentSubjectChar">
    <w:name w:val="Comment Subject Char"/>
    <w:basedOn w:val="CommentTextChar"/>
    <w:link w:val="CommentSubject"/>
    <w:semiHidden/>
    <w:locked/>
    <w:rsid w:val="006F6348"/>
    <w:rPr>
      <w:b/>
      <w:bCs/>
      <w:sz w:val="20"/>
      <w:szCs w:val="20"/>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63380472">
      <w:bodyDiv w:val="1"/>
      <w:marLeft w:val="0"/>
      <w:marRight w:val="0"/>
      <w:marTop w:val="0"/>
      <w:marBottom w:val="0"/>
      <w:divBdr>
        <w:top w:val="none" w:sz="0" w:space="0" w:color="auto"/>
        <w:left w:val="none" w:sz="0" w:space="0" w:color="auto"/>
        <w:bottom w:val="none" w:sz="0" w:space="0" w:color="auto"/>
        <w:right w:val="none" w:sz="0" w:space="0" w:color="auto"/>
      </w:divBdr>
    </w:div>
    <w:div w:id="143932426">
      <w:bodyDiv w:val="1"/>
      <w:marLeft w:val="0"/>
      <w:marRight w:val="0"/>
      <w:marTop w:val="0"/>
      <w:marBottom w:val="0"/>
      <w:divBdr>
        <w:top w:val="none" w:sz="0" w:space="0" w:color="auto"/>
        <w:left w:val="none" w:sz="0" w:space="0" w:color="auto"/>
        <w:bottom w:val="none" w:sz="0" w:space="0" w:color="auto"/>
        <w:right w:val="none" w:sz="0" w:space="0" w:color="auto"/>
      </w:divBdr>
    </w:div>
    <w:div w:id="175460929">
      <w:bodyDiv w:val="1"/>
      <w:marLeft w:val="0"/>
      <w:marRight w:val="0"/>
      <w:marTop w:val="0"/>
      <w:marBottom w:val="0"/>
      <w:divBdr>
        <w:top w:val="none" w:sz="0" w:space="0" w:color="auto"/>
        <w:left w:val="none" w:sz="0" w:space="0" w:color="auto"/>
        <w:bottom w:val="none" w:sz="0" w:space="0" w:color="auto"/>
        <w:right w:val="none" w:sz="0" w:space="0" w:color="auto"/>
      </w:divBdr>
    </w:div>
    <w:div w:id="453717378">
      <w:bodyDiv w:val="1"/>
      <w:marLeft w:val="0"/>
      <w:marRight w:val="0"/>
      <w:marTop w:val="0"/>
      <w:marBottom w:val="0"/>
      <w:divBdr>
        <w:top w:val="none" w:sz="0" w:space="0" w:color="auto"/>
        <w:left w:val="none" w:sz="0" w:space="0" w:color="auto"/>
        <w:bottom w:val="none" w:sz="0" w:space="0" w:color="auto"/>
        <w:right w:val="none" w:sz="0" w:space="0" w:color="auto"/>
      </w:divBdr>
    </w:div>
    <w:div w:id="532113703">
      <w:bodyDiv w:val="1"/>
      <w:marLeft w:val="0"/>
      <w:marRight w:val="0"/>
      <w:marTop w:val="0"/>
      <w:marBottom w:val="0"/>
      <w:divBdr>
        <w:top w:val="none" w:sz="0" w:space="0" w:color="auto"/>
        <w:left w:val="none" w:sz="0" w:space="0" w:color="auto"/>
        <w:bottom w:val="none" w:sz="0" w:space="0" w:color="auto"/>
        <w:right w:val="none" w:sz="0" w:space="0" w:color="auto"/>
      </w:divBdr>
    </w:div>
    <w:div w:id="600382946">
      <w:bodyDiv w:val="1"/>
      <w:marLeft w:val="0"/>
      <w:marRight w:val="0"/>
      <w:marTop w:val="0"/>
      <w:marBottom w:val="0"/>
      <w:divBdr>
        <w:top w:val="none" w:sz="0" w:space="0" w:color="auto"/>
        <w:left w:val="none" w:sz="0" w:space="0" w:color="auto"/>
        <w:bottom w:val="none" w:sz="0" w:space="0" w:color="auto"/>
        <w:right w:val="none" w:sz="0" w:space="0" w:color="auto"/>
      </w:divBdr>
    </w:div>
    <w:div w:id="607351870">
      <w:bodyDiv w:val="1"/>
      <w:marLeft w:val="0"/>
      <w:marRight w:val="0"/>
      <w:marTop w:val="0"/>
      <w:marBottom w:val="0"/>
      <w:divBdr>
        <w:top w:val="none" w:sz="0" w:space="0" w:color="auto"/>
        <w:left w:val="none" w:sz="0" w:space="0" w:color="auto"/>
        <w:bottom w:val="none" w:sz="0" w:space="0" w:color="auto"/>
        <w:right w:val="none" w:sz="0" w:space="0" w:color="auto"/>
      </w:divBdr>
    </w:div>
    <w:div w:id="653797540">
      <w:bodyDiv w:val="1"/>
      <w:marLeft w:val="0"/>
      <w:marRight w:val="0"/>
      <w:marTop w:val="0"/>
      <w:marBottom w:val="0"/>
      <w:divBdr>
        <w:top w:val="none" w:sz="0" w:space="0" w:color="auto"/>
        <w:left w:val="none" w:sz="0" w:space="0" w:color="auto"/>
        <w:bottom w:val="none" w:sz="0" w:space="0" w:color="auto"/>
        <w:right w:val="none" w:sz="0" w:space="0" w:color="auto"/>
      </w:divBdr>
    </w:div>
    <w:div w:id="719548779">
      <w:bodyDiv w:val="1"/>
      <w:marLeft w:val="0"/>
      <w:marRight w:val="0"/>
      <w:marTop w:val="0"/>
      <w:marBottom w:val="0"/>
      <w:divBdr>
        <w:top w:val="none" w:sz="0" w:space="0" w:color="auto"/>
        <w:left w:val="none" w:sz="0" w:space="0" w:color="auto"/>
        <w:bottom w:val="none" w:sz="0" w:space="0" w:color="auto"/>
        <w:right w:val="none" w:sz="0" w:space="0" w:color="auto"/>
      </w:divBdr>
    </w:div>
    <w:div w:id="805397818">
      <w:bodyDiv w:val="1"/>
      <w:marLeft w:val="0"/>
      <w:marRight w:val="0"/>
      <w:marTop w:val="0"/>
      <w:marBottom w:val="0"/>
      <w:divBdr>
        <w:top w:val="none" w:sz="0" w:space="0" w:color="auto"/>
        <w:left w:val="none" w:sz="0" w:space="0" w:color="auto"/>
        <w:bottom w:val="none" w:sz="0" w:space="0" w:color="auto"/>
        <w:right w:val="none" w:sz="0" w:space="0" w:color="auto"/>
      </w:divBdr>
    </w:div>
    <w:div w:id="839195064">
      <w:bodyDiv w:val="1"/>
      <w:marLeft w:val="0"/>
      <w:marRight w:val="0"/>
      <w:marTop w:val="0"/>
      <w:marBottom w:val="0"/>
      <w:divBdr>
        <w:top w:val="none" w:sz="0" w:space="0" w:color="auto"/>
        <w:left w:val="none" w:sz="0" w:space="0" w:color="auto"/>
        <w:bottom w:val="none" w:sz="0" w:space="0" w:color="auto"/>
        <w:right w:val="none" w:sz="0" w:space="0" w:color="auto"/>
      </w:divBdr>
    </w:div>
    <w:div w:id="932124342">
      <w:bodyDiv w:val="1"/>
      <w:marLeft w:val="0"/>
      <w:marRight w:val="0"/>
      <w:marTop w:val="0"/>
      <w:marBottom w:val="0"/>
      <w:divBdr>
        <w:top w:val="none" w:sz="0" w:space="0" w:color="auto"/>
        <w:left w:val="none" w:sz="0" w:space="0" w:color="auto"/>
        <w:bottom w:val="none" w:sz="0" w:space="0" w:color="auto"/>
        <w:right w:val="none" w:sz="0" w:space="0" w:color="auto"/>
      </w:divBdr>
    </w:div>
    <w:div w:id="948778829">
      <w:bodyDiv w:val="1"/>
      <w:marLeft w:val="0"/>
      <w:marRight w:val="0"/>
      <w:marTop w:val="0"/>
      <w:marBottom w:val="0"/>
      <w:divBdr>
        <w:top w:val="none" w:sz="0" w:space="0" w:color="auto"/>
        <w:left w:val="none" w:sz="0" w:space="0" w:color="auto"/>
        <w:bottom w:val="none" w:sz="0" w:space="0" w:color="auto"/>
        <w:right w:val="none" w:sz="0" w:space="0" w:color="auto"/>
      </w:divBdr>
    </w:div>
    <w:div w:id="985474483">
      <w:bodyDiv w:val="1"/>
      <w:marLeft w:val="0"/>
      <w:marRight w:val="0"/>
      <w:marTop w:val="0"/>
      <w:marBottom w:val="0"/>
      <w:divBdr>
        <w:top w:val="none" w:sz="0" w:space="0" w:color="auto"/>
        <w:left w:val="none" w:sz="0" w:space="0" w:color="auto"/>
        <w:bottom w:val="none" w:sz="0" w:space="0" w:color="auto"/>
        <w:right w:val="none" w:sz="0" w:space="0" w:color="auto"/>
      </w:divBdr>
    </w:div>
    <w:div w:id="1043410267">
      <w:bodyDiv w:val="1"/>
      <w:marLeft w:val="0"/>
      <w:marRight w:val="0"/>
      <w:marTop w:val="0"/>
      <w:marBottom w:val="0"/>
      <w:divBdr>
        <w:top w:val="none" w:sz="0" w:space="0" w:color="auto"/>
        <w:left w:val="none" w:sz="0" w:space="0" w:color="auto"/>
        <w:bottom w:val="none" w:sz="0" w:space="0" w:color="auto"/>
        <w:right w:val="none" w:sz="0" w:space="0" w:color="auto"/>
      </w:divBdr>
    </w:div>
    <w:div w:id="1222863179">
      <w:bodyDiv w:val="1"/>
      <w:marLeft w:val="0"/>
      <w:marRight w:val="0"/>
      <w:marTop w:val="0"/>
      <w:marBottom w:val="0"/>
      <w:divBdr>
        <w:top w:val="none" w:sz="0" w:space="0" w:color="auto"/>
        <w:left w:val="none" w:sz="0" w:space="0" w:color="auto"/>
        <w:bottom w:val="none" w:sz="0" w:space="0" w:color="auto"/>
        <w:right w:val="none" w:sz="0" w:space="0" w:color="auto"/>
      </w:divBdr>
    </w:div>
    <w:div w:id="1265456759">
      <w:bodyDiv w:val="1"/>
      <w:marLeft w:val="0"/>
      <w:marRight w:val="0"/>
      <w:marTop w:val="0"/>
      <w:marBottom w:val="0"/>
      <w:divBdr>
        <w:top w:val="none" w:sz="0" w:space="0" w:color="auto"/>
        <w:left w:val="none" w:sz="0" w:space="0" w:color="auto"/>
        <w:bottom w:val="none" w:sz="0" w:space="0" w:color="auto"/>
        <w:right w:val="none" w:sz="0" w:space="0" w:color="auto"/>
      </w:divBdr>
    </w:div>
    <w:div w:id="1322539190">
      <w:bodyDiv w:val="1"/>
      <w:marLeft w:val="0"/>
      <w:marRight w:val="0"/>
      <w:marTop w:val="0"/>
      <w:marBottom w:val="0"/>
      <w:divBdr>
        <w:top w:val="none" w:sz="0" w:space="0" w:color="auto"/>
        <w:left w:val="none" w:sz="0" w:space="0" w:color="auto"/>
        <w:bottom w:val="none" w:sz="0" w:space="0" w:color="auto"/>
        <w:right w:val="none" w:sz="0" w:space="0" w:color="auto"/>
      </w:divBdr>
    </w:div>
    <w:div w:id="1322655707">
      <w:bodyDiv w:val="1"/>
      <w:marLeft w:val="0"/>
      <w:marRight w:val="0"/>
      <w:marTop w:val="0"/>
      <w:marBottom w:val="0"/>
      <w:divBdr>
        <w:top w:val="none" w:sz="0" w:space="0" w:color="auto"/>
        <w:left w:val="none" w:sz="0" w:space="0" w:color="auto"/>
        <w:bottom w:val="none" w:sz="0" w:space="0" w:color="auto"/>
        <w:right w:val="none" w:sz="0" w:space="0" w:color="auto"/>
      </w:divBdr>
    </w:div>
    <w:div w:id="1374425520">
      <w:bodyDiv w:val="1"/>
      <w:marLeft w:val="0"/>
      <w:marRight w:val="0"/>
      <w:marTop w:val="0"/>
      <w:marBottom w:val="0"/>
      <w:divBdr>
        <w:top w:val="none" w:sz="0" w:space="0" w:color="auto"/>
        <w:left w:val="none" w:sz="0" w:space="0" w:color="auto"/>
        <w:bottom w:val="none" w:sz="0" w:space="0" w:color="auto"/>
        <w:right w:val="none" w:sz="0" w:space="0" w:color="auto"/>
      </w:divBdr>
    </w:div>
    <w:div w:id="1377195219">
      <w:bodyDiv w:val="1"/>
      <w:marLeft w:val="0"/>
      <w:marRight w:val="0"/>
      <w:marTop w:val="0"/>
      <w:marBottom w:val="0"/>
      <w:divBdr>
        <w:top w:val="none" w:sz="0" w:space="0" w:color="auto"/>
        <w:left w:val="none" w:sz="0" w:space="0" w:color="auto"/>
        <w:bottom w:val="none" w:sz="0" w:space="0" w:color="auto"/>
        <w:right w:val="none" w:sz="0" w:space="0" w:color="auto"/>
      </w:divBdr>
    </w:div>
    <w:div w:id="1390153940">
      <w:bodyDiv w:val="1"/>
      <w:marLeft w:val="0"/>
      <w:marRight w:val="0"/>
      <w:marTop w:val="0"/>
      <w:marBottom w:val="0"/>
      <w:divBdr>
        <w:top w:val="none" w:sz="0" w:space="0" w:color="auto"/>
        <w:left w:val="none" w:sz="0" w:space="0" w:color="auto"/>
        <w:bottom w:val="none" w:sz="0" w:space="0" w:color="auto"/>
        <w:right w:val="none" w:sz="0" w:space="0" w:color="auto"/>
      </w:divBdr>
    </w:div>
    <w:div w:id="1448816019">
      <w:bodyDiv w:val="1"/>
      <w:marLeft w:val="0"/>
      <w:marRight w:val="0"/>
      <w:marTop w:val="0"/>
      <w:marBottom w:val="0"/>
      <w:divBdr>
        <w:top w:val="none" w:sz="0" w:space="0" w:color="auto"/>
        <w:left w:val="none" w:sz="0" w:space="0" w:color="auto"/>
        <w:bottom w:val="none" w:sz="0" w:space="0" w:color="auto"/>
        <w:right w:val="none" w:sz="0" w:space="0" w:color="auto"/>
      </w:divBdr>
    </w:div>
    <w:div w:id="1481730969">
      <w:bodyDiv w:val="1"/>
      <w:marLeft w:val="0"/>
      <w:marRight w:val="0"/>
      <w:marTop w:val="0"/>
      <w:marBottom w:val="0"/>
      <w:divBdr>
        <w:top w:val="none" w:sz="0" w:space="0" w:color="auto"/>
        <w:left w:val="none" w:sz="0" w:space="0" w:color="auto"/>
        <w:bottom w:val="none" w:sz="0" w:space="0" w:color="auto"/>
        <w:right w:val="none" w:sz="0" w:space="0" w:color="auto"/>
      </w:divBdr>
    </w:div>
    <w:div w:id="1487042873">
      <w:bodyDiv w:val="1"/>
      <w:marLeft w:val="0"/>
      <w:marRight w:val="0"/>
      <w:marTop w:val="0"/>
      <w:marBottom w:val="0"/>
      <w:divBdr>
        <w:top w:val="none" w:sz="0" w:space="0" w:color="auto"/>
        <w:left w:val="none" w:sz="0" w:space="0" w:color="auto"/>
        <w:bottom w:val="none" w:sz="0" w:space="0" w:color="auto"/>
        <w:right w:val="none" w:sz="0" w:space="0" w:color="auto"/>
      </w:divBdr>
    </w:div>
    <w:div w:id="1578831323">
      <w:bodyDiv w:val="1"/>
      <w:marLeft w:val="0"/>
      <w:marRight w:val="0"/>
      <w:marTop w:val="0"/>
      <w:marBottom w:val="0"/>
      <w:divBdr>
        <w:top w:val="none" w:sz="0" w:space="0" w:color="auto"/>
        <w:left w:val="none" w:sz="0" w:space="0" w:color="auto"/>
        <w:bottom w:val="none" w:sz="0" w:space="0" w:color="auto"/>
        <w:right w:val="none" w:sz="0" w:space="0" w:color="auto"/>
      </w:divBdr>
    </w:div>
    <w:div w:id="1606301124">
      <w:bodyDiv w:val="1"/>
      <w:marLeft w:val="0"/>
      <w:marRight w:val="0"/>
      <w:marTop w:val="0"/>
      <w:marBottom w:val="0"/>
      <w:divBdr>
        <w:top w:val="none" w:sz="0" w:space="0" w:color="auto"/>
        <w:left w:val="none" w:sz="0" w:space="0" w:color="auto"/>
        <w:bottom w:val="none" w:sz="0" w:space="0" w:color="auto"/>
        <w:right w:val="none" w:sz="0" w:space="0" w:color="auto"/>
      </w:divBdr>
    </w:div>
    <w:div w:id="1609317593">
      <w:bodyDiv w:val="1"/>
      <w:marLeft w:val="0"/>
      <w:marRight w:val="0"/>
      <w:marTop w:val="0"/>
      <w:marBottom w:val="0"/>
      <w:divBdr>
        <w:top w:val="none" w:sz="0" w:space="0" w:color="auto"/>
        <w:left w:val="none" w:sz="0" w:space="0" w:color="auto"/>
        <w:bottom w:val="none" w:sz="0" w:space="0" w:color="auto"/>
        <w:right w:val="none" w:sz="0" w:space="0" w:color="auto"/>
      </w:divBdr>
    </w:div>
    <w:div w:id="1618751971">
      <w:bodyDiv w:val="1"/>
      <w:marLeft w:val="0"/>
      <w:marRight w:val="0"/>
      <w:marTop w:val="0"/>
      <w:marBottom w:val="0"/>
      <w:divBdr>
        <w:top w:val="none" w:sz="0" w:space="0" w:color="auto"/>
        <w:left w:val="none" w:sz="0" w:space="0" w:color="auto"/>
        <w:bottom w:val="none" w:sz="0" w:space="0" w:color="auto"/>
        <w:right w:val="none" w:sz="0" w:space="0" w:color="auto"/>
      </w:divBdr>
    </w:div>
    <w:div w:id="1640916266">
      <w:bodyDiv w:val="1"/>
      <w:marLeft w:val="0"/>
      <w:marRight w:val="0"/>
      <w:marTop w:val="0"/>
      <w:marBottom w:val="0"/>
      <w:divBdr>
        <w:top w:val="none" w:sz="0" w:space="0" w:color="auto"/>
        <w:left w:val="none" w:sz="0" w:space="0" w:color="auto"/>
        <w:bottom w:val="none" w:sz="0" w:space="0" w:color="auto"/>
        <w:right w:val="none" w:sz="0" w:space="0" w:color="auto"/>
      </w:divBdr>
    </w:div>
    <w:div w:id="1677271748">
      <w:bodyDiv w:val="1"/>
      <w:marLeft w:val="0"/>
      <w:marRight w:val="0"/>
      <w:marTop w:val="0"/>
      <w:marBottom w:val="0"/>
      <w:divBdr>
        <w:top w:val="none" w:sz="0" w:space="0" w:color="auto"/>
        <w:left w:val="none" w:sz="0" w:space="0" w:color="auto"/>
        <w:bottom w:val="none" w:sz="0" w:space="0" w:color="auto"/>
        <w:right w:val="none" w:sz="0" w:space="0" w:color="auto"/>
      </w:divBdr>
    </w:div>
    <w:div w:id="1747804862">
      <w:bodyDiv w:val="1"/>
      <w:marLeft w:val="0"/>
      <w:marRight w:val="0"/>
      <w:marTop w:val="0"/>
      <w:marBottom w:val="0"/>
      <w:divBdr>
        <w:top w:val="none" w:sz="0" w:space="0" w:color="auto"/>
        <w:left w:val="none" w:sz="0" w:space="0" w:color="auto"/>
        <w:bottom w:val="none" w:sz="0" w:space="0" w:color="auto"/>
        <w:right w:val="none" w:sz="0" w:space="0" w:color="auto"/>
      </w:divBdr>
    </w:div>
    <w:div w:id="1762869281">
      <w:bodyDiv w:val="1"/>
      <w:marLeft w:val="0"/>
      <w:marRight w:val="0"/>
      <w:marTop w:val="0"/>
      <w:marBottom w:val="0"/>
      <w:divBdr>
        <w:top w:val="none" w:sz="0" w:space="0" w:color="auto"/>
        <w:left w:val="none" w:sz="0" w:space="0" w:color="auto"/>
        <w:bottom w:val="none" w:sz="0" w:space="0" w:color="auto"/>
        <w:right w:val="none" w:sz="0" w:space="0" w:color="auto"/>
      </w:divBdr>
    </w:div>
    <w:div w:id="1814709387">
      <w:bodyDiv w:val="1"/>
      <w:marLeft w:val="0"/>
      <w:marRight w:val="0"/>
      <w:marTop w:val="0"/>
      <w:marBottom w:val="0"/>
      <w:divBdr>
        <w:top w:val="none" w:sz="0" w:space="0" w:color="auto"/>
        <w:left w:val="none" w:sz="0" w:space="0" w:color="auto"/>
        <w:bottom w:val="none" w:sz="0" w:space="0" w:color="auto"/>
        <w:right w:val="none" w:sz="0" w:space="0" w:color="auto"/>
      </w:divBdr>
    </w:div>
    <w:div w:id="1852143949">
      <w:bodyDiv w:val="1"/>
      <w:marLeft w:val="0"/>
      <w:marRight w:val="0"/>
      <w:marTop w:val="0"/>
      <w:marBottom w:val="0"/>
      <w:divBdr>
        <w:top w:val="none" w:sz="0" w:space="0" w:color="auto"/>
        <w:left w:val="none" w:sz="0" w:space="0" w:color="auto"/>
        <w:bottom w:val="none" w:sz="0" w:space="0" w:color="auto"/>
        <w:right w:val="none" w:sz="0" w:space="0" w:color="auto"/>
      </w:divBdr>
    </w:div>
    <w:div w:id="1876576825">
      <w:bodyDiv w:val="1"/>
      <w:marLeft w:val="0"/>
      <w:marRight w:val="0"/>
      <w:marTop w:val="0"/>
      <w:marBottom w:val="0"/>
      <w:divBdr>
        <w:top w:val="none" w:sz="0" w:space="0" w:color="auto"/>
        <w:left w:val="none" w:sz="0" w:space="0" w:color="auto"/>
        <w:bottom w:val="none" w:sz="0" w:space="0" w:color="auto"/>
        <w:right w:val="none" w:sz="0" w:space="0" w:color="auto"/>
      </w:divBdr>
    </w:div>
    <w:div w:id="2039038945">
      <w:bodyDiv w:val="1"/>
      <w:marLeft w:val="0"/>
      <w:marRight w:val="0"/>
      <w:marTop w:val="0"/>
      <w:marBottom w:val="0"/>
      <w:divBdr>
        <w:top w:val="none" w:sz="0" w:space="0" w:color="auto"/>
        <w:left w:val="none" w:sz="0" w:space="0" w:color="auto"/>
        <w:bottom w:val="none" w:sz="0" w:space="0" w:color="auto"/>
        <w:right w:val="none" w:sz="0" w:space="0" w:color="auto"/>
      </w:divBdr>
    </w:div>
    <w:div w:id="2083135999">
      <w:bodyDiv w:val="1"/>
      <w:marLeft w:val="0"/>
      <w:marRight w:val="0"/>
      <w:marTop w:val="0"/>
      <w:marBottom w:val="0"/>
      <w:divBdr>
        <w:top w:val="none" w:sz="0" w:space="0" w:color="auto"/>
        <w:left w:val="none" w:sz="0" w:space="0" w:color="auto"/>
        <w:bottom w:val="none" w:sz="0" w:space="0" w:color="auto"/>
        <w:right w:val="none" w:sz="0" w:space="0" w:color="auto"/>
      </w:divBdr>
    </w:div>
    <w:div w:id="2088072510">
      <w:bodyDiv w:val="1"/>
      <w:marLeft w:val="0"/>
      <w:marRight w:val="0"/>
      <w:marTop w:val="0"/>
      <w:marBottom w:val="0"/>
      <w:divBdr>
        <w:top w:val="none" w:sz="0" w:space="0" w:color="auto"/>
        <w:left w:val="none" w:sz="0" w:space="0" w:color="auto"/>
        <w:bottom w:val="none" w:sz="0" w:space="0" w:color="auto"/>
        <w:right w:val="none" w:sz="0" w:space="0" w:color="auto"/>
      </w:divBdr>
    </w:div>
    <w:div w:id="2089839742">
      <w:bodyDiv w:val="1"/>
      <w:marLeft w:val="0"/>
      <w:marRight w:val="0"/>
      <w:marTop w:val="0"/>
      <w:marBottom w:val="0"/>
      <w:divBdr>
        <w:top w:val="none" w:sz="0" w:space="0" w:color="auto"/>
        <w:left w:val="none" w:sz="0" w:space="0" w:color="auto"/>
        <w:bottom w:val="none" w:sz="0" w:space="0" w:color="auto"/>
        <w:right w:val="none" w:sz="0" w:space="0" w:color="auto"/>
      </w:divBdr>
    </w:div>
    <w:div w:id="214199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ho.org/english/gov/csp/govbodies-CSP.htm" TargetMode="External"/><Relationship Id="rId13" Type="http://schemas.openxmlformats.org/officeDocument/2006/relationships/image" Target="media/image3.emf"/><Relationship Id="rId18" Type="http://schemas.openxmlformats.org/officeDocument/2006/relationships/image" Target="media/image7.emf"/><Relationship Id="rId26" Type="http://schemas.openxmlformats.org/officeDocument/2006/relationships/hyperlink" Target="https://intranet.paho.org/DPM/SHD/HP/SHD_HP_Overview.asp" TargetMode="External"/><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endnotes" Target="endnotes.xml"/><Relationship Id="rId12" Type="http://schemas.openxmlformats.org/officeDocument/2006/relationships/hyperlink" Target="http://www.paho.org/english/gov/ce/spba/govbodies-SPBA-e.htm" TargetMode="External"/><Relationship Id="rId17" Type="http://schemas.openxmlformats.org/officeDocument/2006/relationships/image" Target="media/image6.emf"/><Relationship Id="rId25" Type="http://schemas.openxmlformats.org/officeDocument/2006/relationships/image" Target="media/image14.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ho.org/English/D/director_paho.htm" TargetMode="External"/><Relationship Id="rId24" Type="http://schemas.openxmlformats.org/officeDocument/2006/relationships/image" Target="media/image13.emf"/><Relationship Id="rId5" Type="http://schemas.openxmlformats.org/officeDocument/2006/relationships/webSettings" Target="webSettings.xml"/><Relationship Id="rId15" Type="http://schemas.openxmlformats.org/officeDocument/2006/relationships/hyperlink" Target="https://intranet.paho.org/DPM/PPS/PB/PPS_PB_Overview.asp" TargetMode="External"/><Relationship Id="rId23" Type="http://schemas.openxmlformats.org/officeDocument/2006/relationships/image" Target="media/image12.emf"/><Relationship Id="rId28" Type="http://schemas.openxmlformats.org/officeDocument/2006/relationships/footer" Target="footer1.xml"/><Relationship Id="rId10" Type="http://schemas.openxmlformats.org/officeDocument/2006/relationships/hyperlink" Target="http://www.paho.org/english/gov/ce/govbodies-CE.htm" TargetMode="External"/><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hyperlink" Target="http://www.paho.org/english/gov/cd/govbodies-CD.htm" TargetMode="External"/><Relationship Id="rId14" Type="http://schemas.openxmlformats.org/officeDocument/2006/relationships/image" Target="media/image4.emf"/><Relationship Id="rId22" Type="http://schemas.openxmlformats.org/officeDocument/2006/relationships/image" Target="media/image11.emf"/><Relationship Id="rId27" Type="http://schemas.openxmlformats.org/officeDocument/2006/relationships/hyperlink" Target="http://www.paho.org/english/D/Presentation_MR_Forum(Eng).ppt" TargetMode="Externa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56F24-0C42-4CFA-A0C0-880DA3E24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1122</TotalTime>
  <Pages>76</Pages>
  <Words>30714</Words>
  <Characters>175074</Characters>
  <Application>Microsoft Office Word</Application>
  <DocSecurity>0</DocSecurity>
  <Lines>1458</Lines>
  <Paragraphs>410</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WHO Baseline Assessment</vt:lpstr>
      <vt:lpstr>    </vt:lpstr>
      <vt:lpstr>    </vt:lpstr>
      <vt:lpstr>    (c)  Sex parity in PAHO staffing: The analysis dealt with two broad dimensi</vt:lpstr>
      <vt:lpstr>    Table 5.  Percent distribution of PAHO staff members according to level of      </vt:lpstr>
      <vt:lpstr>    1st:    Colleagues with gender expertise to collaborate ……….……………………..39%</vt:lpstr>
      <vt:lpstr>    2nd    Discussions on gender in one’s area of work during office-staff meetings…</vt:lpstr>
      <vt:lpstr>    Table 7. Facilitating factors for gender integration as identified by WHO/PAHO s</vt:lpstr>
      <vt:lpstr>    Table 8.  Inhibiting factors or institutional barriers for gender integration in</vt:lpstr>
    </vt:vector>
  </TitlesOfParts>
  <Company/>
  <LinksUpToDate>false</LinksUpToDate>
  <CharactersWithSpaces>205378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Baseline Assessment</dc:title>
  <dc:creator>Elsa Gomez Gomez</dc:creator>
  <cp:lastModifiedBy>Elsa Gomez Gomez</cp:lastModifiedBy>
  <cp:revision>20</cp:revision>
  <dcterms:created xsi:type="dcterms:W3CDTF">2009-02-05T20:16:00Z</dcterms:created>
  <dcterms:modified xsi:type="dcterms:W3CDTF">2009-02-10T05:17:00Z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558388497</vt:i4>
  </property>
  <property fmtid="{D5CDD505-2E9C-101B-9397-08002B2CF9AE}" pid="3" name="_NewReviewCycle">
    <vt:lpwstr/>
  </property>
  <property fmtid="{D5CDD505-2E9C-101B-9397-08002B2CF9AE}" pid="4" name="_EmailSubject">
    <vt:lpwstr>PAHO Revised draft baseline assesment report</vt:lpwstr>
  </property>
  <property fmtid="{D5CDD505-2E9C-101B-9397-08002B2CF9AE}" pid="5" name="_AuthorEmail">
    <vt:lpwstr>amina@who.int</vt:lpwstr>
  </property>
  <property fmtid="{D5CDD505-2E9C-101B-9397-08002B2CF9AE}" pid="6" name="_AuthorEmailDisplayName">
    <vt:lpwstr>Amin, Avni</vt:lpwstr>
  </property>
  <property fmtid="{D5CDD505-2E9C-101B-9397-08002B2CF9AE}" pid="7" name="_ReviewingToolsShownOnce">
    <vt:lpwstr/>
  </property>
</Properties>
</file>