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6D416" w14:textId="174CBF54" w:rsidR="00C94EE4" w:rsidRPr="006D1940" w:rsidRDefault="00ED1BAD">
      <w:pPr>
        <w:shd w:val="clear" w:color="auto" w:fill="FFFFFF"/>
        <w:spacing w:line="240" w:lineRule="auto"/>
        <w:jc w:val="center"/>
        <w:rPr>
          <w:rFonts w:ascii="Source Sans Pro" w:hAnsi="Source Sans Pro" w:cs="Noto Sans"/>
          <w:b/>
          <w:bCs/>
          <w:color w:val="3C4245"/>
          <w:lang w:val="fr-FR"/>
        </w:rPr>
      </w:pPr>
      <w:r w:rsidRPr="006D1940">
        <w:rPr>
          <w:rFonts w:ascii="Source Sans Pro" w:hAnsi="Source Sans Pro" w:cs="Noto Sans"/>
          <w:b/>
          <w:bCs/>
          <w:color w:val="3C4245"/>
          <w:lang w:val="fr-FR"/>
        </w:rPr>
        <w:t xml:space="preserve">Quatrième </w:t>
      </w:r>
      <w:r w:rsidR="00C60D12" w:rsidRPr="006D1940">
        <w:rPr>
          <w:rFonts w:ascii="Source Sans Pro" w:hAnsi="Source Sans Pro" w:cs="Noto Sans"/>
          <w:b/>
          <w:bCs/>
          <w:color w:val="3C4245"/>
          <w:lang w:val="fr-FR"/>
        </w:rPr>
        <w:t xml:space="preserve">réunion de haut niveau de l’Assemblée générale des Nations Unies sur la prévention et la maîtrise des maladies non transmissibles </w:t>
      </w:r>
    </w:p>
    <w:p w14:paraId="22533932" w14:textId="50B79867" w:rsidR="00C94EE4" w:rsidRPr="006D1940" w:rsidRDefault="00ED1BAD">
      <w:pPr>
        <w:shd w:val="clear" w:color="auto" w:fill="FFFFFF"/>
        <w:spacing w:after="0" w:line="240" w:lineRule="auto"/>
        <w:jc w:val="center"/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</w:pPr>
      <w:r w:rsidRPr="006D1940"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  <w:t>Consultation en ligne : Phase I (1-26 mai 2024)</w:t>
      </w:r>
      <w:r w:rsidR="00117532" w:rsidRPr="006D1940"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  <w:t xml:space="preserve">  </w:t>
      </w:r>
    </w:p>
    <w:p w14:paraId="359BBF03" w14:textId="77777777" w:rsidR="00CC73F5" w:rsidRPr="006D1940" w:rsidRDefault="00ED1BAD">
      <w:pPr>
        <w:shd w:val="clear" w:color="auto" w:fill="FFFFFF"/>
        <w:spacing w:after="0" w:line="240" w:lineRule="auto"/>
        <w:jc w:val="center"/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</w:pPr>
      <w:r w:rsidRPr="006D1940"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  <w:t xml:space="preserve">Observations générales sur les principaux domaines prioritaires </w:t>
      </w:r>
    </w:p>
    <w:p w14:paraId="6DC5E789" w14:textId="7BDF03A5" w:rsidR="00C94EE4" w:rsidRPr="006D1940" w:rsidRDefault="00ED1BAD">
      <w:pPr>
        <w:shd w:val="clear" w:color="auto" w:fill="FFFFFF"/>
        <w:spacing w:after="0" w:line="240" w:lineRule="auto"/>
        <w:jc w:val="center"/>
        <w:rPr>
          <w:rStyle w:val="lev"/>
          <w:rFonts w:ascii="Source Sans Pro" w:hAnsi="Source Sans Pro" w:cs="Noto Sans"/>
          <w:color w:val="3C4245"/>
          <w:sz w:val="10"/>
          <w:szCs w:val="10"/>
          <w:lang w:val="fr-FR"/>
        </w:rPr>
      </w:pPr>
      <w:r w:rsidRPr="006D1940"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  <w:t xml:space="preserve">du rapport du </w:t>
      </w:r>
      <w:r w:rsidR="00F2628E" w:rsidRPr="006D1940"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  <w:t>D</w:t>
      </w:r>
      <w:r w:rsidRPr="006D1940"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  <w:t>irecteur général de l’OMS</w:t>
      </w:r>
      <w:r w:rsidR="00117532" w:rsidRPr="006D1940">
        <w:rPr>
          <w:rFonts w:ascii="Source Sans Pro" w:hAnsi="Source Sans Pro" w:cs="Noto Sans"/>
          <w:b/>
          <w:bCs/>
          <w:color w:val="2F5496" w:themeColor="accent1" w:themeShade="BF"/>
          <w:sz w:val="24"/>
          <w:szCs w:val="24"/>
          <w:lang w:val="fr-FR"/>
        </w:rPr>
        <w:t xml:space="preserve">  </w:t>
      </w:r>
      <w:r w:rsidRPr="006D1940">
        <w:rPr>
          <w:rFonts w:ascii="Source Sans Pro" w:hAnsi="Source Sans Pro" w:cs="Noto Sans"/>
          <w:b/>
          <w:bCs/>
          <w:color w:val="3C4245"/>
          <w:sz w:val="30"/>
          <w:szCs w:val="30"/>
          <w:lang w:val="fr-FR"/>
        </w:rPr>
        <w:br/>
      </w:r>
    </w:p>
    <w:p w14:paraId="5C5071B2" w14:textId="32FBA97C" w:rsidR="00C94EE4" w:rsidRPr="006D1940" w:rsidRDefault="00397DB7">
      <w:pPr>
        <w:shd w:val="clear" w:color="auto" w:fill="FFFFFF"/>
        <w:rPr>
          <w:rStyle w:val="lev"/>
          <w:rFonts w:ascii="Source Sans Pro" w:hAnsi="Source Sans Pro" w:cstheme="minorHAnsi"/>
          <w:shd w:val="clear" w:color="auto" w:fill="FFFFFF"/>
          <w:lang w:val="fr-FR"/>
        </w:rPr>
      </w:pP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>Orienta</w:t>
      </w:r>
      <w:r w:rsidR="00ED1BAD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>tions</w:t>
      </w:r>
      <w:r w:rsidR="00F2628E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  </w:t>
      </w:r>
    </w:p>
    <w:p w14:paraId="1526AE7B" w14:textId="5E525968" w:rsidR="00C94EE4" w:rsidRPr="006D1940" w:rsidRDefault="00ED1BAD">
      <w:pPr>
        <w:shd w:val="clear" w:color="auto" w:fill="FFFFFF"/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</w:pP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Le </w:t>
      </w:r>
      <w:r w:rsidR="002F0CA2" w:rsidRPr="006D1940">
        <w:rPr>
          <w:rFonts w:ascii="Source Sans Pro" w:hAnsi="Source Sans Pro" w:cs="Calibri"/>
          <w:i/>
          <w:iCs/>
          <w:color w:val="000000"/>
          <w:shd w:val="clear" w:color="auto" w:fill="FFFFFF"/>
          <w:lang w:val="fr-FR"/>
        </w:rPr>
        <w:t>Plan d’action mondial pour la lutte contre les maladies non transmissibles 2013-2030</w:t>
      </w:r>
      <w:r w:rsidRPr="006D1940">
        <w:rPr>
          <w:rStyle w:val="normaltextrun"/>
          <w:rFonts w:ascii="Source Sans Pro" w:hAnsi="Source Sans Pro" w:cs="Calibri"/>
          <w:i/>
          <w:iCs/>
          <w:color w:val="000000"/>
          <w:shd w:val="clear" w:color="auto" w:fill="FFFFFF"/>
          <w:lang w:val="fr-FR"/>
        </w:rPr>
        <w:t xml:space="preserve">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(</w:t>
      </w:r>
      <w:hyperlink r:id="rId4" w:history="1">
        <w:r w:rsidRPr="006D1940">
          <w:rPr>
            <w:rStyle w:val="Lienhypertexte"/>
            <w:rFonts w:ascii="Source Sans Pro" w:hAnsi="Source Sans Pro" w:cs="Calibri"/>
            <w:shd w:val="clear" w:color="auto" w:fill="FFFFFF"/>
            <w:lang w:val="fr-FR"/>
          </w:rPr>
          <w:t>NCD-GAP</w:t>
        </w:r>
      </w:hyperlink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) fournit une feuille de route et un</w:t>
      </w:r>
      <w:r w:rsidR="00D178EF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e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 </w:t>
      </w:r>
      <w:r w:rsidR="00D178EF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liste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d’options </w:t>
      </w:r>
      <w:r w:rsidR="00D178EF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de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politiques </w:t>
      </w:r>
      <w:r w:rsidR="00D178EF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générales </w:t>
      </w:r>
      <w:r w:rsidR="007C3921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à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l</w:t>
      </w:r>
      <w:r w:rsidR="007C3921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’ensemble d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es États membres et </w:t>
      </w:r>
      <w:r w:rsidR="007C3921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d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es parties prenantes, afin de prendre des mesures coordonnées et cohérentes, à tous les niveaux, du </w:t>
      </w:r>
      <w:r w:rsidR="00C323A9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niveau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local au </w:t>
      </w:r>
      <w:r w:rsidR="00C323A9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niveau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mondial,</w:t>
      </w:r>
      <w:r w:rsidR="00C323A9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pour atteindre les neuf cibles mondiales volontaires. L’accélération des progrès en matière de prévention et de </w:t>
      </w:r>
      <w:r w:rsidR="006C6ABD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maîtrise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des maladies non transmissibles, de santé mentale et de bien-être nécessitera des actions ciblées et concertées sur l’ensemble des six objectifs du </w:t>
      </w:r>
      <w:r w:rsidR="006C6ABD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P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lan d’action, </w:t>
      </w:r>
      <w:r w:rsidR="006C6ABD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en mettant l’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accent </w:t>
      </w:r>
      <w:r w:rsidR="006C6ABD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en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particulier sur la réduction de la pollution atmosphérique et la promotion de la santé mentale dans le cadre du programme </w:t>
      </w:r>
      <w:r w:rsidR="00146832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d’action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5</w:t>
      </w:r>
      <w:r w:rsidR="00D810A9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> x 5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 a</w:t>
      </w:r>
      <w:r w:rsidR="00D810A9"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valisé </w:t>
      </w:r>
      <w:r w:rsidRPr="006D1940">
        <w:rPr>
          <w:rStyle w:val="normaltextrun"/>
          <w:rFonts w:ascii="Source Sans Pro" w:hAnsi="Source Sans Pro" w:cs="Calibri"/>
          <w:color w:val="000000"/>
          <w:shd w:val="clear" w:color="auto" w:fill="FFFFFF"/>
          <w:lang w:val="fr-FR"/>
        </w:rPr>
        <w:t xml:space="preserve">par la </w:t>
      </w:r>
      <w:r w:rsidRPr="006D1940">
        <w:rPr>
          <w:rStyle w:val="normaltextrun"/>
          <w:rFonts w:ascii="Source Sans Pro" w:hAnsi="Source Sans Pro" w:cs="Calibri"/>
          <w:color w:val="000000"/>
          <w:bdr w:val="none" w:sz="0" w:space="0" w:color="auto" w:frame="1"/>
          <w:lang w:val="fr-FR"/>
        </w:rPr>
        <w:t>troisième déclaration politique sur la prévention et l</w:t>
      </w:r>
      <w:r w:rsidR="00D810A9" w:rsidRPr="006D1940">
        <w:rPr>
          <w:rStyle w:val="normaltextrun"/>
          <w:rFonts w:ascii="Source Sans Pro" w:hAnsi="Source Sans Pro" w:cs="Calibri"/>
          <w:color w:val="000000"/>
          <w:bdr w:val="none" w:sz="0" w:space="0" w:color="auto" w:frame="1"/>
          <w:lang w:val="fr-FR"/>
        </w:rPr>
        <w:t xml:space="preserve">a maîtrise </w:t>
      </w:r>
      <w:r w:rsidRPr="006D1940">
        <w:rPr>
          <w:rStyle w:val="normaltextrun"/>
          <w:rFonts w:ascii="Source Sans Pro" w:hAnsi="Source Sans Pro" w:cs="Calibri"/>
          <w:color w:val="000000"/>
          <w:bdr w:val="none" w:sz="0" w:space="0" w:color="auto" w:frame="1"/>
          <w:lang w:val="fr-FR"/>
        </w:rPr>
        <w:t>des maladies non transmissibles en</w:t>
      </w:r>
      <w:r w:rsidR="00D810A9" w:rsidRPr="006D1940">
        <w:rPr>
          <w:rStyle w:val="normaltextrun"/>
          <w:rFonts w:ascii="Source Sans Pro" w:hAnsi="Source Sans Pro" w:cs="Calibri"/>
          <w:color w:val="000000"/>
          <w:bdr w:val="none" w:sz="0" w:space="0" w:color="auto" w:frame="1"/>
          <w:lang w:val="fr-FR"/>
        </w:rPr>
        <w:t> </w:t>
      </w:r>
      <w:r w:rsidRPr="006D1940">
        <w:rPr>
          <w:rStyle w:val="normaltextrun"/>
          <w:rFonts w:ascii="Source Sans Pro" w:hAnsi="Source Sans Pro" w:cs="Calibri"/>
          <w:color w:val="000000"/>
          <w:bdr w:val="none" w:sz="0" w:space="0" w:color="auto" w:frame="1"/>
          <w:lang w:val="fr-FR"/>
        </w:rPr>
        <w:t>2018.</w:t>
      </w:r>
      <w:r w:rsidR="00397DB7" w:rsidRPr="006D1940">
        <w:rPr>
          <w:rStyle w:val="normaltextrun"/>
          <w:rFonts w:ascii="Source Sans Pro" w:hAnsi="Source Sans Pro" w:cs="Calibri"/>
          <w:color w:val="000000"/>
          <w:bdr w:val="none" w:sz="0" w:space="0" w:color="auto" w:frame="1"/>
          <w:lang w:val="fr-FR"/>
        </w:rPr>
        <w:t xml:space="preserve">  </w:t>
      </w:r>
    </w:p>
    <w:p w14:paraId="08005EFB" w14:textId="68881133" w:rsidR="00C94EE4" w:rsidRPr="006D1940" w:rsidRDefault="00ED1BAD">
      <w:pPr>
        <w:shd w:val="clear" w:color="auto" w:fill="FFFFFF" w:themeFill="background1"/>
        <w:spacing w:after="240" w:line="240" w:lineRule="auto"/>
        <w:rPr>
          <w:rFonts w:ascii="Source Sans Pro" w:hAnsi="Source Sans Pro" w:cstheme="minorHAnsi"/>
          <w:shd w:val="clear" w:color="auto" w:fill="FFFFFF"/>
          <w:lang w:val="fr-FR"/>
        </w:rPr>
      </w:pP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En utilisant le tableau ci-dessous, veuillez fournir des commentaires écrits sur les domaines prioritaires </w:t>
      </w:r>
      <w:r w:rsidR="006D52D8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clés </w:t>
      </w:r>
      <w:r w:rsidR="0048794F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par rapport à 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chaque objectif </w:t>
      </w:r>
      <w:r w:rsidRPr="006D1940">
        <w:rPr>
          <w:rStyle w:val="lev"/>
          <w:rFonts w:ascii="Source Sans Pro" w:hAnsi="Source Sans Pro"/>
          <w:shd w:val="clear" w:color="auto" w:fill="FFFFFF"/>
          <w:lang w:val="fr-FR"/>
        </w:rPr>
        <w:t>p</w:t>
      </w:r>
      <w:r w:rsidR="006D52D8" w:rsidRPr="006D1940">
        <w:rPr>
          <w:rStyle w:val="lev"/>
          <w:rFonts w:ascii="Source Sans Pro" w:hAnsi="Source Sans Pro"/>
          <w:shd w:val="clear" w:color="auto" w:fill="FFFFFF"/>
          <w:lang w:val="fr-FR"/>
        </w:rPr>
        <w:t>o</w:t>
      </w:r>
      <w:r w:rsidRPr="006D1940">
        <w:rPr>
          <w:rStyle w:val="lev"/>
          <w:rFonts w:ascii="Source Sans Pro" w:hAnsi="Source Sans Pro"/>
          <w:shd w:val="clear" w:color="auto" w:fill="FFFFFF"/>
          <w:lang w:val="fr-FR"/>
        </w:rPr>
        <w:t>uv</w:t>
      </w:r>
      <w:r w:rsidR="006D52D8" w:rsidRPr="006D1940">
        <w:rPr>
          <w:rStyle w:val="lev"/>
          <w:rFonts w:ascii="Source Sans Pro" w:hAnsi="Source Sans Pro"/>
          <w:shd w:val="clear" w:color="auto" w:fill="FFFFFF"/>
          <w:lang w:val="fr-FR"/>
        </w:rPr>
        <w:t>a</w:t>
      </w:r>
      <w:r w:rsidRPr="006D1940">
        <w:rPr>
          <w:rStyle w:val="lev"/>
          <w:rFonts w:ascii="Source Sans Pro" w:hAnsi="Source Sans Pro"/>
          <w:shd w:val="clear" w:color="auto" w:fill="FFFFFF"/>
          <w:lang w:val="fr-FR"/>
        </w:rPr>
        <w:t xml:space="preserve">nt catalyser une action et une attention urgentes de 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la part des États </w:t>
      </w:r>
      <w:r w:rsidR="00BE083C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>M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embres et des parties prenantes, afin d’accélérer les progrès dans </w:t>
      </w:r>
      <w:r w:rsidR="00BE083C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>l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a prévention et la </w:t>
      </w:r>
      <w:r w:rsidR="007F3330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prise en charge 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des MNT, la promotion de la santé mentale et du bien-être, et le traitement et la prise en charge des </w:t>
      </w:r>
      <w:r w:rsidR="007F3330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troubles 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de santé mentale. Ces </w:t>
      </w:r>
      <w:r w:rsidR="007F3330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>contributions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 pourront éclairer les recommandations à inclure dans le rapport du </w:t>
      </w:r>
      <w:r w:rsidR="007F3330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>D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>irecteur général de l’OMS à l’A</w:t>
      </w:r>
      <w:r w:rsidR="007F3330"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>ssemblée mondiale de la Santé </w:t>
      </w:r>
      <w:r w:rsidRPr="006D1940">
        <w:rPr>
          <w:rStyle w:val="lev"/>
          <w:rFonts w:ascii="Source Sans Pro" w:hAnsi="Source Sans Pro" w:cstheme="minorHAnsi"/>
          <w:shd w:val="clear" w:color="auto" w:fill="FFFFFF"/>
          <w:lang w:val="fr-FR"/>
        </w:rPr>
        <w:t xml:space="preserve">2025 intitulé </w:t>
      </w:r>
      <w:r w:rsidRPr="006D1940">
        <w:rPr>
          <w:rStyle w:val="lev"/>
          <w:rFonts w:ascii="Source Sans Pro" w:hAnsi="Source Sans Pro" w:cstheme="minorHAnsi"/>
          <w:i/>
          <w:iCs/>
          <w:shd w:val="clear" w:color="auto" w:fill="FFFFFF"/>
          <w:lang w:val="fr-FR"/>
        </w:rPr>
        <w:t xml:space="preserve">Préparation </w:t>
      </w:r>
      <w:r w:rsidR="007F3330" w:rsidRPr="006D1940">
        <w:rPr>
          <w:rStyle w:val="lev"/>
          <w:rFonts w:ascii="Source Sans Pro" w:hAnsi="Source Sans Pro" w:cstheme="minorHAnsi"/>
          <w:i/>
          <w:iCs/>
          <w:shd w:val="clear" w:color="auto" w:fill="FFFFFF"/>
          <w:lang w:val="fr-FR"/>
        </w:rPr>
        <w:t xml:space="preserve">pour </w:t>
      </w:r>
      <w:r w:rsidRPr="006D1940">
        <w:rPr>
          <w:rStyle w:val="lev"/>
          <w:rFonts w:ascii="Source Sans Pro" w:hAnsi="Source Sans Pro" w:cstheme="minorHAnsi"/>
          <w:i/>
          <w:iCs/>
          <w:shd w:val="clear" w:color="auto" w:fill="FFFFFF"/>
          <w:lang w:val="fr-FR"/>
        </w:rPr>
        <w:t xml:space="preserve">la quatrième réunion de haut niveau de l’Assemblée générale sur la prévention et la </w:t>
      </w:r>
      <w:r w:rsidR="00267C19" w:rsidRPr="006D1940">
        <w:rPr>
          <w:rStyle w:val="lev"/>
          <w:rFonts w:ascii="Source Sans Pro" w:hAnsi="Source Sans Pro" w:cstheme="minorHAnsi"/>
          <w:i/>
          <w:iCs/>
          <w:shd w:val="clear" w:color="auto" w:fill="FFFFFF"/>
          <w:lang w:val="fr-FR"/>
        </w:rPr>
        <w:t xml:space="preserve">maîtrise des </w:t>
      </w:r>
      <w:r w:rsidRPr="006D1940">
        <w:rPr>
          <w:rStyle w:val="lev"/>
          <w:rFonts w:ascii="Source Sans Pro" w:hAnsi="Source Sans Pro" w:cstheme="minorHAnsi"/>
          <w:i/>
          <w:iCs/>
          <w:shd w:val="clear" w:color="auto" w:fill="FFFFFF"/>
          <w:lang w:val="fr-FR"/>
        </w:rPr>
        <w:t>maladies non transmissibles, qui se tiendra en</w:t>
      </w:r>
      <w:r w:rsidR="00267C19" w:rsidRPr="006D1940">
        <w:rPr>
          <w:rStyle w:val="lev"/>
          <w:rFonts w:ascii="Source Sans Pro" w:hAnsi="Source Sans Pro" w:cstheme="minorHAnsi"/>
          <w:i/>
          <w:iCs/>
          <w:shd w:val="clear" w:color="auto" w:fill="FFFFFF"/>
          <w:lang w:val="fr-FR"/>
        </w:rPr>
        <w:t> </w:t>
      </w:r>
      <w:r w:rsidRPr="006D1940">
        <w:rPr>
          <w:rStyle w:val="lev"/>
          <w:rFonts w:ascii="Source Sans Pro" w:hAnsi="Source Sans Pro" w:cstheme="minorHAnsi"/>
          <w:i/>
          <w:iCs/>
          <w:shd w:val="clear" w:color="auto" w:fill="FFFFFF"/>
          <w:lang w:val="fr-FR"/>
        </w:rPr>
        <w:t>2025</w:t>
      </w:r>
      <w:r w:rsidRPr="006D1940">
        <w:rPr>
          <w:rStyle w:val="lev"/>
          <w:rFonts w:ascii="Source Sans Pro" w:hAnsi="Source Sans Pro" w:cstheme="minorHAnsi"/>
          <w:b w:val="0"/>
          <w:bCs w:val="0"/>
          <w:shd w:val="clear" w:color="auto" w:fill="FFFFFF"/>
          <w:lang w:val="fr-FR"/>
        </w:rPr>
        <w:t xml:space="preserve">. </w:t>
      </w:r>
      <w:r w:rsidR="004E0C86" w:rsidRPr="006D1940">
        <w:rPr>
          <w:rStyle w:val="lev"/>
          <w:rFonts w:ascii="Source Sans Pro" w:hAnsi="Source Sans Pro" w:cstheme="minorHAnsi"/>
          <w:b w:val="0"/>
          <w:bCs w:val="0"/>
          <w:shd w:val="clear" w:color="auto" w:fill="FFFFFF"/>
          <w:lang w:val="fr-FR"/>
        </w:rPr>
        <w:t xml:space="preserve"> </w:t>
      </w:r>
    </w:p>
    <w:tbl>
      <w:tblPr>
        <w:tblW w:w="10350" w:type="dxa"/>
        <w:tblInd w:w="82" w:type="dxa"/>
        <w:tblBorders>
          <w:top w:val="single" w:sz="2" w:space="0" w:color="009ADE"/>
          <w:left w:val="single" w:sz="2" w:space="0" w:color="009ADE"/>
          <w:bottom w:val="single" w:sz="2" w:space="0" w:color="009ADE"/>
          <w:right w:val="single" w:sz="2" w:space="0" w:color="009ADE"/>
          <w:insideH w:val="single" w:sz="2" w:space="0" w:color="009ADE"/>
          <w:insideV w:val="single" w:sz="2" w:space="0" w:color="009A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950"/>
        <w:gridCol w:w="4950"/>
      </w:tblGrid>
      <w:tr w:rsidR="008C25C4" w:rsidRPr="006D1940" w14:paraId="25E6B3DA" w14:textId="77777777">
        <w:trPr>
          <w:trHeight w:val="345"/>
        </w:trPr>
        <w:tc>
          <w:tcPr>
            <w:tcW w:w="450" w:type="dxa"/>
            <w:shd w:val="clear" w:color="auto" w:fill="009ADE"/>
            <w:hideMark/>
          </w:tcPr>
          <w:p w14:paraId="114882CD" w14:textId="77777777" w:rsidR="00C94EE4" w:rsidRPr="006D1940" w:rsidRDefault="00ED1BAD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Segoe UI"/>
                <w:b/>
                <w:bCs/>
                <w:color w:val="FFFFFF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color w:val="FFFFFF"/>
                <w:lang w:val="fr-FR"/>
              </w:rPr>
              <w:t>#</w:t>
            </w:r>
          </w:p>
        </w:tc>
        <w:tc>
          <w:tcPr>
            <w:tcW w:w="4950" w:type="dxa"/>
            <w:shd w:val="clear" w:color="auto" w:fill="009ADE"/>
            <w:hideMark/>
          </w:tcPr>
          <w:p w14:paraId="25CEAE1E" w14:textId="4708B46F" w:rsidR="00C94EE4" w:rsidRPr="006D1940" w:rsidRDefault="00ED1BAD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b/>
                <w:bCs/>
                <w:color w:val="FFFFFF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color w:val="FFFFFF"/>
                <w:lang w:val="fr-FR"/>
              </w:rPr>
              <w:t>Objectif d</w:t>
            </w:r>
            <w:r w:rsidR="0071734B" w:rsidRPr="006D1940">
              <w:rPr>
                <w:rFonts w:ascii="Source Sans Pro" w:eastAsia="Times New Roman" w:hAnsi="Source Sans Pro" w:cs="Calibri"/>
                <w:b/>
                <w:bCs/>
                <w:color w:val="FFFFFF"/>
                <w:lang w:val="fr-FR"/>
              </w:rPr>
              <w:t>u</w:t>
            </w:r>
            <w:r w:rsidR="0071734B" w:rsidRPr="006D1940">
              <w:rPr>
                <w:rFonts w:eastAsia="Times New Roman" w:cs="Calibri"/>
                <w:color w:val="FFFFFF"/>
                <w:lang w:val="fr-FR"/>
              </w:rPr>
              <w:t xml:space="preserve"> </w:t>
            </w:r>
            <w:r w:rsidR="0071734B" w:rsidRPr="006D1940">
              <w:rPr>
                <w:rFonts w:ascii="Source Sans Pro" w:eastAsia="Times New Roman" w:hAnsi="Source Sans Pro" w:cs="Calibri"/>
                <w:b/>
                <w:bCs/>
                <w:color w:val="FFFFFF"/>
                <w:lang w:val="fr-FR"/>
              </w:rPr>
              <w:t>Plan d’action</w:t>
            </w:r>
            <w:r w:rsidR="0071734B" w:rsidRPr="006D1940">
              <w:rPr>
                <w:rFonts w:eastAsia="Times New Roman" w:cs="Calibri"/>
                <w:color w:val="FFFFFF"/>
                <w:lang w:val="fr-FR"/>
              </w:rPr>
              <w:t xml:space="preserve">   </w:t>
            </w:r>
          </w:p>
        </w:tc>
        <w:tc>
          <w:tcPr>
            <w:tcW w:w="4950" w:type="dxa"/>
            <w:shd w:val="clear" w:color="auto" w:fill="009ADE"/>
            <w:hideMark/>
          </w:tcPr>
          <w:p w14:paraId="04FA7EDB" w14:textId="4FE1E055" w:rsidR="00C94EE4" w:rsidRPr="006D1940" w:rsidRDefault="00ED1BAD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b/>
                <w:bCs/>
                <w:color w:val="FFFFFF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color w:val="FFFFFF"/>
                <w:lang w:val="fr-FR"/>
              </w:rPr>
              <w:t>Commentaires sur les domaines prioritaires</w:t>
            </w:r>
            <w:r w:rsidR="000839B9" w:rsidRPr="006D1940">
              <w:rPr>
                <w:rFonts w:ascii="Source Sans Pro" w:eastAsia="Times New Roman" w:hAnsi="Source Sans Pro" w:cs="Calibri"/>
                <w:b/>
                <w:bCs/>
                <w:color w:val="FFFFFF"/>
                <w:lang w:val="fr-FR"/>
              </w:rPr>
              <w:t xml:space="preserve"> clés</w:t>
            </w:r>
          </w:p>
        </w:tc>
      </w:tr>
      <w:tr w:rsidR="008C25C4" w:rsidRPr="006D1940" w14:paraId="25E6B3DE" w14:textId="77777777">
        <w:trPr>
          <w:trHeight w:val="1011"/>
        </w:trPr>
        <w:tc>
          <w:tcPr>
            <w:tcW w:w="450" w:type="dxa"/>
            <w:shd w:val="clear" w:color="auto" w:fill="FFFFFF"/>
            <w:vAlign w:val="center"/>
            <w:hideMark/>
          </w:tcPr>
          <w:p w14:paraId="18E155C0" w14:textId="77777777" w:rsidR="00C94EE4" w:rsidRPr="006D1940" w:rsidRDefault="00ED1BAD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Segoe UI"/>
                <w:b/>
                <w:bCs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lang w:val="fr-FR"/>
              </w:rPr>
              <w:t>1</w:t>
            </w:r>
          </w:p>
        </w:tc>
        <w:tc>
          <w:tcPr>
            <w:tcW w:w="4950" w:type="dxa"/>
            <w:shd w:val="clear" w:color="auto" w:fill="auto"/>
            <w:hideMark/>
          </w:tcPr>
          <w:p w14:paraId="17A37773" w14:textId="52918C73" w:rsidR="00C94EE4" w:rsidRPr="006D1940" w:rsidRDefault="00ED1BAD">
            <w:pPr>
              <w:spacing w:after="0" w:line="240" w:lineRule="auto"/>
              <w:ind w:left="32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Acc</w:t>
            </w:r>
            <w:r w:rsidR="0076264B" w:rsidRPr="006D1940">
              <w:rPr>
                <w:rFonts w:ascii="Source Sans Pro" w:eastAsia="Times New Roman" w:hAnsi="Source Sans Pro" w:cs="Calibri"/>
                <w:lang w:val="fr-FR"/>
              </w:rPr>
              <w:t>o</w:t>
            </w:r>
            <w:r w:rsidR="0076264B" w:rsidRPr="006D1940">
              <w:rPr>
                <w:rFonts w:eastAsia="Times New Roman" w:cs="Calibri"/>
                <w:lang w:val="fr-FR"/>
              </w:rPr>
              <w:t xml:space="preserve">rder une </w:t>
            </w:r>
            <w:r w:rsidR="000608FC" w:rsidRPr="006D1940">
              <w:rPr>
                <w:rFonts w:eastAsia="Times New Roman" w:cs="Calibri"/>
                <w:lang w:val="fr-FR"/>
              </w:rPr>
              <w:t xml:space="preserve">plus grande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priorité à la </w:t>
            </w:r>
            <w:r w:rsidR="000608FC" w:rsidRPr="006D1940">
              <w:rPr>
                <w:rFonts w:ascii="Source Sans Pro" w:eastAsia="Times New Roman" w:hAnsi="Source Sans Pro" w:cs="Calibri"/>
                <w:lang w:val="fr-FR"/>
              </w:rPr>
              <w:t>lut</w:t>
            </w:r>
            <w:r w:rsidR="006D1940" w:rsidRPr="006D1940">
              <w:rPr>
                <w:rFonts w:ascii="Source Sans Pro" w:eastAsia="Times New Roman" w:hAnsi="Source Sans Pro" w:cs="Calibri"/>
                <w:lang w:val="fr-FR"/>
              </w:rPr>
              <w:t>t</w:t>
            </w:r>
            <w:r w:rsidR="000608FC" w:rsidRPr="006D1940">
              <w:rPr>
                <w:rFonts w:ascii="Source Sans Pro" w:eastAsia="Times New Roman" w:hAnsi="Source Sans Pro" w:cs="Calibri"/>
                <w:lang w:val="fr-FR"/>
              </w:rPr>
              <w:t>e</w:t>
            </w:r>
            <w:r w:rsidR="000608FC" w:rsidRPr="006D1940">
              <w:rPr>
                <w:rFonts w:eastAsia="Times New Roman" w:cs="Calibri"/>
                <w:lang w:val="fr-FR"/>
              </w:rPr>
              <w:t xml:space="preserve"> contre l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es maladies non transmissibles dans les programmes </w:t>
            </w:r>
            <w:r w:rsidR="0097542C" w:rsidRPr="006D1940">
              <w:rPr>
                <w:rFonts w:ascii="Source Sans Pro" w:eastAsia="Times New Roman" w:hAnsi="Source Sans Pro" w:cs="Calibri"/>
                <w:lang w:val="fr-FR"/>
              </w:rPr>
              <w:t>d</w:t>
            </w:r>
            <w:r w:rsidR="0097542C" w:rsidRPr="006D1940">
              <w:rPr>
                <w:rFonts w:eastAsia="Times New Roman" w:cs="Calibri"/>
                <w:lang w:val="fr-FR"/>
              </w:rPr>
              <w:t xml:space="preserve">’action </w:t>
            </w:r>
            <w:r w:rsidR="00E256BA" w:rsidRPr="006D1940">
              <w:rPr>
                <w:rFonts w:eastAsia="Times New Roman" w:cs="Calibri"/>
                <w:lang w:val="fr-FR"/>
              </w:rPr>
              <w:t xml:space="preserve">aux niveaux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mondiaux, régionaux et nationaux et dans les objectifs de développement convenus au niveau international, grâce à une coopération internationale renforcée et </w:t>
            </w:r>
            <w:r w:rsidR="0097542C" w:rsidRPr="006D1940">
              <w:rPr>
                <w:rFonts w:ascii="Source Sans Pro" w:eastAsia="Times New Roman" w:hAnsi="Source Sans Pro" w:cs="Calibri"/>
                <w:lang w:val="fr-FR"/>
              </w:rPr>
              <w:t>a</w:t>
            </w:r>
            <w:r w:rsidR="0097542C" w:rsidRPr="006D1940">
              <w:rPr>
                <w:rFonts w:eastAsia="Times New Roman" w:cs="Calibri"/>
                <w:lang w:val="fr-FR"/>
              </w:rPr>
              <w:t>u plaidoyer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.  </w:t>
            </w:r>
            <w:r w:rsidR="000839B9" w:rsidRPr="006D1940">
              <w:rPr>
                <w:rFonts w:ascii="Source Sans Pro" w:eastAsia="Times New Roman" w:hAnsi="Source Sans Pro" w:cs="Calibri"/>
                <w:lang w:val="fr-FR"/>
              </w:rPr>
              <w:t xml:space="preserve"> </w:t>
            </w:r>
            <w:r w:rsidR="000839B9" w:rsidRPr="006D1940">
              <w:rPr>
                <w:rFonts w:eastAsia="Times New Roman" w:cs="Calibri"/>
                <w:lang w:val="fr-FR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  <w:hideMark/>
          </w:tcPr>
          <w:p w14:paraId="25E6B3DD" w14:textId="77777777" w:rsidR="008C25C4" w:rsidRPr="006D1940" w:rsidRDefault="008C25C4">
            <w:pPr>
              <w:spacing w:after="0" w:line="240" w:lineRule="auto"/>
              <w:ind w:left="1080"/>
              <w:textAlignment w:val="baseline"/>
              <w:rPr>
                <w:rFonts w:ascii="Source Sans Pro" w:eastAsia="Times New Roman" w:hAnsi="Source Sans Pro" w:cs="Calibri"/>
                <w:lang w:val="fr-FR"/>
              </w:rPr>
            </w:pPr>
          </w:p>
        </w:tc>
      </w:tr>
      <w:tr w:rsidR="008C25C4" w:rsidRPr="006D1940" w14:paraId="25E6B3E2" w14:textId="77777777">
        <w:trPr>
          <w:trHeight w:val="993"/>
        </w:trPr>
        <w:tc>
          <w:tcPr>
            <w:tcW w:w="450" w:type="dxa"/>
            <w:shd w:val="clear" w:color="auto" w:fill="FFFFFF"/>
            <w:vAlign w:val="center"/>
            <w:hideMark/>
          </w:tcPr>
          <w:p w14:paraId="752A424D" w14:textId="77777777" w:rsidR="00C94EE4" w:rsidRPr="006D1940" w:rsidRDefault="00ED1BAD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Segoe UI"/>
                <w:b/>
                <w:bCs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lang w:val="fr-FR"/>
              </w:rPr>
              <w:t>2</w:t>
            </w:r>
          </w:p>
        </w:tc>
        <w:tc>
          <w:tcPr>
            <w:tcW w:w="4950" w:type="dxa"/>
            <w:shd w:val="clear" w:color="auto" w:fill="auto"/>
            <w:hideMark/>
          </w:tcPr>
          <w:p w14:paraId="713E87C5" w14:textId="64AC7814" w:rsidR="00C94EE4" w:rsidRPr="006D1940" w:rsidRDefault="00ED1BAD">
            <w:pPr>
              <w:spacing w:after="0" w:line="240" w:lineRule="auto"/>
              <w:ind w:left="32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Renforcer les capacités, le leadership, la gouvernance, l’action multisectorielle et les partenariats </w:t>
            </w:r>
            <w:r w:rsidR="00E256BA" w:rsidRPr="006D1940">
              <w:rPr>
                <w:rFonts w:ascii="Source Sans Pro" w:eastAsia="Times New Roman" w:hAnsi="Source Sans Pro" w:cs="Calibri"/>
                <w:lang w:val="fr-FR"/>
              </w:rPr>
              <w:t>pour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 accélérer </w:t>
            </w:r>
            <w:r w:rsidR="003E5944" w:rsidRPr="006D1940">
              <w:rPr>
                <w:rFonts w:ascii="Source Sans Pro" w:eastAsia="Times New Roman" w:hAnsi="Source Sans Pro" w:cs="Calibri"/>
                <w:lang w:val="fr-FR"/>
              </w:rPr>
              <w:t>la lutte contre l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es maladies non transmissibles</w:t>
            </w:r>
            <w:r w:rsidR="003E5944" w:rsidRPr="006D1940">
              <w:rPr>
                <w:rFonts w:ascii="Source Sans Pro" w:eastAsia="Times New Roman" w:hAnsi="Source Sans Pro" w:cs="Calibri"/>
                <w:lang w:val="fr-FR"/>
              </w:rPr>
              <w:t xml:space="preserve"> dans les pays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.</w:t>
            </w:r>
            <w:r w:rsidR="0097542C" w:rsidRPr="006D1940">
              <w:rPr>
                <w:rFonts w:ascii="Source Sans Pro" w:eastAsia="Times New Roman" w:hAnsi="Source Sans Pro" w:cs="Calibri"/>
                <w:lang w:val="fr-FR"/>
              </w:rPr>
              <w:t xml:space="preserve"> </w:t>
            </w:r>
            <w:r w:rsidR="0097542C" w:rsidRPr="006D1940">
              <w:rPr>
                <w:rFonts w:eastAsia="Times New Roman" w:cs="Calibri"/>
                <w:lang w:val="fr-FR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  <w:hideMark/>
          </w:tcPr>
          <w:p w14:paraId="25E6B3E1" w14:textId="77777777" w:rsidR="008C25C4" w:rsidRPr="006D1940" w:rsidRDefault="00090193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 </w:t>
            </w:r>
          </w:p>
        </w:tc>
      </w:tr>
      <w:tr w:rsidR="008C25C4" w:rsidRPr="006D1940" w14:paraId="25E6B3E8" w14:textId="77777777">
        <w:trPr>
          <w:trHeight w:val="723"/>
        </w:trPr>
        <w:tc>
          <w:tcPr>
            <w:tcW w:w="450" w:type="dxa"/>
            <w:shd w:val="clear" w:color="auto" w:fill="FFFFFF"/>
            <w:vAlign w:val="center"/>
            <w:hideMark/>
          </w:tcPr>
          <w:p w14:paraId="06EB7DE4" w14:textId="77777777" w:rsidR="00C94EE4" w:rsidRPr="006D1940" w:rsidRDefault="00ED1BAD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Segoe UI"/>
                <w:b/>
                <w:bCs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lang w:val="fr-FR"/>
              </w:rPr>
              <w:t>3</w:t>
            </w:r>
          </w:p>
        </w:tc>
        <w:tc>
          <w:tcPr>
            <w:tcW w:w="4950" w:type="dxa"/>
            <w:shd w:val="clear" w:color="auto" w:fill="auto"/>
            <w:hideMark/>
          </w:tcPr>
          <w:p w14:paraId="134947E8" w14:textId="47877719" w:rsidR="00C94EE4" w:rsidRPr="006D1940" w:rsidRDefault="00ED1BAD">
            <w:pPr>
              <w:spacing w:after="0" w:line="240" w:lineRule="auto"/>
              <w:ind w:left="32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Réduire l</w:t>
            </w:r>
            <w:r w:rsidR="004D314C" w:rsidRPr="006D1940">
              <w:rPr>
                <w:rFonts w:ascii="Source Sans Pro" w:eastAsia="Times New Roman" w:hAnsi="Source Sans Pro" w:cs="Calibri"/>
                <w:lang w:val="fr-FR"/>
              </w:rPr>
              <w:t xml:space="preserve">’exposition aux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facteurs de risque modifiables des maladies non transmissibles et les déterminants sociaux sous-jacents </w:t>
            </w:r>
            <w:r w:rsidR="00263E37" w:rsidRPr="006D1940">
              <w:rPr>
                <w:rFonts w:ascii="Source Sans Pro" w:eastAsia="Times New Roman" w:hAnsi="Source Sans Pro" w:cs="Calibri"/>
                <w:lang w:val="fr-FR"/>
              </w:rPr>
              <w:t xml:space="preserve">en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créa</w:t>
            </w:r>
            <w:r w:rsidR="00263E37" w:rsidRPr="006D1940">
              <w:rPr>
                <w:rFonts w:ascii="Source Sans Pro" w:eastAsia="Times New Roman" w:hAnsi="Source Sans Pro" w:cs="Calibri"/>
                <w:lang w:val="fr-FR"/>
              </w:rPr>
              <w:t>n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t</w:t>
            </w:r>
            <w:r w:rsidR="00263E37" w:rsidRPr="006D1940">
              <w:rPr>
                <w:rFonts w:ascii="Source Sans Pro" w:eastAsia="Times New Roman" w:hAnsi="Source Sans Pro" w:cs="Calibri"/>
                <w:lang w:val="fr-FR"/>
              </w:rPr>
              <w:t xml:space="preserve">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d</w:t>
            </w:r>
            <w:r w:rsidR="00981EA1" w:rsidRPr="006D1940">
              <w:rPr>
                <w:rFonts w:ascii="Source Sans Pro" w:eastAsia="Times New Roman" w:hAnsi="Source Sans Pro" w:cs="Calibri"/>
                <w:lang w:val="fr-FR"/>
              </w:rPr>
              <w:t xml:space="preserve">es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environnements favorables à la santé.  </w:t>
            </w:r>
            <w:r w:rsidR="00263E37" w:rsidRPr="006D1940">
              <w:rPr>
                <w:rFonts w:ascii="Source Sans Pro" w:eastAsia="Times New Roman" w:hAnsi="Source Sans Pro" w:cs="Calibri"/>
                <w:lang w:val="fr-FR"/>
              </w:rPr>
              <w:t xml:space="preserve">  </w:t>
            </w:r>
          </w:p>
        </w:tc>
        <w:tc>
          <w:tcPr>
            <w:tcW w:w="4950" w:type="dxa"/>
            <w:shd w:val="clear" w:color="auto" w:fill="auto"/>
            <w:hideMark/>
          </w:tcPr>
          <w:p w14:paraId="25E6B3E5" w14:textId="77777777" w:rsidR="008C25C4" w:rsidRPr="006D1940" w:rsidRDefault="00090193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 </w:t>
            </w:r>
          </w:p>
          <w:p w14:paraId="25E6B3E6" w14:textId="77777777" w:rsidR="008C25C4" w:rsidRPr="006D1940" w:rsidRDefault="00090193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 </w:t>
            </w:r>
          </w:p>
          <w:p w14:paraId="25E6B3E7" w14:textId="77777777" w:rsidR="008C25C4" w:rsidRPr="006D1940" w:rsidRDefault="00090193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 </w:t>
            </w:r>
          </w:p>
        </w:tc>
      </w:tr>
      <w:tr w:rsidR="008C25C4" w:rsidRPr="006D1940" w14:paraId="25E6B3EC" w14:textId="77777777">
        <w:trPr>
          <w:trHeight w:val="993"/>
        </w:trPr>
        <w:tc>
          <w:tcPr>
            <w:tcW w:w="450" w:type="dxa"/>
            <w:shd w:val="clear" w:color="auto" w:fill="FFFFFF"/>
            <w:vAlign w:val="center"/>
            <w:hideMark/>
          </w:tcPr>
          <w:p w14:paraId="7D584BF8" w14:textId="77777777" w:rsidR="00C94EE4" w:rsidRPr="006D1940" w:rsidRDefault="00ED1BAD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Segoe UI"/>
                <w:b/>
                <w:bCs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lang w:val="fr-FR"/>
              </w:rPr>
              <w:t>4</w:t>
            </w:r>
          </w:p>
        </w:tc>
        <w:tc>
          <w:tcPr>
            <w:tcW w:w="4950" w:type="dxa"/>
            <w:shd w:val="clear" w:color="auto" w:fill="auto"/>
            <w:hideMark/>
          </w:tcPr>
          <w:p w14:paraId="3F676E3E" w14:textId="32F0E023" w:rsidR="00C94EE4" w:rsidRPr="006D1940" w:rsidRDefault="00ED1BAD">
            <w:pPr>
              <w:spacing w:after="0" w:line="240" w:lineRule="auto"/>
              <w:ind w:left="32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Renforcer et orienter les systèmes de santé </w:t>
            </w:r>
            <w:r w:rsidR="00B93D9E" w:rsidRPr="006D1940">
              <w:rPr>
                <w:rFonts w:ascii="Source Sans Pro" w:eastAsia="Times New Roman" w:hAnsi="Source Sans Pro" w:cs="Calibri"/>
                <w:lang w:val="fr-FR"/>
              </w:rPr>
              <w:t xml:space="preserve">afin de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préven</w:t>
            </w:r>
            <w:r w:rsidR="00B93D9E" w:rsidRPr="006D1940">
              <w:rPr>
                <w:rFonts w:ascii="Source Sans Pro" w:eastAsia="Times New Roman" w:hAnsi="Source Sans Pro" w:cs="Calibri"/>
                <w:lang w:val="fr-FR"/>
              </w:rPr>
              <w:t xml:space="preserve">ir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et </w:t>
            </w:r>
            <w:r w:rsidR="00B93D9E" w:rsidRPr="006D1940">
              <w:rPr>
                <w:rFonts w:ascii="Source Sans Pro" w:eastAsia="Times New Roman" w:hAnsi="Source Sans Pro" w:cs="Calibri"/>
                <w:lang w:val="fr-FR"/>
              </w:rPr>
              <w:t>de combattre l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es maladies non transmissibles et les déterminants sociaux sous-jacents </w:t>
            </w:r>
            <w:r w:rsidR="00671CDC" w:rsidRPr="006D1940">
              <w:rPr>
                <w:rFonts w:ascii="Source Sans Pro" w:eastAsia="Times New Roman" w:hAnsi="Source Sans Pro" w:cs="Calibri"/>
                <w:lang w:val="fr-FR"/>
              </w:rPr>
              <w:t xml:space="preserve">au moyen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de soins de santé primaires </w:t>
            </w:r>
            <w:r w:rsidR="00671CDC" w:rsidRPr="006D1940">
              <w:rPr>
                <w:rFonts w:ascii="Source Sans Pro" w:eastAsia="Times New Roman" w:hAnsi="Source Sans Pro" w:cs="Calibri"/>
                <w:lang w:val="fr-FR"/>
              </w:rPr>
              <w:t>centr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és sur l</w:t>
            </w:r>
            <w:r w:rsidR="00671CDC" w:rsidRPr="006D1940">
              <w:rPr>
                <w:rFonts w:ascii="Source Sans Pro" w:eastAsia="Times New Roman" w:hAnsi="Source Sans Pro" w:cs="Calibri"/>
                <w:lang w:val="fr-FR"/>
              </w:rPr>
              <w:t xml:space="preserve">a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personne et </w:t>
            </w:r>
            <w:r w:rsidR="00671CDC" w:rsidRPr="006D1940">
              <w:rPr>
                <w:rFonts w:ascii="Source Sans Pro" w:eastAsia="Times New Roman" w:hAnsi="Source Sans Pro" w:cs="Calibri"/>
                <w:lang w:val="fr-FR"/>
              </w:rPr>
              <w:t>d’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une couverture sanitaire universelle.  </w:t>
            </w:r>
            <w:r w:rsidR="00981EA1" w:rsidRPr="006D1940">
              <w:rPr>
                <w:rFonts w:ascii="Source Sans Pro" w:eastAsia="Times New Roman" w:hAnsi="Source Sans Pro" w:cs="Calibri"/>
                <w:lang w:val="fr-FR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  <w:hideMark/>
          </w:tcPr>
          <w:p w14:paraId="25E6B3EB" w14:textId="77777777" w:rsidR="008C25C4" w:rsidRPr="006D1940" w:rsidRDefault="008C25C4">
            <w:pPr>
              <w:spacing w:after="0" w:line="240" w:lineRule="auto"/>
              <w:textAlignment w:val="baseline"/>
              <w:rPr>
                <w:rFonts w:ascii="Source Sans Pro" w:eastAsia="Times New Roman" w:hAnsi="Source Sans Pro" w:cs="Calibri"/>
                <w:lang w:val="fr-FR"/>
              </w:rPr>
            </w:pPr>
          </w:p>
        </w:tc>
      </w:tr>
      <w:tr w:rsidR="008C25C4" w:rsidRPr="006D1940" w14:paraId="25E6B3F0" w14:textId="77777777">
        <w:trPr>
          <w:trHeight w:val="885"/>
        </w:trPr>
        <w:tc>
          <w:tcPr>
            <w:tcW w:w="450" w:type="dxa"/>
            <w:shd w:val="clear" w:color="auto" w:fill="FFFFFF"/>
            <w:vAlign w:val="center"/>
            <w:hideMark/>
          </w:tcPr>
          <w:p w14:paraId="7DFD11D1" w14:textId="77777777" w:rsidR="00C94EE4" w:rsidRPr="006D1940" w:rsidRDefault="00ED1BAD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Segoe UI"/>
                <w:b/>
                <w:bCs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lang w:val="fr-FR"/>
              </w:rPr>
              <w:t>5</w:t>
            </w:r>
          </w:p>
        </w:tc>
        <w:tc>
          <w:tcPr>
            <w:tcW w:w="4950" w:type="dxa"/>
            <w:shd w:val="clear" w:color="auto" w:fill="auto"/>
            <w:hideMark/>
          </w:tcPr>
          <w:p w14:paraId="70A18233" w14:textId="5DD36153" w:rsidR="00C94EE4" w:rsidRPr="006D1940" w:rsidRDefault="00ED1BAD">
            <w:pPr>
              <w:spacing w:after="0" w:line="240" w:lineRule="auto"/>
              <w:ind w:left="32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Promouvoir et soutenir les capacités nationales </w:t>
            </w:r>
            <w:r w:rsidR="00232C06" w:rsidRPr="006D1940">
              <w:rPr>
                <w:rFonts w:ascii="Source Sans Pro" w:eastAsia="Times New Roman" w:hAnsi="Source Sans Pro" w:cs="Calibri"/>
                <w:lang w:val="fr-FR"/>
              </w:rPr>
              <w:t xml:space="preserve">à mener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de </w:t>
            </w:r>
            <w:r w:rsidR="00232C06" w:rsidRPr="006D1940">
              <w:rPr>
                <w:rFonts w:ascii="Source Sans Pro" w:eastAsia="Times New Roman" w:hAnsi="Source Sans Pro" w:cs="Calibri"/>
                <w:lang w:val="fr-FR"/>
              </w:rPr>
              <w:t xml:space="preserve">travaux de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recherche</w:t>
            </w:r>
            <w:r w:rsidR="00232C06" w:rsidRPr="006D1940">
              <w:rPr>
                <w:rFonts w:ascii="Source Sans Pro" w:eastAsia="Times New Roman" w:hAnsi="Source Sans Pro" w:cs="Calibri"/>
                <w:lang w:val="fr-FR"/>
              </w:rPr>
              <w:t>-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développement de qualité </w:t>
            </w:r>
            <w:r w:rsidR="00232C06" w:rsidRPr="006D1940">
              <w:rPr>
                <w:rFonts w:ascii="Source Sans Pro" w:eastAsia="Times New Roman" w:hAnsi="Source Sans Pro" w:cs="Calibri"/>
                <w:lang w:val="fr-FR"/>
              </w:rPr>
              <w:t>afin de lutter contre l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es maladies non transmissibles.  </w:t>
            </w:r>
            <w:r w:rsidR="00671CDC" w:rsidRPr="006D1940">
              <w:rPr>
                <w:rFonts w:ascii="Source Sans Pro" w:eastAsia="Times New Roman" w:hAnsi="Source Sans Pro" w:cs="Calibri"/>
                <w:lang w:val="fr-FR"/>
              </w:rPr>
              <w:t xml:space="preserve">  </w:t>
            </w:r>
          </w:p>
        </w:tc>
        <w:tc>
          <w:tcPr>
            <w:tcW w:w="4950" w:type="dxa"/>
            <w:shd w:val="clear" w:color="auto" w:fill="auto"/>
            <w:hideMark/>
          </w:tcPr>
          <w:p w14:paraId="25E6B3EF" w14:textId="77777777" w:rsidR="008C25C4" w:rsidRPr="006D1940" w:rsidRDefault="00090193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 </w:t>
            </w:r>
          </w:p>
        </w:tc>
      </w:tr>
      <w:tr w:rsidR="008C25C4" w:rsidRPr="006D1940" w14:paraId="25E6B3F4" w14:textId="77777777">
        <w:trPr>
          <w:trHeight w:val="615"/>
        </w:trPr>
        <w:tc>
          <w:tcPr>
            <w:tcW w:w="450" w:type="dxa"/>
            <w:shd w:val="clear" w:color="auto" w:fill="FFFFFF"/>
            <w:vAlign w:val="center"/>
            <w:hideMark/>
          </w:tcPr>
          <w:p w14:paraId="7F0CC15B" w14:textId="77777777" w:rsidR="00C94EE4" w:rsidRPr="006D1940" w:rsidRDefault="00ED1BAD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Segoe UI"/>
                <w:b/>
                <w:bCs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lang w:val="fr-FR"/>
              </w:rPr>
              <w:lastRenderedPageBreak/>
              <w:t>6</w:t>
            </w:r>
          </w:p>
        </w:tc>
        <w:tc>
          <w:tcPr>
            <w:tcW w:w="4950" w:type="dxa"/>
            <w:shd w:val="clear" w:color="auto" w:fill="auto"/>
            <w:hideMark/>
          </w:tcPr>
          <w:p w14:paraId="2762B061" w14:textId="1149995A" w:rsidR="00C94EE4" w:rsidRPr="006D1940" w:rsidRDefault="00ED1BAD">
            <w:pPr>
              <w:spacing w:after="0" w:line="240" w:lineRule="auto"/>
              <w:ind w:left="32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Su</w:t>
            </w:r>
            <w:r w:rsidR="00932A8F" w:rsidRPr="006D1940">
              <w:rPr>
                <w:rFonts w:ascii="Source Sans Pro" w:eastAsia="Times New Roman" w:hAnsi="Source Sans Pro" w:cs="Calibri"/>
                <w:lang w:val="fr-FR"/>
              </w:rPr>
              <w:t xml:space="preserve">rveiller l’évolution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et les déterminants des maladies non transmissibles et évaluer les progrès </w:t>
            </w:r>
            <w:r w:rsidR="00932A8F" w:rsidRPr="006D1940">
              <w:rPr>
                <w:rFonts w:ascii="Source Sans Pro" w:eastAsia="Times New Roman" w:hAnsi="Source Sans Pro" w:cs="Calibri"/>
                <w:lang w:val="fr-FR"/>
              </w:rPr>
              <w:t xml:space="preserve">de la 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prévention et </w:t>
            </w:r>
            <w:r w:rsidR="00932A8F" w:rsidRPr="006D1940">
              <w:rPr>
                <w:rFonts w:ascii="Source Sans Pro" w:eastAsia="Times New Roman" w:hAnsi="Source Sans Pro" w:cs="Calibri"/>
                <w:lang w:val="fr-FR"/>
              </w:rPr>
              <w:t>de la lutte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. </w:t>
            </w:r>
            <w:r w:rsidR="00232C06" w:rsidRPr="006D1940">
              <w:rPr>
                <w:rFonts w:ascii="Source Sans Pro" w:eastAsia="Times New Roman" w:hAnsi="Source Sans Pro" w:cs="Calibri"/>
                <w:lang w:val="fr-FR"/>
              </w:rPr>
              <w:t xml:space="preserve">  </w:t>
            </w:r>
          </w:p>
        </w:tc>
        <w:tc>
          <w:tcPr>
            <w:tcW w:w="4950" w:type="dxa"/>
            <w:shd w:val="clear" w:color="auto" w:fill="auto"/>
            <w:hideMark/>
          </w:tcPr>
          <w:p w14:paraId="25E6B3F3" w14:textId="77777777" w:rsidR="008C25C4" w:rsidRPr="006D1940" w:rsidRDefault="00090193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lang w:val="fr-FR"/>
              </w:rPr>
              <w:t> </w:t>
            </w:r>
          </w:p>
        </w:tc>
      </w:tr>
      <w:tr w:rsidR="008C25C4" w:rsidRPr="006D1940" w14:paraId="25E6B3F8" w14:textId="77777777">
        <w:trPr>
          <w:trHeight w:val="543"/>
        </w:trPr>
        <w:tc>
          <w:tcPr>
            <w:tcW w:w="450" w:type="dxa"/>
            <w:shd w:val="clear" w:color="auto" w:fill="FFFFFF"/>
            <w:vAlign w:val="center"/>
          </w:tcPr>
          <w:p w14:paraId="10153782" w14:textId="77777777" w:rsidR="00C94EE4" w:rsidRPr="006D1940" w:rsidRDefault="00ED1BAD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Calibri"/>
                <w:b/>
                <w:bCs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b/>
                <w:bCs/>
                <w:lang w:val="fr-FR"/>
              </w:rPr>
              <w:t>*</w:t>
            </w:r>
          </w:p>
        </w:tc>
        <w:tc>
          <w:tcPr>
            <w:tcW w:w="4950" w:type="dxa"/>
            <w:shd w:val="clear" w:color="auto" w:fill="auto"/>
          </w:tcPr>
          <w:p w14:paraId="18FF2788" w14:textId="4F8CD043" w:rsidR="00C94EE4" w:rsidRPr="006D1940" w:rsidRDefault="004C07D9">
            <w:pPr>
              <w:spacing w:after="0" w:line="240" w:lineRule="auto"/>
              <w:ind w:left="32"/>
              <w:textAlignment w:val="baseline"/>
              <w:rPr>
                <w:rFonts w:ascii="Source Sans Pro" w:eastAsia="Times New Roman" w:hAnsi="Source Sans Pro" w:cs="Calibri"/>
                <w:lang w:val="fr-FR"/>
              </w:rPr>
            </w:pPr>
            <w:r w:rsidRPr="006D1940">
              <w:rPr>
                <w:rFonts w:ascii="Source Sans Pro" w:eastAsia="Times New Roman" w:hAnsi="Source Sans Pro" w:cs="Calibri"/>
                <w:i/>
                <w:iCs/>
                <w:lang w:val="fr-FR"/>
              </w:rPr>
              <w:t>Additionnellement </w:t>
            </w:r>
            <w:r w:rsidR="00ED1BAD" w:rsidRPr="006D1940">
              <w:rPr>
                <w:rFonts w:ascii="Source Sans Pro" w:eastAsia="Times New Roman" w:hAnsi="Source Sans Pro" w:cs="Calibri"/>
                <w:lang w:val="fr-FR"/>
              </w:rPr>
              <w:t>: Promouvoir la santé mentale et le bien-être en tant que composante essentielle de la réalisation de la cible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> </w:t>
            </w:r>
            <w:r w:rsidR="00ED1BAD" w:rsidRPr="006D1940">
              <w:rPr>
                <w:rFonts w:ascii="Source Sans Pro" w:eastAsia="Times New Roman" w:hAnsi="Source Sans Pro" w:cs="Calibri"/>
                <w:lang w:val="fr-FR"/>
              </w:rPr>
              <w:t>3.4 des ODD.</w:t>
            </w:r>
            <w:r w:rsidRPr="006D1940">
              <w:rPr>
                <w:rFonts w:ascii="Source Sans Pro" w:eastAsia="Times New Roman" w:hAnsi="Source Sans Pro" w:cs="Calibri"/>
                <w:lang w:val="fr-FR"/>
              </w:rPr>
              <w:t xml:space="preserve">  </w:t>
            </w:r>
          </w:p>
        </w:tc>
        <w:tc>
          <w:tcPr>
            <w:tcW w:w="4950" w:type="dxa"/>
            <w:shd w:val="clear" w:color="auto" w:fill="auto"/>
          </w:tcPr>
          <w:p w14:paraId="25E6B3F7" w14:textId="77777777" w:rsidR="008C25C4" w:rsidRPr="006D1940" w:rsidRDefault="008C25C4">
            <w:pPr>
              <w:spacing w:after="0" w:line="240" w:lineRule="auto"/>
              <w:textAlignment w:val="baseline"/>
              <w:rPr>
                <w:rFonts w:ascii="Source Sans Pro" w:eastAsia="Times New Roman" w:hAnsi="Source Sans Pro" w:cs="Calibri"/>
                <w:lang w:val="fr-FR"/>
              </w:rPr>
            </w:pPr>
          </w:p>
        </w:tc>
      </w:tr>
    </w:tbl>
    <w:p w14:paraId="0F9C53D1" w14:textId="494D9B73" w:rsidR="00C94EE4" w:rsidRPr="006D1940" w:rsidRDefault="00ED1BAD">
      <w:pPr>
        <w:shd w:val="clear" w:color="auto" w:fill="FFFFFF"/>
        <w:spacing w:after="0" w:line="240" w:lineRule="auto"/>
        <w:jc w:val="center"/>
        <w:outlineLvl w:val="0"/>
        <w:rPr>
          <w:rFonts w:ascii="Source Sans Pro" w:hAnsi="Source Sans Pro"/>
          <w:b/>
          <w:bCs/>
          <w:color w:val="C00000"/>
          <w:lang w:val="fr-FR"/>
        </w:rPr>
      </w:pPr>
      <w:r w:rsidRPr="006D1940">
        <w:rPr>
          <w:rFonts w:ascii="Source Sans Pro" w:hAnsi="Source Sans Pro"/>
          <w:lang w:val="fr-FR"/>
        </w:rPr>
        <w:br/>
      </w:r>
      <w:r w:rsidR="006108D5" w:rsidRPr="006D1940">
        <w:rPr>
          <w:rFonts w:ascii="Source Sans Pro" w:hAnsi="Source Sans Pro"/>
          <w:b/>
          <w:bCs/>
          <w:color w:val="C00000"/>
          <w:lang w:val="fr-FR"/>
        </w:rPr>
        <w:t xml:space="preserve">Une fois rempli, veuillez </w:t>
      </w:r>
      <w:r w:rsidRPr="006D1940">
        <w:rPr>
          <w:rFonts w:ascii="Source Sans Pro" w:hAnsi="Source Sans Pro"/>
          <w:b/>
          <w:bCs/>
          <w:color w:val="C00000"/>
          <w:lang w:val="fr-FR"/>
        </w:rPr>
        <w:t xml:space="preserve">envoyer ce formulaire à </w:t>
      </w:r>
      <w:hyperlink r:id="rId5">
        <w:r w:rsidRPr="006D1940">
          <w:rPr>
            <w:rStyle w:val="Lienhypertexte"/>
            <w:rFonts w:ascii="Source Sans Pro" w:hAnsi="Source Sans Pro"/>
            <w:b/>
            <w:bCs/>
            <w:color w:val="C00000"/>
            <w:lang w:val="fr-FR"/>
          </w:rPr>
          <w:t>OnTheRoadTo2025@who.int</w:t>
        </w:r>
      </w:hyperlink>
      <w:r w:rsidRPr="006D1940">
        <w:rPr>
          <w:rFonts w:ascii="Source Sans Pro" w:hAnsi="Source Sans Pro"/>
          <w:b/>
          <w:bCs/>
          <w:color w:val="C00000"/>
          <w:lang w:val="fr-FR"/>
        </w:rPr>
        <w:t xml:space="preserve"> </w:t>
      </w:r>
      <w:r w:rsidR="008C11F0">
        <w:rPr>
          <w:rFonts w:ascii="Source Sans Pro" w:hAnsi="Source Sans Pro"/>
          <w:b/>
          <w:bCs/>
          <w:color w:val="C00000"/>
          <w:lang w:val="fr-FR"/>
        </w:rPr>
        <w:t xml:space="preserve">entre le </w:t>
      </w:r>
      <w:r w:rsidRPr="006D1940">
        <w:rPr>
          <w:rFonts w:ascii="Source Sans Pro" w:hAnsi="Source Sans Pro"/>
          <w:b/>
          <w:bCs/>
          <w:color w:val="C00000"/>
          <w:lang w:val="fr-FR"/>
        </w:rPr>
        <w:t>1</w:t>
      </w:r>
      <w:r w:rsidRPr="006D1940">
        <w:rPr>
          <w:rFonts w:ascii="Source Sans Pro" w:hAnsi="Source Sans Pro"/>
          <w:b/>
          <w:bCs/>
          <w:color w:val="C00000"/>
          <w:vertAlign w:val="superscript"/>
          <w:lang w:val="fr-FR"/>
        </w:rPr>
        <w:t>er</w:t>
      </w:r>
      <w:r w:rsidR="002961D0" w:rsidRPr="006D1940">
        <w:rPr>
          <w:rFonts w:ascii="Source Sans Pro" w:hAnsi="Source Sans Pro"/>
          <w:b/>
          <w:bCs/>
          <w:color w:val="C00000"/>
          <w:lang w:val="fr-FR"/>
        </w:rPr>
        <w:t> </w:t>
      </w:r>
      <w:r w:rsidR="008C11F0">
        <w:rPr>
          <w:rFonts w:ascii="Source Sans Pro" w:hAnsi="Source Sans Pro"/>
          <w:b/>
          <w:bCs/>
          <w:color w:val="C00000"/>
          <w:lang w:val="fr-FR"/>
        </w:rPr>
        <w:t xml:space="preserve">et le </w:t>
      </w:r>
      <w:r w:rsidRPr="006D1940">
        <w:rPr>
          <w:rFonts w:ascii="Source Sans Pro" w:hAnsi="Source Sans Pro"/>
          <w:b/>
          <w:bCs/>
          <w:color w:val="C00000"/>
          <w:lang w:val="fr-FR"/>
        </w:rPr>
        <w:t>26</w:t>
      </w:r>
      <w:r w:rsidR="002961D0" w:rsidRPr="006D1940">
        <w:rPr>
          <w:rFonts w:ascii="Source Sans Pro" w:hAnsi="Source Sans Pro"/>
          <w:b/>
          <w:bCs/>
          <w:color w:val="C00000"/>
          <w:lang w:val="fr-FR"/>
        </w:rPr>
        <w:t> </w:t>
      </w:r>
      <w:r w:rsidRPr="006D1940">
        <w:rPr>
          <w:rFonts w:ascii="Source Sans Pro" w:hAnsi="Source Sans Pro"/>
          <w:b/>
          <w:bCs/>
          <w:color w:val="C00000"/>
          <w:lang w:val="fr-FR"/>
        </w:rPr>
        <w:t>mai</w:t>
      </w:r>
      <w:r w:rsidR="002961D0" w:rsidRPr="006D1940">
        <w:rPr>
          <w:rFonts w:ascii="Source Sans Pro" w:hAnsi="Source Sans Pro"/>
          <w:b/>
          <w:bCs/>
          <w:color w:val="C00000"/>
          <w:lang w:val="fr-FR"/>
        </w:rPr>
        <w:t> </w:t>
      </w:r>
      <w:r w:rsidRPr="006D1940">
        <w:rPr>
          <w:rFonts w:ascii="Source Sans Pro" w:hAnsi="Source Sans Pro"/>
          <w:b/>
          <w:bCs/>
          <w:color w:val="C00000"/>
          <w:lang w:val="fr-FR"/>
        </w:rPr>
        <w:t>2024.</w:t>
      </w:r>
      <w:r w:rsidR="002961D0" w:rsidRPr="006D1940">
        <w:rPr>
          <w:rFonts w:ascii="Source Sans Pro" w:hAnsi="Source Sans Pro"/>
          <w:b/>
          <w:bCs/>
          <w:color w:val="C00000"/>
          <w:lang w:val="fr-FR"/>
        </w:rPr>
        <w:t xml:space="preserve">  </w:t>
      </w:r>
    </w:p>
    <w:sectPr w:rsidR="00C94EE4" w:rsidRPr="006D19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4"/>
    <w:rsid w:val="000608FC"/>
    <w:rsid w:val="000839B9"/>
    <w:rsid w:val="00090193"/>
    <w:rsid w:val="00117532"/>
    <w:rsid w:val="00146832"/>
    <w:rsid w:val="00232C06"/>
    <w:rsid w:val="00263E37"/>
    <w:rsid w:val="00267C19"/>
    <w:rsid w:val="002961D0"/>
    <w:rsid w:val="002C3781"/>
    <w:rsid w:val="002F0CA2"/>
    <w:rsid w:val="00397DB7"/>
    <w:rsid w:val="003E5944"/>
    <w:rsid w:val="00471B74"/>
    <w:rsid w:val="0048205C"/>
    <w:rsid w:val="0048794F"/>
    <w:rsid w:val="004C07D9"/>
    <w:rsid w:val="004D314C"/>
    <w:rsid w:val="004E0C86"/>
    <w:rsid w:val="00520340"/>
    <w:rsid w:val="0056661D"/>
    <w:rsid w:val="006108D5"/>
    <w:rsid w:val="00671CDC"/>
    <w:rsid w:val="006C6ABD"/>
    <w:rsid w:val="006D1940"/>
    <w:rsid w:val="006D52D8"/>
    <w:rsid w:val="0071734B"/>
    <w:rsid w:val="0076264B"/>
    <w:rsid w:val="007C3921"/>
    <w:rsid w:val="007F3330"/>
    <w:rsid w:val="008C11F0"/>
    <w:rsid w:val="008C25C4"/>
    <w:rsid w:val="00932A8F"/>
    <w:rsid w:val="0097542C"/>
    <w:rsid w:val="00981EA1"/>
    <w:rsid w:val="009B6C32"/>
    <w:rsid w:val="009D27AE"/>
    <w:rsid w:val="00A956CB"/>
    <w:rsid w:val="00B058EC"/>
    <w:rsid w:val="00B4350B"/>
    <w:rsid w:val="00B93D9E"/>
    <w:rsid w:val="00BE083C"/>
    <w:rsid w:val="00C323A9"/>
    <w:rsid w:val="00C60D12"/>
    <w:rsid w:val="00C94EE4"/>
    <w:rsid w:val="00CC73F5"/>
    <w:rsid w:val="00D178EF"/>
    <w:rsid w:val="00D810A9"/>
    <w:rsid w:val="00E256BA"/>
    <w:rsid w:val="00E90E38"/>
    <w:rsid w:val="00ED1BAD"/>
    <w:rsid w:val="00F2628E"/>
    <w:rsid w:val="00F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B3D1"/>
  <w15:chartTrackingRefBased/>
  <w15:docId w15:val="{62A67373-5554-43EC-BCAD-7775FC10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customStyle="1" w:styleId="normaltextrun">
    <w:name w:val="normaltextrun"/>
    <w:basedOn w:val="Policepardfaut"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TheRoadTo2025@who.int" TargetMode="External"/><Relationship Id="rId4" Type="http://schemas.openxmlformats.org/officeDocument/2006/relationships/hyperlink" Target="https://www.who.int/publications/i/item/978924150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SPACKMAN, Susan</dc:creator>
  <cp:keywords>, docId:3F0A75E99CD15024308E52BE3CEF1509</cp:keywords>
  <dc:description/>
  <cp:lastModifiedBy>Christine Victorin</cp:lastModifiedBy>
  <cp:revision>46</cp:revision>
  <dcterms:created xsi:type="dcterms:W3CDTF">2024-06-05T21:11:00Z</dcterms:created>
  <dcterms:modified xsi:type="dcterms:W3CDTF">2024-06-06T17:54:00Z</dcterms:modified>
</cp:coreProperties>
</file>