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B5CA6" w14:textId="19D5645B" w:rsidR="007922A0" w:rsidRPr="0097612F" w:rsidRDefault="0097612F">
      <w:pPr>
        <w:pStyle w:val="Titre1"/>
        <w:spacing w:before="0" w:beforeAutospacing="0" w:after="80" w:afterAutospacing="0"/>
        <w:jc w:val="center"/>
        <w:rPr>
          <w:color w:val="00205C"/>
          <w:sz w:val="32"/>
          <w:szCs w:val="32"/>
          <w:lang w:val="fr-FR"/>
        </w:rPr>
      </w:pPr>
      <w:r w:rsidRPr="0097612F">
        <w:rPr>
          <w:rFonts w:ascii="Calibri" w:eastAsia="Calibri" w:hAnsi="Calibri" w:cs="Calibri"/>
          <w:color w:val="00205C"/>
          <w:sz w:val="32"/>
          <w:szCs w:val="32"/>
          <w:lang w:val="fr-FR"/>
        </w:rPr>
        <w:t xml:space="preserve">Dialogue international sur le financement durable </w:t>
      </w:r>
      <w:r w:rsidR="00EB61DB">
        <w:rPr>
          <w:rFonts w:ascii="Calibri" w:eastAsia="Calibri" w:hAnsi="Calibri" w:cs="Calibri"/>
          <w:color w:val="00205C"/>
          <w:sz w:val="32"/>
          <w:szCs w:val="32"/>
          <w:lang w:val="fr-FR"/>
        </w:rPr>
        <w:t>pour l</w:t>
      </w:r>
      <w:r w:rsidRPr="0097612F">
        <w:rPr>
          <w:rFonts w:ascii="Calibri" w:eastAsia="Calibri" w:hAnsi="Calibri" w:cs="Calibri"/>
          <w:color w:val="00205C"/>
          <w:sz w:val="32"/>
          <w:szCs w:val="32"/>
          <w:lang w:val="fr-FR"/>
        </w:rPr>
        <w:t xml:space="preserve">es </w:t>
      </w:r>
      <w:r w:rsidRPr="0097612F">
        <w:rPr>
          <w:rFonts w:ascii="Calibri" w:eastAsia="Calibri" w:hAnsi="Calibri" w:cs="Calibri"/>
          <w:color w:val="00205C"/>
          <w:sz w:val="32"/>
          <w:szCs w:val="32"/>
          <w:lang w:val="fr-FR"/>
        </w:rPr>
        <w:br/>
        <w:t>maladies non transmissibles et la santé mentale</w:t>
      </w:r>
    </w:p>
    <w:p w14:paraId="7AAE1AFA" w14:textId="745546BD" w:rsidR="007922A0" w:rsidRPr="0097612F" w:rsidRDefault="0097612F">
      <w:pPr>
        <w:spacing w:after="0"/>
        <w:jc w:val="center"/>
        <w:rPr>
          <w:b/>
          <w:bCs/>
          <w:color w:val="009ADE"/>
          <w:sz w:val="32"/>
          <w:szCs w:val="32"/>
          <w:lang w:val="fr-FR"/>
        </w:rPr>
      </w:pPr>
      <w:r w:rsidRPr="0097612F">
        <w:rPr>
          <w:rFonts w:ascii="Calibri" w:eastAsia="Calibri" w:hAnsi="Calibri" w:cs="Calibri"/>
          <w:b/>
          <w:bCs/>
          <w:color w:val="009ADE"/>
          <w:sz w:val="32"/>
          <w:szCs w:val="32"/>
          <w:lang w:val="fr-FR"/>
        </w:rPr>
        <w:t xml:space="preserve">Consultation en ligne | </w:t>
      </w:r>
      <w:r w:rsidR="002650C7">
        <w:rPr>
          <w:rFonts w:ascii="Calibri" w:eastAsia="Calibri" w:hAnsi="Calibri" w:cs="Calibri"/>
          <w:b/>
          <w:bCs/>
          <w:color w:val="009ADE"/>
          <w:sz w:val="32"/>
          <w:szCs w:val="32"/>
          <w:lang w:val="fr-FR"/>
        </w:rPr>
        <w:t>Formulaire</w:t>
      </w:r>
      <w:r w:rsidRPr="0097612F">
        <w:rPr>
          <w:rFonts w:ascii="Calibri" w:eastAsia="Calibri" w:hAnsi="Calibri" w:cs="Calibri"/>
          <w:b/>
          <w:bCs/>
          <w:color w:val="009ADE"/>
          <w:sz w:val="32"/>
          <w:szCs w:val="32"/>
          <w:lang w:val="fr-FR"/>
        </w:rPr>
        <w:t xml:space="preserve"> de retour d</w:t>
      </w:r>
      <w:r>
        <w:rPr>
          <w:rFonts w:ascii="Calibri" w:eastAsia="Calibri" w:hAnsi="Calibri" w:cs="Calibri"/>
          <w:b/>
          <w:bCs/>
          <w:color w:val="009ADE"/>
          <w:sz w:val="32"/>
          <w:szCs w:val="32"/>
          <w:lang w:val="fr-FR"/>
        </w:rPr>
        <w:t>’</w:t>
      </w:r>
      <w:r w:rsidRPr="0097612F">
        <w:rPr>
          <w:rFonts w:ascii="Calibri" w:eastAsia="Calibri" w:hAnsi="Calibri" w:cs="Calibri"/>
          <w:b/>
          <w:bCs/>
          <w:color w:val="009ADE"/>
          <w:sz w:val="32"/>
          <w:szCs w:val="32"/>
          <w:lang w:val="fr-FR"/>
        </w:rPr>
        <w:t>information</w:t>
      </w:r>
    </w:p>
    <w:p w14:paraId="508C0647" w14:textId="77777777" w:rsidR="004F08EF" w:rsidRPr="0097612F" w:rsidRDefault="006F184C">
      <w:pPr>
        <w:spacing w:after="0"/>
        <w:jc w:val="center"/>
        <w:rPr>
          <w:lang w:val="fr-FR"/>
        </w:rPr>
      </w:pPr>
      <w:r w:rsidRPr="0097612F">
        <w:rPr>
          <w:rFonts w:ascii="Aptos" w:eastAsia="Aptos" w:hAnsi="Aptos" w:cs="Aptos"/>
          <w:color w:val="4C94D8"/>
          <w:lang w:val="fr-FR"/>
        </w:rPr>
        <w:t xml:space="preserve"> </w:t>
      </w:r>
    </w:p>
    <w:tbl>
      <w:tblPr>
        <w:tblStyle w:val="Grilledutableau"/>
        <w:tblW w:w="10610" w:type="dxa"/>
        <w:tblBorders>
          <w:top w:val="single" w:sz="2" w:space="0" w:color="00205C"/>
          <w:left w:val="single" w:sz="2" w:space="0" w:color="00205C"/>
          <w:bottom w:val="single" w:sz="2" w:space="0" w:color="00205C"/>
          <w:right w:val="single" w:sz="2" w:space="0" w:color="00205C"/>
          <w:insideH w:val="single" w:sz="2" w:space="0" w:color="00205C"/>
          <w:insideV w:val="single" w:sz="2" w:space="0" w:color="00205C"/>
        </w:tblBorders>
        <w:tblLayout w:type="fixed"/>
        <w:tblLook w:val="06A0" w:firstRow="1" w:lastRow="0" w:firstColumn="1" w:lastColumn="0" w:noHBand="1" w:noVBand="1"/>
      </w:tblPr>
      <w:tblGrid>
        <w:gridCol w:w="10610"/>
      </w:tblGrid>
      <w:tr w:rsidR="004F08EF" w:rsidRPr="0097612F" w14:paraId="508C0649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  <w:vAlign w:val="center"/>
          </w:tcPr>
          <w:p w14:paraId="044DDE63" w14:textId="77777777" w:rsidR="007922A0" w:rsidRPr="0097612F" w:rsidRDefault="0097612F">
            <w:pPr>
              <w:spacing w:after="0"/>
              <w:rPr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Organisation 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</w:p>
        </w:tc>
      </w:tr>
      <w:tr w:rsidR="004F08EF" w:rsidRPr="0097612F" w14:paraId="508C0653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3A592F4B" w14:textId="4E35D19D" w:rsidR="007922A0" w:rsidRPr="0097612F" w:rsidRDefault="0097612F">
            <w:pPr>
              <w:spacing w:after="120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Type 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’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organisation (veuillez ajouter un X à côté de votre sélection) 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r w:rsidR="00B01832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66B53FF6" w14:textId="01B754EC" w:rsidR="00FD75B9" w:rsidRPr="003201E6" w:rsidRDefault="0097612F" w:rsidP="00FD75B9">
            <w:pPr>
              <w:spacing w:after="120"/>
              <w:rPr>
                <w:rFonts w:ascii="Calibri" w:eastAsia="Calibri" w:hAnsi="Calibri" w:cs="Calibri"/>
                <w:i/>
                <w:iCs/>
                <w:color w:val="000000" w:themeColor="text1"/>
                <w:lang w:val="en-GB"/>
              </w:rPr>
            </w:pP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États </w:t>
            </w:r>
            <w:r w:rsidR="00B01832">
              <w:rPr>
                <w:rFonts w:ascii="Calibri" w:eastAsia="Calibri" w:hAnsi="Calibri" w:cs="Calibri"/>
                <w:color w:val="000000" w:themeColor="text1"/>
                <w:lang w:val="fr-FR"/>
              </w:rPr>
              <w:t>M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embres</w:t>
            </w:r>
            <w:r w:rsidR="00B01832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  </w:t>
            </w:r>
          </w:p>
          <w:p w14:paraId="3BA365D1" w14:textId="71418FE3" w:rsidR="007922A0" w:rsidRPr="0097612F" w:rsidRDefault="0097612F">
            <w:pPr>
              <w:spacing w:after="120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Agences, programmes et fonds des Nations </w:t>
            </w:r>
            <w:r w:rsidR="00196739">
              <w:rPr>
                <w:rFonts w:ascii="Calibri" w:eastAsia="Calibri" w:hAnsi="Calibri" w:cs="Calibri"/>
                <w:color w:val="000000" w:themeColor="text1"/>
                <w:lang w:val="fr-FR"/>
              </w:rPr>
              <w:t>U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nies et autres organisations multilatérales</w:t>
            </w:r>
            <w:r w:rsidR="00FD75B9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0685D068" w14:textId="7B39F378" w:rsidR="007922A0" w:rsidRPr="0097612F" w:rsidRDefault="0097612F">
            <w:pPr>
              <w:spacing w:after="0"/>
              <w:ind w:left="22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Acteurs non étatiques </w:t>
            </w:r>
            <w:r w:rsidR="006E5EA6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5698D236" w14:textId="793E4B09" w:rsidR="007922A0" w:rsidRPr="0097612F" w:rsidRDefault="0097612F">
            <w:pPr>
              <w:pStyle w:val="Paragraphedeliste"/>
              <w:numPr>
                <w:ilvl w:val="1"/>
                <w:numId w:val="1"/>
              </w:numPr>
              <w:spacing w:after="0"/>
              <w:ind w:left="589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organisations non gouvernementales, y compris celles qui représentent l</w:t>
            </w:r>
            <w:r>
              <w:rPr>
                <w:rFonts w:ascii="Calibri" w:eastAsia="Calibri" w:hAnsi="Calibri" w:cs="Calibri"/>
                <w:color w:val="000000" w:themeColor="text1"/>
                <w:lang w:val="fr-FR"/>
              </w:rPr>
              <w:t>’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expérience vécue de </w:t>
            </w:r>
            <w:r w:rsidR="00FA00FB">
              <w:rPr>
                <w:rFonts w:ascii="Calibri" w:eastAsia="Calibri" w:hAnsi="Calibri" w:cs="Calibri"/>
                <w:color w:val="000000" w:themeColor="text1"/>
                <w:lang w:val="fr-FR"/>
              </w:rPr>
              <w:t>problèmes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de santé</w:t>
            </w:r>
            <w:r w:rsidR="00F168C8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 </w:t>
            </w:r>
          </w:p>
          <w:p w14:paraId="3FC556CE" w14:textId="65D18FA1" w:rsidR="007922A0" w:rsidRPr="0097612F" w:rsidRDefault="0097612F">
            <w:pPr>
              <w:pStyle w:val="Paragraphedeliste"/>
              <w:numPr>
                <w:ilvl w:val="1"/>
                <w:numId w:val="1"/>
              </w:numPr>
              <w:spacing w:after="0"/>
              <w:ind w:left="589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fondations philanthropiques</w:t>
            </w:r>
            <w:r w:rsidR="00280FDA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109FF9FA" w14:textId="337FFAF7" w:rsidR="007922A0" w:rsidRPr="0097612F" w:rsidRDefault="0097612F">
            <w:pPr>
              <w:pStyle w:val="Paragraphedeliste"/>
              <w:numPr>
                <w:ilvl w:val="1"/>
                <w:numId w:val="1"/>
              </w:numPr>
              <w:spacing w:after="0"/>
              <w:ind w:left="589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institutions </w:t>
            </w:r>
            <w:r w:rsidR="00DB7064">
              <w:rPr>
                <w:rFonts w:ascii="Calibri" w:eastAsia="Calibri" w:hAnsi="Calibri" w:cs="Calibri"/>
                <w:color w:val="000000" w:themeColor="text1"/>
                <w:lang w:val="fr-FR"/>
              </w:rPr>
              <w:t>universitair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es </w:t>
            </w:r>
            <w:r w:rsidR="00F605E9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</w:p>
          <w:p w14:paraId="644596D4" w14:textId="4FCBA9A6" w:rsidR="007922A0" w:rsidRPr="0097612F" w:rsidRDefault="0097612F">
            <w:pPr>
              <w:pStyle w:val="Paragraphedeliste"/>
              <w:numPr>
                <w:ilvl w:val="1"/>
                <w:numId w:val="1"/>
              </w:numPr>
              <w:spacing w:after="0"/>
              <w:ind w:left="589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autre (préciser)</w:t>
            </w:r>
            <w:r w:rsidR="00DB7064">
              <w:rPr>
                <w:rFonts w:ascii="Calibri" w:eastAsia="Calibri" w:hAnsi="Calibri" w:cs="Calibri"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r w:rsidR="00DB7064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508C0652" w14:textId="77777777" w:rsidR="004F08EF" w:rsidRPr="0097612F" w:rsidRDefault="004F08EF">
            <w:pPr>
              <w:spacing w:after="0"/>
              <w:ind w:left="1080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</w:tc>
      </w:tr>
      <w:tr w:rsidR="004F08EF" w:rsidRPr="0097612F" w14:paraId="508C0655" w14:textId="77777777">
        <w:trPr>
          <w:trHeight w:val="360"/>
        </w:trPr>
        <w:tc>
          <w:tcPr>
            <w:tcW w:w="106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826E5" w14:textId="53382FED" w:rsidR="007922A0" w:rsidRPr="0097612F" w:rsidRDefault="0097612F">
            <w:pPr>
              <w:spacing w:after="0"/>
              <w:rPr>
                <w:b/>
                <w:bCs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Veuillez </w:t>
            </w:r>
            <w:r w:rsidR="005E1D2A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agrandir les </w:t>
            </w:r>
            <w:r w:rsidR="000353B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cases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r w:rsidR="005E1D2A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comme 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nécessaire pour fournir </w:t>
            </w:r>
            <w:r w:rsidR="000353B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votre 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retour 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’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information</w:t>
            </w:r>
            <w:r w:rsidR="000353B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r w:rsidR="00884EA4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</w:p>
        </w:tc>
      </w:tr>
      <w:tr w:rsidR="004F08EF" w:rsidRPr="0097612F" w14:paraId="508C065C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1FB8FDE7" w14:textId="2D938325" w:rsidR="007922A0" w:rsidRPr="0097612F" w:rsidRDefault="0097612F">
            <w:pPr>
              <w:spacing w:after="0"/>
              <w:jc w:val="both"/>
              <w:rPr>
                <w:b/>
                <w:bCs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Projet de synthèse des documents techniques de référence</w:t>
            </w:r>
            <w:r w:rsidR="000353B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 </w:t>
            </w:r>
          </w:p>
          <w:p w14:paraId="508C0657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58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59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5A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5B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63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16F1512D" w14:textId="0F1AF970" w:rsidR="007922A0" w:rsidRPr="0097612F" w:rsidRDefault="0097612F">
            <w:pPr>
              <w:spacing w:after="0"/>
              <w:jc w:val="both"/>
              <w:rPr>
                <w:b/>
                <w:bCs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Document sur les projets de messages émergents qui </w:t>
            </w:r>
            <w:r w:rsidR="00FA7146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éclair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eront le document final du dialogue international sur le financement</w:t>
            </w:r>
            <w:r w:rsidR="001D010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 </w:t>
            </w:r>
            <w:r w:rsidR="00FA7146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</w:p>
          <w:p w14:paraId="508C065E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5F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60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61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62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6A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42C3DF0C" w14:textId="428E7734" w:rsidR="007922A0" w:rsidRPr="0097612F" w:rsidRDefault="0097612F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1. Dépenses de santé pour les maladies non transmissibles et la santé mentale</w:t>
            </w:r>
            <w:r w:rsidR="00C712C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: Que</w:t>
            </w:r>
            <w:r w:rsidR="00C712C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ls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r w:rsidR="00C712C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enseignements pouvons-nous tirer d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es comptes nationaux de santé</w:t>
            </w:r>
            <w:r w:rsidR="00303404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?</w:t>
            </w:r>
            <w:r w:rsidR="00303404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508C0665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66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67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68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69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71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6F50B5EF" w14:textId="1E0E1284" w:rsidR="007922A0" w:rsidRPr="0097612F" w:rsidRDefault="0097612F">
            <w:pPr>
              <w:spacing w:after="0"/>
              <w:jc w:val="both"/>
              <w:rPr>
                <w:b/>
                <w:bCs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2. Financement externe </w:t>
            </w:r>
            <w:r w:rsidR="00222D6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pour l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es maladies non transmissibles et la santé mentale</w:t>
            </w:r>
            <w:r w:rsidR="00222D6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Quel est le rôle de 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’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aide au développement </w:t>
            </w:r>
            <w:r w:rsidR="007E38E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en faveur de 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la santé</w:t>
            </w:r>
            <w:r w:rsidR="00D565D2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?</w:t>
            </w:r>
            <w:r w:rsidR="00D565D2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  </w:t>
            </w:r>
            <w:r w:rsidR="00222D6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</w:p>
          <w:p w14:paraId="508C066C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6D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6E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6F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70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78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06608538" w14:textId="1CE92221" w:rsidR="007922A0" w:rsidRPr="0097612F" w:rsidRDefault="0097612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3. Financement </w:t>
            </w:r>
            <w:r w:rsidR="007A094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intérieur pour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r w:rsidR="007A094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l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es MNT et la santé mentale</w:t>
            </w:r>
            <w:r w:rsidR="007A094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: 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Quel est le rôle des taxes </w:t>
            </w:r>
            <w:r w:rsidR="007A094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sanitaires </w:t>
            </w: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et autres mesures </w:t>
            </w:r>
            <w:r w:rsidR="007A094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budgétaires 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?</w:t>
            </w:r>
            <w:r w:rsidR="00222D6B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508C0673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74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75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76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77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7F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3FE35E54" w14:textId="3C2BBBD3" w:rsidR="007922A0" w:rsidRPr="0097612F" w:rsidRDefault="0097612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lastRenderedPageBreak/>
              <w:t xml:space="preserve">4. </w:t>
            </w:r>
            <w:r w:rsidR="00C865FA" w:rsidRPr="00C865FA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Financement intérieur pour les maladies non transmissibles et la santé mentale : priorités, achats et paiements aux prestataires  </w:t>
            </w:r>
          </w:p>
          <w:p w14:paraId="508C067A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</w:pPr>
          </w:p>
          <w:p w14:paraId="508C067B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7C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7D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lang w:val="fr-FR"/>
              </w:rPr>
            </w:pPr>
          </w:p>
          <w:p w14:paraId="508C067E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86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10A6A412" w14:textId="2A8E70B8" w:rsidR="007922A0" w:rsidRPr="0097612F" w:rsidRDefault="0097612F">
            <w:pPr>
              <w:spacing w:after="0"/>
              <w:jc w:val="both"/>
              <w:rPr>
                <w:b/>
                <w:bCs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5. </w:t>
            </w:r>
            <w:r w:rsidR="000E38B8" w:rsidRPr="000E38B8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Protection financière pour les maladies non transmissibles et la santé mentale : Pourquoi et comment ?  </w:t>
            </w:r>
            <w:r w:rsidR="000E38B8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</w:p>
          <w:p w14:paraId="508C0681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82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83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84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85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8D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63F0FB10" w14:textId="197860CC" w:rsidR="007922A0" w:rsidRPr="0097612F" w:rsidRDefault="0097612F">
            <w:pPr>
              <w:spacing w:after="0"/>
              <w:jc w:val="both"/>
              <w:rPr>
                <w:b/>
                <w:bCs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6. </w:t>
            </w:r>
            <w:r w:rsidR="002E753D" w:rsidRPr="002E753D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Ressources humaines pour la santé : Comment accroître les </w:t>
            </w:r>
            <w:r w:rsidR="00CD0869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apports</w:t>
            </w:r>
            <w:r w:rsidR="002E753D" w:rsidRPr="002E753D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de </w:t>
            </w:r>
            <w:r w:rsidR="00CD0869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personnel </w:t>
            </w:r>
            <w:r w:rsidR="002E753D" w:rsidRPr="002E753D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pour faire face aux maladies non transmissibles et aux troubles de la santé mentale ?  </w:t>
            </w:r>
            <w:r w:rsidR="002E753D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 </w:t>
            </w:r>
          </w:p>
          <w:p w14:paraId="508C0688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89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8A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8B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8C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94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2EDC7B51" w14:textId="6C7225BB" w:rsidR="007922A0" w:rsidRPr="0097612F" w:rsidRDefault="0097612F">
            <w:pPr>
              <w:spacing w:after="0"/>
              <w:jc w:val="both"/>
              <w:rPr>
                <w:b/>
                <w:bCs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7. </w:t>
            </w:r>
            <w:r w:rsidR="008C0379" w:rsidRPr="008C0379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Galvaniser l’investissement, l’action et la reddition de comptes dans les domaines des MNT et de la santé mentale : le rôle de la société civile</w:t>
            </w:r>
            <w:r w:rsidR="008C0379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  </w:t>
            </w:r>
          </w:p>
          <w:p w14:paraId="508C068F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90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91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92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93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  <w:tr w:rsidR="004F08EF" w:rsidRPr="0097612F" w14:paraId="508C0696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  <w:vAlign w:val="center"/>
          </w:tcPr>
          <w:p w14:paraId="5B73987B" w14:textId="721E679F" w:rsidR="007922A0" w:rsidRPr="0097612F" w:rsidRDefault="0097612F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Documents additionnels</w:t>
            </w:r>
            <w:r w:rsidR="00535DE9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    </w:t>
            </w:r>
          </w:p>
        </w:tc>
      </w:tr>
      <w:tr w:rsidR="004F08EF" w:rsidRPr="0097612F" w14:paraId="508C069D" w14:textId="77777777">
        <w:trPr>
          <w:trHeight w:val="459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7CADA083" w14:textId="13406A54" w:rsidR="007922A0" w:rsidRPr="0097612F" w:rsidRDefault="00E84C18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</w:pPr>
            <w:r w:rsidRPr="00E84C18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Initiatives d’investissements dans le domaine des maladies non transmissibles, de la lutte anti-tabac et de la santé mentale 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 </w:t>
            </w:r>
          </w:p>
          <w:p w14:paraId="508C0698" w14:textId="69E80DDB" w:rsidR="004F08EF" w:rsidRPr="0097612F" w:rsidRDefault="00E84C18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</w:t>
            </w:r>
          </w:p>
          <w:p w14:paraId="508C0699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9A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9B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9C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</w:tc>
      </w:tr>
      <w:tr w:rsidR="004F08EF" w:rsidRPr="0097612F" w14:paraId="508C06A4" w14:textId="77777777">
        <w:trPr>
          <w:trHeight w:val="1673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7814806A" w14:textId="293BE565" w:rsidR="007231B2" w:rsidRPr="003201E6" w:rsidRDefault="00B20D65" w:rsidP="007231B2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GB"/>
              </w:rPr>
            </w:pPr>
            <w:r w:rsidRPr="00B20D65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Financement de la santé humanitaire pour les maladies non transmissibles  </w:t>
            </w:r>
          </w:p>
          <w:p w14:paraId="2BF3CF22" w14:textId="458F4C62" w:rsidR="007922A0" w:rsidRPr="0097612F" w:rsidRDefault="007922A0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</w:pPr>
          </w:p>
          <w:p w14:paraId="508C069F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0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1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2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3" w14:textId="77777777" w:rsidR="004F08EF" w:rsidRPr="0097612F" w:rsidRDefault="004F08EF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</w:tc>
      </w:tr>
      <w:tr w:rsidR="004F08EF" w:rsidRPr="0097612F" w14:paraId="508C06AB" w14:textId="77777777">
        <w:trPr>
          <w:trHeight w:val="457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2EA87D01" w14:textId="03677758" w:rsidR="004722BC" w:rsidRPr="003201E6" w:rsidRDefault="0097612F" w:rsidP="004722BC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en-GB"/>
              </w:rPr>
            </w:pPr>
            <w:r w:rsidRPr="0097612F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Commentaires généraux concernant plusieurs documents</w:t>
            </w:r>
            <w:r w:rsidR="000441B0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 </w:t>
            </w:r>
            <w:r w:rsidRPr="0097612F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r w:rsidR="000441B0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  </w:t>
            </w:r>
          </w:p>
          <w:p w14:paraId="508C06A6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7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8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9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A" w14:textId="77777777" w:rsidR="004F08EF" w:rsidRPr="0097612F" w:rsidRDefault="004F08EF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</w:tc>
      </w:tr>
      <w:tr w:rsidR="004F08EF" w:rsidRPr="0097612F" w14:paraId="508C06B2" w14:textId="77777777">
        <w:trPr>
          <w:trHeight w:val="360"/>
        </w:trPr>
        <w:tc>
          <w:tcPr>
            <w:tcW w:w="10610" w:type="dxa"/>
            <w:tcMar>
              <w:left w:w="108" w:type="dxa"/>
              <w:right w:w="108" w:type="dxa"/>
            </w:tcMar>
          </w:tcPr>
          <w:p w14:paraId="2A6F56C5" w14:textId="335A26B0" w:rsidR="007D5151" w:rsidRPr="003201E6" w:rsidRDefault="0097612F" w:rsidP="007D5151">
            <w:pPr>
              <w:pStyle w:val="Commentaire"/>
              <w:spacing w:after="0"/>
              <w:rPr>
                <w:i/>
                <w:iCs/>
                <w:sz w:val="22"/>
                <w:szCs w:val="22"/>
                <w:lang w:val="en-GB"/>
              </w:rPr>
            </w:pPr>
            <w:r w:rsidRPr="0097612F">
              <w:rPr>
                <w:b/>
                <w:bCs/>
                <w:sz w:val="22"/>
                <w:szCs w:val="22"/>
                <w:lang w:val="fr-FR"/>
              </w:rPr>
              <w:t xml:space="preserve">Enfin, votre organisation a-t-elle des suggestions </w:t>
            </w:r>
            <w:r w:rsidR="007D5151">
              <w:rPr>
                <w:b/>
                <w:bCs/>
                <w:sz w:val="22"/>
                <w:szCs w:val="22"/>
                <w:lang w:val="fr-FR"/>
              </w:rPr>
              <w:t>à formuler sur de nouveaux engagements d</w:t>
            </w:r>
            <w:r w:rsidRPr="0097612F">
              <w:rPr>
                <w:b/>
                <w:bCs/>
                <w:sz w:val="22"/>
                <w:szCs w:val="22"/>
                <w:lang w:val="fr-FR"/>
              </w:rPr>
              <w:t xml:space="preserve">es </w:t>
            </w:r>
            <w:r w:rsidR="007D5151">
              <w:rPr>
                <w:b/>
                <w:bCs/>
                <w:sz w:val="22"/>
                <w:szCs w:val="22"/>
                <w:lang w:val="fr-FR"/>
              </w:rPr>
              <w:t>C</w:t>
            </w:r>
            <w:r w:rsidRPr="0097612F">
              <w:rPr>
                <w:b/>
                <w:bCs/>
                <w:sz w:val="22"/>
                <w:szCs w:val="22"/>
                <w:lang w:val="fr-FR"/>
              </w:rPr>
              <w:t xml:space="preserve">hefs de gouvernement concernant le financement durable </w:t>
            </w:r>
            <w:r w:rsidR="00547C2E">
              <w:rPr>
                <w:b/>
                <w:bCs/>
                <w:sz w:val="22"/>
                <w:szCs w:val="22"/>
                <w:lang w:val="fr-FR"/>
              </w:rPr>
              <w:t>pour l</w:t>
            </w:r>
            <w:r w:rsidRPr="0097612F">
              <w:rPr>
                <w:b/>
                <w:bCs/>
                <w:sz w:val="22"/>
                <w:szCs w:val="22"/>
                <w:lang w:val="fr-FR"/>
              </w:rPr>
              <w:t>es maladies non transmissibles et la santé mentale</w:t>
            </w:r>
            <w:r w:rsidR="00547C2E">
              <w:rPr>
                <w:b/>
                <w:bCs/>
                <w:sz w:val="22"/>
                <w:szCs w:val="22"/>
                <w:lang w:val="fr-FR"/>
              </w:rPr>
              <w:t> </w:t>
            </w:r>
            <w:r w:rsidRPr="0097612F">
              <w:rPr>
                <w:sz w:val="22"/>
                <w:szCs w:val="22"/>
                <w:lang w:val="fr-FR"/>
              </w:rPr>
              <w:t>?</w:t>
            </w:r>
            <w:r w:rsidR="004722BC">
              <w:rPr>
                <w:sz w:val="22"/>
                <w:szCs w:val="22"/>
                <w:lang w:val="fr-FR"/>
              </w:rPr>
              <w:t xml:space="preserve">  </w:t>
            </w:r>
          </w:p>
          <w:p w14:paraId="08B814AC" w14:textId="0C608B34" w:rsidR="007922A0" w:rsidRPr="0097612F" w:rsidRDefault="007922A0">
            <w:pPr>
              <w:pStyle w:val="Commentaire"/>
              <w:spacing w:after="0"/>
              <w:rPr>
                <w:sz w:val="22"/>
                <w:szCs w:val="22"/>
                <w:lang w:val="fr-FR"/>
              </w:rPr>
            </w:pPr>
          </w:p>
          <w:p w14:paraId="508C06AD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E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AF" w14:textId="77777777" w:rsidR="004F08EF" w:rsidRPr="0097612F" w:rsidRDefault="004F08EF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508C06B0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  <w:p w14:paraId="508C06B1" w14:textId="77777777" w:rsidR="004F08EF" w:rsidRPr="0097612F" w:rsidRDefault="004F08EF">
            <w:pPr>
              <w:spacing w:after="0"/>
              <w:jc w:val="both"/>
              <w:rPr>
                <w:lang w:val="fr-FR"/>
              </w:rPr>
            </w:pPr>
          </w:p>
        </w:tc>
      </w:tr>
    </w:tbl>
    <w:p w14:paraId="508C06B3" w14:textId="77777777" w:rsidR="004F08EF" w:rsidRPr="0097612F" w:rsidRDefault="004F08EF">
      <w:pPr>
        <w:rPr>
          <w:lang w:val="fr-FR"/>
        </w:rPr>
      </w:pPr>
    </w:p>
    <w:p w14:paraId="18FDCA8D" w14:textId="30B0D9AF" w:rsidR="007922A0" w:rsidRPr="0097612F" w:rsidRDefault="002B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Une fois rempli, v</w:t>
      </w:r>
      <w:r w:rsidR="0097612F" w:rsidRPr="0097612F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 xml:space="preserve">euillez envoyer ce formulaire à </w:t>
      </w:r>
      <w:hyperlink r:id="rId5" w:tgtFrame="_blank" w:history="1">
        <w:r w:rsidR="0097612F" w:rsidRPr="0097612F">
          <w:rPr>
            <w:rFonts w:ascii="Calibri" w:eastAsia="Times New Roman" w:hAnsi="Calibri" w:cs="Calibri"/>
            <w:b/>
            <w:bCs/>
            <w:color w:val="C00000"/>
            <w:u w:val="single"/>
            <w:shd w:val="clear" w:color="auto" w:fill="FFFFFF"/>
            <w:lang w:val="fr-FR" w:eastAsia="en-GB"/>
          </w:rPr>
          <w:t>OnTheRoadTo2025@who.int</w:t>
        </w:r>
      </w:hyperlink>
      <w:r w:rsidR="0097612F" w:rsidRPr="0097612F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 xml:space="preserve"> </w:t>
      </w:r>
      <w:r w:rsidR="00D46250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 xml:space="preserve">entre le </w:t>
      </w:r>
      <w:r w:rsidR="0097612F" w:rsidRPr="0097612F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1</w:t>
      </w:r>
      <w:r w:rsidR="0097612F" w:rsidRPr="002B6284">
        <w:rPr>
          <w:rFonts w:ascii="Calibri" w:eastAsia="Times New Roman" w:hAnsi="Calibri" w:cs="Calibri"/>
          <w:b/>
          <w:bCs/>
          <w:color w:val="C00000"/>
          <w:shd w:val="clear" w:color="auto" w:fill="FFFFFF"/>
          <w:vertAlign w:val="superscript"/>
          <w:lang w:val="fr-FR" w:eastAsia="en-GB"/>
        </w:rPr>
        <w:t>er</w:t>
      </w:r>
      <w:r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 </w:t>
      </w:r>
      <w:r w:rsidR="00D46250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 xml:space="preserve">et le </w:t>
      </w:r>
      <w:r w:rsidR="0097612F" w:rsidRPr="0097612F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26</w:t>
      </w:r>
      <w:r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 </w:t>
      </w:r>
      <w:r w:rsidR="0097612F" w:rsidRPr="0097612F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mai</w:t>
      </w:r>
      <w:r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 </w:t>
      </w:r>
      <w:r w:rsidR="0097612F" w:rsidRPr="0097612F">
        <w:rPr>
          <w:rFonts w:ascii="Calibri" w:eastAsia="Times New Roman" w:hAnsi="Calibri" w:cs="Calibri"/>
          <w:b/>
          <w:bCs/>
          <w:color w:val="C00000"/>
          <w:shd w:val="clear" w:color="auto" w:fill="FFFFFF"/>
          <w:lang w:val="fr-FR" w:eastAsia="en-GB"/>
        </w:rPr>
        <w:t>2024</w:t>
      </w:r>
      <w:r w:rsidR="0097612F" w:rsidRPr="0097612F">
        <w:rPr>
          <w:rFonts w:ascii="Calibri" w:eastAsia="Times New Roman" w:hAnsi="Calibri" w:cs="Calibri"/>
          <w:color w:val="C00000"/>
          <w:shd w:val="clear" w:color="auto" w:fill="FFFFFF"/>
          <w:lang w:val="fr-FR" w:eastAsia="en-GB"/>
        </w:rPr>
        <w:t>.</w:t>
      </w:r>
      <w:r w:rsidR="00547C2E">
        <w:rPr>
          <w:rFonts w:ascii="Calibri" w:eastAsia="Times New Roman" w:hAnsi="Calibri" w:cs="Calibri"/>
          <w:color w:val="C00000"/>
          <w:shd w:val="clear" w:color="auto" w:fill="FFFFFF"/>
          <w:lang w:val="fr-FR" w:eastAsia="en-GB"/>
        </w:rPr>
        <w:t xml:space="preserve">  </w:t>
      </w:r>
    </w:p>
    <w:sectPr w:rsidR="007922A0" w:rsidRPr="0097612F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095E"/>
    <w:multiLevelType w:val="hybridMultilevel"/>
    <w:tmpl w:val="0F42D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B54"/>
    <w:multiLevelType w:val="multilevel"/>
    <w:tmpl w:val="76C4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83DF9"/>
    <w:multiLevelType w:val="hybridMultilevel"/>
    <w:tmpl w:val="C64CC426"/>
    <w:lvl w:ilvl="0" w:tplc="A2E6B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87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E4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AC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00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C7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88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446"/>
    <w:multiLevelType w:val="multilevel"/>
    <w:tmpl w:val="39C6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018670">
    <w:abstractNumId w:val="2"/>
  </w:num>
  <w:num w:numId="2" w16cid:durableId="2077047170">
    <w:abstractNumId w:val="3"/>
  </w:num>
  <w:num w:numId="3" w16cid:durableId="1774394408">
    <w:abstractNumId w:val="1"/>
  </w:num>
  <w:num w:numId="4" w16cid:durableId="177702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EF"/>
    <w:rsid w:val="000353B1"/>
    <w:rsid w:val="000441B0"/>
    <w:rsid w:val="000762E3"/>
    <w:rsid w:val="000E38B8"/>
    <w:rsid w:val="00196739"/>
    <w:rsid w:val="001D0101"/>
    <w:rsid w:val="00222D6B"/>
    <w:rsid w:val="002650C7"/>
    <w:rsid w:val="00280FDA"/>
    <w:rsid w:val="002B6284"/>
    <w:rsid w:val="002C3781"/>
    <w:rsid w:val="002E753D"/>
    <w:rsid w:val="00303404"/>
    <w:rsid w:val="00310703"/>
    <w:rsid w:val="00383299"/>
    <w:rsid w:val="003A55D6"/>
    <w:rsid w:val="0042769E"/>
    <w:rsid w:val="004722BC"/>
    <w:rsid w:val="0047438A"/>
    <w:rsid w:val="004F08EF"/>
    <w:rsid w:val="004F310C"/>
    <w:rsid w:val="00535DE9"/>
    <w:rsid w:val="00547C2E"/>
    <w:rsid w:val="005E1D2A"/>
    <w:rsid w:val="00627D7B"/>
    <w:rsid w:val="006C43B8"/>
    <w:rsid w:val="006E5EA6"/>
    <w:rsid w:val="006F184C"/>
    <w:rsid w:val="007231B2"/>
    <w:rsid w:val="007922A0"/>
    <w:rsid w:val="007A094B"/>
    <w:rsid w:val="007D5151"/>
    <w:rsid w:val="007E38E1"/>
    <w:rsid w:val="008755AC"/>
    <w:rsid w:val="00884EA4"/>
    <w:rsid w:val="008C0379"/>
    <w:rsid w:val="0097612F"/>
    <w:rsid w:val="009A7653"/>
    <w:rsid w:val="00A956CB"/>
    <w:rsid w:val="00B01832"/>
    <w:rsid w:val="00B058EC"/>
    <w:rsid w:val="00B20D65"/>
    <w:rsid w:val="00B91B11"/>
    <w:rsid w:val="00C712C7"/>
    <w:rsid w:val="00C865FA"/>
    <w:rsid w:val="00CD0869"/>
    <w:rsid w:val="00D46250"/>
    <w:rsid w:val="00D565D2"/>
    <w:rsid w:val="00DB7064"/>
    <w:rsid w:val="00DC30B1"/>
    <w:rsid w:val="00DD15AF"/>
    <w:rsid w:val="00E84C18"/>
    <w:rsid w:val="00E94775"/>
    <w:rsid w:val="00EB61DB"/>
    <w:rsid w:val="00F168C8"/>
    <w:rsid w:val="00F605E9"/>
    <w:rsid w:val="00F6572D"/>
    <w:rsid w:val="00FA00FB"/>
    <w:rsid w:val="00FA6B85"/>
    <w:rsid w:val="00FA7146"/>
    <w:rsid w:val="00FD2EC5"/>
    <w:rsid w:val="00F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0645"/>
  <w15:chartTrackingRefBased/>
  <w15:docId w15:val="{845F90BA-395D-A244-B35F-E95D2058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Grilledutableau">
    <w:name w:val="Table Grid"/>
    <w:basedOn w:val="TableauNormal"/>
    <w:uiPriority w:val="3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  <w:lang w:val="en-US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TheRoadTo2025@who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bagaria</dc:creator>
  <cp:keywords>, docId:E9E1E342D55D645EE5F5367133156619</cp:keywords>
  <dc:description/>
  <cp:lastModifiedBy>Christine Victorin</cp:lastModifiedBy>
  <cp:revision>55</cp:revision>
  <dcterms:created xsi:type="dcterms:W3CDTF">2024-06-05T21:13:00Z</dcterms:created>
  <dcterms:modified xsi:type="dcterms:W3CDTF">2024-06-06T17:55:00Z</dcterms:modified>
</cp:coreProperties>
</file>