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E6040" w14:textId="77777777" w:rsidR="005B1925" w:rsidRPr="00FA327C" w:rsidRDefault="00824641">
      <w:pPr>
        <w:pStyle w:val="Ttulo1"/>
        <w:spacing w:before="0" w:beforeAutospacing="0" w:after="80" w:afterAutospacing="0"/>
        <w:jc w:val="center"/>
        <w:rPr>
          <w:rFonts w:ascii="Calibri" w:eastAsia="Calibri" w:hAnsi="Calibri" w:cs="Calibri"/>
          <w:color w:val="00205C"/>
          <w:sz w:val="32"/>
          <w:szCs w:val="32"/>
          <w:lang w:val="es-ES_tradnl"/>
        </w:rPr>
      </w:pPr>
      <w:r w:rsidRPr="00FA327C">
        <w:rPr>
          <w:rFonts w:ascii="Calibri" w:eastAsia="Calibri" w:hAnsi="Calibri" w:cs="Calibri"/>
          <w:color w:val="00205C"/>
          <w:sz w:val="32"/>
          <w:szCs w:val="32"/>
          <w:lang w:val="es-ES_tradnl"/>
        </w:rPr>
        <w:t>Diálogo internacional sobre la financiación sostenible para las enfermedades no transmisibles (ENT) y la salud mental</w:t>
      </w:r>
    </w:p>
    <w:p w14:paraId="469E6041" w14:textId="77777777" w:rsidR="005B1925" w:rsidRPr="00FA327C" w:rsidRDefault="00824641">
      <w:pPr>
        <w:spacing w:after="0"/>
        <w:jc w:val="center"/>
        <w:rPr>
          <w:rFonts w:ascii="Calibri" w:eastAsia="Calibri" w:hAnsi="Calibri" w:cs="Calibri"/>
          <w:b/>
          <w:bCs/>
          <w:color w:val="009ADE"/>
          <w:sz w:val="32"/>
          <w:szCs w:val="32"/>
          <w:lang w:val="es-ES_tradnl"/>
        </w:rPr>
      </w:pPr>
      <w:r w:rsidRPr="00FA327C">
        <w:rPr>
          <w:rFonts w:ascii="Calibri" w:eastAsia="Calibri" w:hAnsi="Calibri" w:cs="Calibri"/>
          <w:b/>
          <w:bCs/>
          <w:color w:val="009ADE"/>
          <w:sz w:val="32"/>
          <w:szCs w:val="32"/>
          <w:lang w:val="es-ES_tradnl"/>
        </w:rPr>
        <w:t>Consulta en línea | Plantilla de comentarios</w:t>
      </w:r>
    </w:p>
    <w:p w14:paraId="5EFA0736" w14:textId="77777777" w:rsidR="00FE4A1D" w:rsidRPr="00B671F7" w:rsidRDefault="00824641" w:rsidP="00FE4A1D">
      <w:pPr>
        <w:shd w:val="clear" w:color="auto" w:fill="FFFFFF"/>
        <w:spacing w:before="240" w:after="0" w:line="240" w:lineRule="auto"/>
        <w:outlineLvl w:val="0"/>
        <w:rPr>
          <w:rFonts w:ascii="Source Sans Pro" w:hAnsi="Source Sans Pro"/>
          <w:b/>
          <w:bCs/>
          <w:i/>
          <w:iCs/>
          <w:color w:val="C00000"/>
          <w:lang w:val="es-ES"/>
        </w:rPr>
      </w:pPr>
      <w:r w:rsidRPr="00FA327C">
        <w:rPr>
          <w:rFonts w:ascii="Aptos" w:eastAsia="Aptos" w:hAnsi="Aptos" w:cs="Aptos"/>
          <w:color w:val="4C94D8"/>
          <w:lang w:val="es-ES_tradnl"/>
        </w:rPr>
        <w:t xml:space="preserve"> </w:t>
      </w:r>
      <w:r w:rsidR="00FE4A1D">
        <w:rPr>
          <w:i/>
          <w:iCs/>
          <w:lang w:val="es-ES"/>
        </w:rPr>
        <w:t xml:space="preserve">Nota: </w:t>
      </w:r>
      <w:r w:rsidR="00FE4A1D" w:rsidRPr="00B671F7">
        <w:rPr>
          <w:i/>
          <w:iCs/>
          <w:lang w:val="es-ES"/>
        </w:rPr>
        <w:t>Se prefiere que los formularios sean completados en inglés, pero se aceptarán aquellos que estén en otros idiomas oficiales de la ONU. Estos últimos serán traducidos utilizando un traductor en línea, por lo que algunos mensajes podrían ser desvirtuados.</w:t>
      </w:r>
    </w:p>
    <w:p w14:paraId="469E6042" w14:textId="38F37903" w:rsidR="005B1925" w:rsidRPr="00FE4A1D" w:rsidRDefault="005B1925">
      <w:pPr>
        <w:spacing w:after="0"/>
        <w:jc w:val="center"/>
        <w:rPr>
          <w:lang w:val="es-ES"/>
        </w:rPr>
      </w:pPr>
    </w:p>
    <w:tbl>
      <w:tblPr>
        <w:tblStyle w:val="Tablaconcuadrcula"/>
        <w:tblW w:w="10610" w:type="dxa"/>
        <w:tblBorders>
          <w:top w:val="single" w:sz="2" w:space="0" w:color="00205C"/>
          <w:left w:val="single" w:sz="2" w:space="0" w:color="00205C"/>
          <w:bottom w:val="single" w:sz="2" w:space="0" w:color="00205C"/>
          <w:right w:val="single" w:sz="2" w:space="0" w:color="00205C"/>
          <w:insideH w:val="single" w:sz="2" w:space="0" w:color="00205C"/>
          <w:insideV w:val="single" w:sz="2" w:space="0" w:color="00205C"/>
        </w:tblBorders>
        <w:tblLayout w:type="fixed"/>
        <w:tblLook w:val="06A0" w:firstRow="1" w:lastRow="0" w:firstColumn="1" w:lastColumn="0" w:noHBand="1" w:noVBand="1"/>
      </w:tblPr>
      <w:tblGrid>
        <w:gridCol w:w="10610"/>
      </w:tblGrid>
      <w:tr w:rsidR="005B1925" w:rsidRPr="00FA327C" w14:paraId="469E6044" w14:textId="77777777">
        <w:trPr>
          <w:trHeight w:val="360"/>
        </w:trPr>
        <w:tc>
          <w:tcPr>
            <w:tcW w:w="10610" w:type="dxa"/>
            <w:tcMar>
              <w:left w:w="108" w:type="dxa"/>
              <w:right w:w="108" w:type="dxa"/>
            </w:tcMar>
            <w:vAlign w:val="center"/>
          </w:tcPr>
          <w:p w14:paraId="469E6043" w14:textId="77777777" w:rsidR="005B1925" w:rsidRPr="00FA327C" w:rsidRDefault="00824641">
            <w:pPr>
              <w:spacing w:after="0"/>
              <w:rPr>
                <w:lang w:val="es-ES_tradnl"/>
              </w:rPr>
            </w:pPr>
            <w:r w:rsidRPr="00FA327C">
              <w:rPr>
                <w:b/>
                <w:bCs/>
                <w:lang w:val="es-ES_tradnl"/>
              </w:rPr>
              <w:t>Organización</w:t>
            </w:r>
            <w:r w:rsidRPr="00FA327C">
              <w:rPr>
                <w:lang w:val="es-ES_tradnl"/>
              </w:rPr>
              <w:t>:</w:t>
            </w:r>
          </w:p>
        </w:tc>
      </w:tr>
      <w:tr w:rsidR="005B1925" w:rsidRPr="00FA327C" w14:paraId="469E604E" w14:textId="77777777">
        <w:trPr>
          <w:trHeight w:val="360"/>
        </w:trPr>
        <w:tc>
          <w:tcPr>
            <w:tcW w:w="10610" w:type="dxa"/>
            <w:tcMar>
              <w:left w:w="108" w:type="dxa"/>
              <w:right w:w="108" w:type="dxa"/>
            </w:tcMar>
          </w:tcPr>
          <w:p w14:paraId="469E6045" w14:textId="77777777" w:rsidR="005B1925" w:rsidRPr="00FA327C" w:rsidRDefault="00824641">
            <w:pPr>
              <w:spacing w:after="120"/>
              <w:rPr>
                <w:rFonts w:ascii="Calibri" w:eastAsia="Calibri" w:hAnsi="Calibri" w:cs="Calibri"/>
                <w:color w:val="000000" w:themeColor="text1"/>
                <w:lang w:val="es-ES_tradnl"/>
              </w:rPr>
            </w:pPr>
            <w:r w:rsidRPr="00FA327C">
              <w:rPr>
                <w:b/>
                <w:bCs/>
                <w:lang w:val="es-ES_tradnl"/>
              </w:rPr>
              <w:t>Tipo de organización (marque su selección con una X):</w:t>
            </w:r>
          </w:p>
          <w:p w14:paraId="469E6046" w14:textId="77777777" w:rsidR="005B1925" w:rsidRPr="00FA327C" w:rsidRDefault="00824641">
            <w:pPr>
              <w:spacing w:after="120"/>
              <w:rPr>
                <w:rFonts w:ascii="Calibri" w:eastAsia="Calibri" w:hAnsi="Calibri" w:cs="Calibri"/>
                <w:color w:val="000000" w:themeColor="text1"/>
                <w:lang w:val="es-ES_tradnl"/>
              </w:rPr>
            </w:pPr>
            <w:r w:rsidRPr="00FA327C">
              <w:rPr>
                <w:lang w:val="es-ES_tradnl"/>
              </w:rPr>
              <w:t>Estados Miembros</w:t>
            </w:r>
          </w:p>
          <w:p w14:paraId="469E6047" w14:textId="77777777" w:rsidR="005B1925" w:rsidRPr="00FA327C" w:rsidRDefault="00824641">
            <w:pPr>
              <w:spacing w:after="120"/>
              <w:rPr>
                <w:rFonts w:ascii="Calibri" w:eastAsia="Calibri" w:hAnsi="Calibri" w:cs="Calibri"/>
                <w:color w:val="000000" w:themeColor="text1"/>
                <w:lang w:val="es-ES_tradnl"/>
              </w:rPr>
            </w:pPr>
            <w:r w:rsidRPr="00FA327C">
              <w:rPr>
                <w:lang w:val="es-ES_tradnl"/>
              </w:rPr>
              <w:t>Organismos, programas y fondos de las Naciones Unidas y otras organizaciones multilaterales</w:t>
            </w:r>
          </w:p>
          <w:p w14:paraId="469E6048" w14:textId="77777777" w:rsidR="005B1925" w:rsidRPr="00FA327C" w:rsidRDefault="00824641">
            <w:pPr>
              <w:spacing w:after="0"/>
              <w:ind w:left="22"/>
              <w:rPr>
                <w:rFonts w:ascii="Calibri" w:eastAsia="Calibri" w:hAnsi="Calibri" w:cs="Calibri"/>
                <w:color w:val="000000" w:themeColor="text1"/>
                <w:lang w:val="es-ES_tradnl"/>
              </w:rPr>
            </w:pPr>
            <w:r w:rsidRPr="00FA327C">
              <w:rPr>
                <w:lang w:val="es-ES_tradnl"/>
              </w:rPr>
              <w:t xml:space="preserve">Agentes no estatales </w:t>
            </w:r>
          </w:p>
          <w:p w14:paraId="469E6049" w14:textId="7346003A" w:rsidR="005B1925" w:rsidRPr="00FA327C" w:rsidRDefault="00824641">
            <w:pPr>
              <w:pStyle w:val="Prrafodelista"/>
              <w:numPr>
                <w:ilvl w:val="1"/>
                <w:numId w:val="1"/>
              </w:numPr>
              <w:spacing w:after="0"/>
              <w:ind w:left="589"/>
              <w:rPr>
                <w:rFonts w:ascii="Calibri" w:eastAsia="Calibri" w:hAnsi="Calibri" w:cs="Calibri"/>
                <w:color w:val="000000" w:themeColor="text1"/>
                <w:lang w:val="es-ES_tradnl"/>
              </w:rPr>
            </w:pPr>
            <w:r w:rsidRPr="00FA327C">
              <w:rPr>
                <w:lang w:val="es-ES_tradnl"/>
              </w:rPr>
              <w:t>organizaciones no gubernamentales, incluidas aquellas que representan a personas con</w:t>
            </w:r>
            <w:r w:rsidR="009B1838" w:rsidRPr="00FA327C">
              <w:rPr>
                <w:lang w:val="es-ES_tradnl"/>
              </w:rPr>
              <w:t xml:space="preserve"> experiencia directa </w:t>
            </w:r>
            <w:r w:rsidR="00703CD8" w:rsidRPr="00FA327C">
              <w:rPr>
                <w:lang w:val="es-ES_tradnl"/>
              </w:rPr>
              <w:t>en estos</w:t>
            </w:r>
            <w:r w:rsidR="009B1838" w:rsidRPr="00FA327C">
              <w:rPr>
                <w:lang w:val="es-ES_tradnl"/>
              </w:rPr>
              <w:t xml:space="preserve"> temas de salud</w:t>
            </w:r>
          </w:p>
          <w:p w14:paraId="469E604A" w14:textId="77777777" w:rsidR="005B1925" w:rsidRPr="00FA327C" w:rsidRDefault="00824641">
            <w:pPr>
              <w:pStyle w:val="Prrafodelista"/>
              <w:numPr>
                <w:ilvl w:val="1"/>
                <w:numId w:val="1"/>
              </w:numPr>
              <w:spacing w:after="0"/>
              <w:ind w:left="589"/>
              <w:rPr>
                <w:rFonts w:ascii="Calibri" w:eastAsia="Calibri" w:hAnsi="Calibri" w:cs="Calibri"/>
                <w:color w:val="000000" w:themeColor="text1"/>
                <w:lang w:val="es-ES_tradnl"/>
              </w:rPr>
            </w:pPr>
            <w:r w:rsidRPr="00FA327C">
              <w:rPr>
                <w:lang w:val="es-ES_tradnl"/>
              </w:rPr>
              <w:t>fundaciones filantrópicas</w:t>
            </w:r>
          </w:p>
          <w:p w14:paraId="469E604B" w14:textId="77777777" w:rsidR="005B1925" w:rsidRPr="00FA327C" w:rsidRDefault="00824641">
            <w:pPr>
              <w:pStyle w:val="Prrafodelista"/>
              <w:numPr>
                <w:ilvl w:val="1"/>
                <w:numId w:val="1"/>
              </w:numPr>
              <w:spacing w:after="0"/>
              <w:ind w:left="589"/>
              <w:rPr>
                <w:rFonts w:ascii="Calibri" w:eastAsia="Calibri" w:hAnsi="Calibri" w:cs="Calibri"/>
                <w:color w:val="000000" w:themeColor="text1"/>
                <w:lang w:val="es-ES_tradnl"/>
              </w:rPr>
            </w:pPr>
            <w:r w:rsidRPr="00FA327C">
              <w:rPr>
                <w:lang w:val="es-ES_tradnl"/>
              </w:rPr>
              <w:t xml:space="preserve">instituciones académicas </w:t>
            </w:r>
          </w:p>
          <w:p w14:paraId="469E604C" w14:textId="77777777" w:rsidR="005B1925" w:rsidRPr="00FA327C" w:rsidRDefault="00824641">
            <w:pPr>
              <w:pStyle w:val="Prrafodelista"/>
              <w:numPr>
                <w:ilvl w:val="1"/>
                <w:numId w:val="1"/>
              </w:numPr>
              <w:spacing w:after="0"/>
              <w:ind w:left="589"/>
              <w:rPr>
                <w:rFonts w:ascii="Calibri" w:eastAsia="Calibri" w:hAnsi="Calibri" w:cs="Calibri"/>
                <w:color w:val="000000" w:themeColor="text1"/>
                <w:lang w:val="es-ES_tradnl"/>
              </w:rPr>
            </w:pPr>
            <w:r w:rsidRPr="00FA327C">
              <w:rPr>
                <w:lang w:val="es-ES_tradnl"/>
              </w:rPr>
              <w:t>otro (especificar):</w:t>
            </w:r>
          </w:p>
          <w:p w14:paraId="469E604D" w14:textId="77777777" w:rsidR="005B1925" w:rsidRPr="00FA327C" w:rsidRDefault="005B1925">
            <w:pPr>
              <w:spacing w:after="0"/>
              <w:ind w:left="1080"/>
              <w:rPr>
                <w:rFonts w:ascii="Calibri" w:eastAsia="Calibri" w:hAnsi="Calibri" w:cs="Calibri"/>
                <w:color w:val="000000" w:themeColor="text1"/>
                <w:lang w:val="es-ES_tradnl"/>
              </w:rPr>
            </w:pPr>
          </w:p>
        </w:tc>
      </w:tr>
      <w:tr w:rsidR="005B1925" w:rsidRPr="00FE4A1D" w14:paraId="469E6050" w14:textId="77777777">
        <w:trPr>
          <w:trHeight w:val="360"/>
        </w:trPr>
        <w:tc>
          <w:tcPr>
            <w:tcW w:w="10610" w:type="dxa"/>
            <w:shd w:val="clear" w:color="auto" w:fill="auto"/>
            <w:tcMar>
              <w:left w:w="108" w:type="dxa"/>
              <w:right w:w="108" w:type="dxa"/>
            </w:tcMar>
            <w:vAlign w:val="center"/>
          </w:tcPr>
          <w:p w14:paraId="469E604F" w14:textId="6C2634D5" w:rsidR="005B1925" w:rsidRPr="00FA327C" w:rsidRDefault="009B1838">
            <w:pPr>
              <w:spacing w:after="0"/>
              <w:rPr>
                <w:b/>
                <w:bCs/>
                <w:lang w:val="es-ES_tradnl"/>
              </w:rPr>
            </w:pPr>
            <w:r w:rsidRPr="00FA327C">
              <w:rPr>
                <w:b/>
                <w:bCs/>
                <w:lang w:val="es-ES_tradnl"/>
              </w:rPr>
              <w:t xml:space="preserve">Puede ampliar cada una de las secciones a continuación según sea necesario para </w:t>
            </w:r>
            <w:r w:rsidR="00824641" w:rsidRPr="00FA327C">
              <w:rPr>
                <w:b/>
                <w:bCs/>
                <w:lang w:val="es-ES_tradnl"/>
              </w:rPr>
              <w:t xml:space="preserve">proporcionar </w:t>
            </w:r>
            <w:r w:rsidRPr="00FA327C">
              <w:rPr>
                <w:b/>
                <w:bCs/>
                <w:lang w:val="es-ES_tradnl"/>
              </w:rPr>
              <w:t>sus c</w:t>
            </w:r>
            <w:r w:rsidR="00824641" w:rsidRPr="00FA327C">
              <w:rPr>
                <w:b/>
                <w:bCs/>
                <w:lang w:val="es-ES_tradnl"/>
              </w:rPr>
              <w:t>omentarios:</w:t>
            </w:r>
          </w:p>
        </w:tc>
      </w:tr>
      <w:tr w:rsidR="005B1925" w:rsidRPr="00FE4A1D" w14:paraId="469E6057" w14:textId="77777777">
        <w:trPr>
          <w:trHeight w:val="360"/>
        </w:trPr>
        <w:tc>
          <w:tcPr>
            <w:tcW w:w="10610" w:type="dxa"/>
            <w:tcMar>
              <w:left w:w="108" w:type="dxa"/>
              <w:right w:w="108" w:type="dxa"/>
            </w:tcMar>
          </w:tcPr>
          <w:p w14:paraId="469E6051" w14:textId="77777777" w:rsidR="005B1925" w:rsidRPr="00FA327C" w:rsidRDefault="00824641">
            <w:pPr>
              <w:spacing w:after="0"/>
              <w:jc w:val="both"/>
              <w:rPr>
                <w:b/>
                <w:bCs/>
                <w:lang w:val="es-ES_tradnl"/>
              </w:rPr>
            </w:pPr>
            <w:r w:rsidRPr="00FA327C">
              <w:rPr>
                <w:b/>
                <w:bCs/>
                <w:lang w:val="es-ES_tradnl"/>
              </w:rPr>
              <w:t>Versión preliminar del resumen de los documentos de antecedentes técnicos</w:t>
            </w:r>
          </w:p>
          <w:p w14:paraId="469E6052" w14:textId="77777777" w:rsidR="005B1925" w:rsidRPr="00FA327C" w:rsidRDefault="005B1925">
            <w:pPr>
              <w:spacing w:after="0"/>
              <w:jc w:val="both"/>
              <w:rPr>
                <w:rFonts w:ascii="Calibri" w:eastAsia="Calibri" w:hAnsi="Calibri" w:cs="Calibri"/>
                <w:color w:val="000000" w:themeColor="text1"/>
                <w:lang w:val="es-ES_tradnl"/>
              </w:rPr>
            </w:pPr>
          </w:p>
          <w:p w14:paraId="469E6053" w14:textId="77777777" w:rsidR="005B1925" w:rsidRPr="00FA327C" w:rsidRDefault="005B1925">
            <w:pPr>
              <w:spacing w:after="0"/>
              <w:jc w:val="both"/>
              <w:rPr>
                <w:rFonts w:ascii="Calibri" w:eastAsia="Calibri" w:hAnsi="Calibri" w:cs="Calibri"/>
                <w:color w:val="000000" w:themeColor="text1"/>
                <w:lang w:val="es-ES_tradnl"/>
              </w:rPr>
            </w:pPr>
          </w:p>
          <w:p w14:paraId="469E6054" w14:textId="77777777" w:rsidR="005B1925" w:rsidRPr="00FA327C" w:rsidRDefault="005B1925">
            <w:pPr>
              <w:spacing w:after="0"/>
              <w:jc w:val="both"/>
              <w:rPr>
                <w:lang w:val="es-ES_tradnl"/>
              </w:rPr>
            </w:pPr>
          </w:p>
          <w:p w14:paraId="469E6055" w14:textId="77777777" w:rsidR="005B1925" w:rsidRPr="00FA327C" w:rsidRDefault="005B1925">
            <w:pPr>
              <w:spacing w:after="0"/>
              <w:jc w:val="both"/>
              <w:rPr>
                <w:lang w:val="es-ES_tradnl"/>
              </w:rPr>
            </w:pPr>
          </w:p>
          <w:p w14:paraId="469E6056" w14:textId="77777777" w:rsidR="005B1925" w:rsidRPr="00FA327C" w:rsidRDefault="005B1925">
            <w:pPr>
              <w:spacing w:after="0"/>
              <w:jc w:val="both"/>
              <w:rPr>
                <w:lang w:val="es-ES_tradnl"/>
              </w:rPr>
            </w:pPr>
          </w:p>
        </w:tc>
      </w:tr>
      <w:tr w:rsidR="005B1925" w:rsidRPr="00FE4A1D" w14:paraId="469E605E" w14:textId="77777777">
        <w:trPr>
          <w:trHeight w:val="360"/>
        </w:trPr>
        <w:tc>
          <w:tcPr>
            <w:tcW w:w="10610" w:type="dxa"/>
            <w:tcMar>
              <w:left w:w="108" w:type="dxa"/>
              <w:right w:w="108" w:type="dxa"/>
            </w:tcMar>
          </w:tcPr>
          <w:p w14:paraId="469E6058" w14:textId="63F0AB6D" w:rsidR="005B1925" w:rsidRPr="00FA327C" w:rsidRDefault="00824641">
            <w:pPr>
              <w:spacing w:after="0"/>
              <w:jc w:val="both"/>
              <w:rPr>
                <w:b/>
                <w:bCs/>
                <w:lang w:val="es-ES_tradnl"/>
              </w:rPr>
            </w:pPr>
            <w:r w:rsidRPr="00FA327C">
              <w:rPr>
                <w:b/>
                <w:bCs/>
                <w:lang w:val="es-ES_tradnl"/>
              </w:rPr>
              <w:t xml:space="preserve">Versión preliminar de los mensajes emergentes que servirán de base para el documento final del </w:t>
            </w:r>
            <w:r w:rsidR="009B1838" w:rsidRPr="00FA327C">
              <w:rPr>
                <w:b/>
                <w:bCs/>
                <w:lang w:val="es-ES_tradnl"/>
              </w:rPr>
              <w:t>D</w:t>
            </w:r>
            <w:r w:rsidRPr="00FA327C">
              <w:rPr>
                <w:b/>
                <w:bCs/>
                <w:lang w:val="es-ES_tradnl"/>
              </w:rPr>
              <w:t xml:space="preserve">iálogo </w:t>
            </w:r>
            <w:r w:rsidR="009B1838" w:rsidRPr="00FA327C">
              <w:rPr>
                <w:b/>
                <w:bCs/>
                <w:lang w:val="es-ES_tradnl"/>
              </w:rPr>
              <w:t>I</w:t>
            </w:r>
            <w:r w:rsidRPr="00FA327C">
              <w:rPr>
                <w:b/>
                <w:bCs/>
                <w:lang w:val="es-ES_tradnl"/>
              </w:rPr>
              <w:t xml:space="preserve">nternacional sobre la </w:t>
            </w:r>
            <w:r w:rsidR="009B1838" w:rsidRPr="00FA327C">
              <w:rPr>
                <w:b/>
                <w:bCs/>
                <w:lang w:val="es-ES_tradnl"/>
              </w:rPr>
              <w:t>F</w:t>
            </w:r>
            <w:r w:rsidRPr="00FA327C">
              <w:rPr>
                <w:b/>
                <w:bCs/>
                <w:lang w:val="es-ES_tradnl"/>
              </w:rPr>
              <w:t xml:space="preserve">inanciación </w:t>
            </w:r>
            <w:r w:rsidR="009B1838" w:rsidRPr="00FA327C">
              <w:rPr>
                <w:b/>
                <w:bCs/>
                <w:lang w:val="es-ES_tradnl"/>
              </w:rPr>
              <w:t>S</w:t>
            </w:r>
            <w:r w:rsidRPr="00FA327C">
              <w:rPr>
                <w:b/>
                <w:bCs/>
                <w:lang w:val="es-ES_tradnl"/>
              </w:rPr>
              <w:t>ostenible</w:t>
            </w:r>
          </w:p>
          <w:p w14:paraId="469E6059" w14:textId="77777777" w:rsidR="005B1925" w:rsidRPr="00FA327C" w:rsidRDefault="005B1925">
            <w:pPr>
              <w:spacing w:after="0"/>
              <w:jc w:val="both"/>
              <w:rPr>
                <w:rFonts w:ascii="Calibri" w:eastAsia="Calibri" w:hAnsi="Calibri" w:cs="Calibri"/>
                <w:color w:val="000000" w:themeColor="text1"/>
                <w:lang w:val="es-ES_tradnl"/>
              </w:rPr>
            </w:pPr>
          </w:p>
          <w:p w14:paraId="469E605A" w14:textId="77777777" w:rsidR="005B1925" w:rsidRPr="00FA327C" w:rsidRDefault="005B1925">
            <w:pPr>
              <w:spacing w:after="0"/>
              <w:jc w:val="both"/>
              <w:rPr>
                <w:rFonts w:ascii="Calibri" w:eastAsia="Calibri" w:hAnsi="Calibri" w:cs="Calibri"/>
                <w:color w:val="000000" w:themeColor="text1"/>
                <w:lang w:val="es-ES_tradnl"/>
              </w:rPr>
            </w:pPr>
          </w:p>
          <w:p w14:paraId="469E605B" w14:textId="77777777" w:rsidR="005B1925" w:rsidRPr="00FA327C" w:rsidRDefault="005B1925">
            <w:pPr>
              <w:spacing w:after="0"/>
              <w:jc w:val="both"/>
              <w:rPr>
                <w:rFonts w:ascii="Calibri" w:eastAsia="Calibri" w:hAnsi="Calibri" w:cs="Calibri"/>
                <w:color w:val="000000" w:themeColor="text1"/>
                <w:lang w:val="es-ES_tradnl"/>
              </w:rPr>
            </w:pPr>
          </w:p>
          <w:p w14:paraId="469E605C" w14:textId="77777777" w:rsidR="005B1925" w:rsidRPr="00FA327C" w:rsidRDefault="005B1925">
            <w:pPr>
              <w:spacing w:after="0"/>
              <w:jc w:val="both"/>
              <w:rPr>
                <w:lang w:val="es-ES_tradnl"/>
              </w:rPr>
            </w:pPr>
          </w:p>
          <w:p w14:paraId="469E605D" w14:textId="77777777" w:rsidR="005B1925" w:rsidRPr="00FA327C" w:rsidRDefault="005B1925">
            <w:pPr>
              <w:spacing w:after="0"/>
              <w:jc w:val="both"/>
              <w:rPr>
                <w:lang w:val="es-ES_tradnl"/>
              </w:rPr>
            </w:pPr>
          </w:p>
        </w:tc>
      </w:tr>
      <w:tr w:rsidR="005B1925" w:rsidRPr="00FE4A1D" w14:paraId="469E6065" w14:textId="77777777">
        <w:trPr>
          <w:trHeight w:val="360"/>
        </w:trPr>
        <w:tc>
          <w:tcPr>
            <w:tcW w:w="10610" w:type="dxa"/>
            <w:tcMar>
              <w:left w:w="108" w:type="dxa"/>
              <w:right w:w="108" w:type="dxa"/>
            </w:tcMar>
          </w:tcPr>
          <w:p w14:paraId="469E605F" w14:textId="7140C22F" w:rsidR="005B1925" w:rsidRPr="00FA327C" w:rsidRDefault="00824641">
            <w:pPr>
              <w:spacing w:after="0"/>
              <w:jc w:val="both"/>
              <w:rPr>
                <w:rFonts w:ascii="Calibri" w:eastAsia="Calibri" w:hAnsi="Calibri" w:cs="Calibri"/>
                <w:b/>
                <w:bCs/>
                <w:color w:val="000000" w:themeColor="text1"/>
                <w:lang w:val="es-ES_tradnl"/>
              </w:rPr>
            </w:pPr>
            <w:r w:rsidRPr="00FA327C">
              <w:rPr>
                <w:b/>
                <w:bCs/>
                <w:lang w:val="es-ES_tradnl"/>
              </w:rPr>
              <w:t>1.</w:t>
            </w:r>
            <w:r w:rsidRPr="00FA327C">
              <w:rPr>
                <w:lang w:val="es-ES_tradnl"/>
              </w:rPr>
              <w:t xml:space="preserve"> </w:t>
            </w:r>
            <w:r w:rsidRPr="00FA327C">
              <w:rPr>
                <w:b/>
                <w:bCs/>
                <w:lang w:val="es-ES_tradnl"/>
              </w:rPr>
              <w:t xml:space="preserve">Gasto </w:t>
            </w:r>
            <w:r w:rsidR="009B1838" w:rsidRPr="00FA327C">
              <w:rPr>
                <w:b/>
                <w:bCs/>
                <w:lang w:val="es-ES_tradnl"/>
              </w:rPr>
              <w:t>sanitario relacionado c</w:t>
            </w:r>
            <w:r w:rsidRPr="00FA327C">
              <w:rPr>
                <w:b/>
                <w:bCs/>
                <w:lang w:val="es-ES_tradnl"/>
              </w:rPr>
              <w:t>on las ENT y la salud mental: ¿Qué podemos aprender de las cuentas nacionales de salud?</w:t>
            </w:r>
          </w:p>
          <w:p w14:paraId="469E6060" w14:textId="77777777" w:rsidR="005B1925" w:rsidRPr="00FA327C" w:rsidRDefault="005B1925">
            <w:pPr>
              <w:spacing w:after="0"/>
              <w:jc w:val="both"/>
              <w:rPr>
                <w:rFonts w:ascii="Calibri" w:eastAsia="Calibri" w:hAnsi="Calibri" w:cs="Calibri"/>
                <w:color w:val="000000" w:themeColor="text1"/>
                <w:lang w:val="es-ES_tradnl"/>
              </w:rPr>
            </w:pPr>
          </w:p>
          <w:p w14:paraId="469E6061" w14:textId="77777777" w:rsidR="005B1925" w:rsidRPr="00FA327C" w:rsidRDefault="005B1925">
            <w:pPr>
              <w:spacing w:after="0"/>
              <w:jc w:val="both"/>
              <w:rPr>
                <w:rFonts w:ascii="Calibri" w:eastAsia="Calibri" w:hAnsi="Calibri" w:cs="Calibri"/>
                <w:color w:val="000000" w:themeColor="text1"/>
                <w:lang w:val="es-ES_tradnl"/>
              </w:rPr>
            </w:pPr>
          </w:p>
          <w:p w14:paraId="469E6062" w14:textId="77777777" w:rsidR="005B1925" w:rsidRPr="00FA327C" w:rsidRDefault="005B1925">
            <w:pPr>
              <w:spacing w:after="0"/>
              <w:jc w:val="both"/>
              <w:rPr>
                <w:lang w:val="es-ES_tradnl"/>
              </w:rPr>
            </w:pPr>
          </w:p>
          <w:p w14:paraId="469E6063" w14:textId="77777777" w:rsidR="005B1925" w:rsidRPr="00FA327C" w:rsidRDefault="005B1925">
            <w:pPr>
              <w:spacing w:after="0"/>
              <w:jc w:val="both"/>
              <w:rPr>
                <w:lang w:val="es-ES_tradnl"/>
              </w:rPr>
            </w:pPr>
          </w:p>
          <w:p w14:paraId="469E6064" w14:textId="77777777" w:rsidR="005B1925" w:rsidRPr="00FA327C" w:rsidRDefault="005B1925">
            <w:pPr>
              <w:spacing w:after="0"/>
              <w:jc w:val="both"/>
              <w:rPr>
                <w:lang w:val="es-ES_tradnl"/>
              </w:rPr>
            </w:pPr>
          </w:p>
        </w:tc>
      </w:tr>
      <w:tr w:rsidR="005B1925" w:rsidRPr="00FE4A1D" w14:paraId="469E606C" w14:textId="77777777">
        <w:trPr>
          <w:trHeight w:val="360"/>
        </w:trPr>
        <w:tc>
          <w:tcPr>
            <w:tcW w:w="10610" w:type="dxa"/>
            <w:tcMar>
              <w:left w:w="108" w:type="dxa"/>
              <w:right w:w="108" w:type="dxa"/>
            </w:tcMar>
          </w:tcPr>
          <w:p w14:paraId="469E6066" w14:textId="45B562EB" w:rsidR="005B1925" w:rsidRPr="00FA327C" w:rsidRDefault="00824641">
            <w:pPr>
              <w:spacing w:after="0"/>
              <w:jc w:val="both"/>
              <w:rPr>
                <w:b/>
                <w:bCs/>
                <w:lang w:val="es-ES_tradnl"/>
              </w:rPr>
            </w:pPr>
            <w:r w:rsidRPr="00FA327C">
              <w:rPr>
                <w:b/>
                <w:bCs/>
                <w:lang w:val="es-ES_tradnl"/>
              </w:rPr>
              <w:t>2.</w:t>
            </w:r>
            <w:r w:rsidRPr="00FA327C">
              <w:rPr>
                <w:lang w:val="es-ES_tradnl"/>
              </w:rPr>
              <w:t xml:space="preserve"> </w:t>
            </w:r>
            <w:r w:rsidRPr="00FA327C">
              <w:rPr>
                <w:b/>
                <w:bCs/>
                <w:lang w:val="es-ES_tradnl"/>
              </w:rPr>
              <w:t>Financia</w:t>
            </w:r>
            <w:r w:rsidR="009B1838" w:rsidRPr="00FA327C">
              <w:rPr>
                <w:b/>
                <w:bCs/>
                <w:lang w:val="es-ES_tradnl"/>
              </w:rPr>
              <w:t>ción externa</w:t>
            </w:r>
            <w:r w:rsidRPr="00FA327C">
              <w:rPr>
                <w:b/>
                <w:bCs/>
                <w:lang w:val="es-ES_tradnl"/>
              </w:rPr>
              <w:t xml:space="preserve"> para las ENT y la salud mental: ¿Cuál es el papel de la asistencia para el desarrollo destinada a la salud?</w:t>
            </w:r>
          </w:p>
          <w:p w14:paraId="469E6067" w14:textId="77777777" w:rsidR="005B1925" w:rsidRPr="00FA327C" w:rsidRDefault="005B1925">
            <w:pPr>
              <w:spacing w:after="0"/>
              <w:jc w:val="both"/>
              <w:rPr>
                <w:rFonts w:ascii="Calibri" w:eastAsia="Calibri" w:hAnsi="Calibri" w:cs="Calibri"/>
                <w:color w:val="000000" w:themeColor="text1"/>
                <w:lang w:val="es-ES_tradnl"/>
              </w:rPr>
            </w:pPr>
          </w:p>
          <w:p w14:paraId="469E6068" w14:textId="77777777" w:rsidR="005B1925" w:rsidRPr="00FA327C" w:rsidRDefault="005B1925">
            <w:pPr>
              <w:spacing w:after="0"/>
              <w:jc w:val="both"/>
              <w:rPr>
                <w:rFonts w:ascii="Calibri" w:eastAsia="Calibri" w:hAnsi="Calibri" w:cs="Calibri"/>
                <w:color w:val="000000" w:themeColor="text1"/>
                <w:lang w:val="es-ES_tradnl"/>
              </w:rPr>
            </w:pPr>
          </w:p>
          <w:p w14:paraId="469E6069" w14:textId="77777777" w:rsidR="005B1925" w:rsidRPr="00FA327C" w:rsidRDefault="005B1925">
            <w:pPr>
              <w:spacing w:after="0"/>
              <w:jc w:val="both"/>
              <w:rPr>
                <w:rFonts w:ascii="Calibri" w:eastAsia="Calibri" w:hAnsi="Calibri" w:cs="Calibri"/>
                <w:color w:val="000000" w:themeColor="text1"/>
                <w:lang w:val="es-ES_tradnl"/>
              </w:rPr>
            </w:pPr>
          </w:p>
          <w:p w14:paraId="469E606A" w14:textId="77777777" w:rsidR="005B1925" w:rsidRPr="00FA327C" w:rsidRDefault="005B1925">
            <w:pPr>
              <w:spacing w:after="0"/>
              <w:jc w:val="both"/>
              <w:rPr>
                <w:lang w:val="es-ES_tradnl"/>
              </w:rPr>
            </w:pPr>
          </w:p>
          <w:p w14:paraId="469E606B" w14:textId="77777777" w:rsidR="005B1925" w:rsidRPr="00FA327C" w:rsidRDefault="005B1925">
            <w:pPr>
              <w:spacing w:after="0"/>
              <w:jc w:val="both"/>
              <w:rPr>
                <w:lang w:val="es-ES_tradnl"/>
              </w:rPr>
            </w:pPr>
          </w:p>
        </w:tc>
      </w:tr>
      <w:tr w:rsidR="005B1925" w:rsidRPr="00FE4A1D" w14:paraId="469E6073" w14:textId="77777777">
        <w:trPr>
          <w:trHeight w:val="360"/>
        </w:trPr>
        <w:tc>
          <w:tcPr>
            <w:tcW w:w="10610" w:type="dxa"/>
            <w:tcMar>
              <w:left w:w="108" w:type="dxa"/>
              <w:right w:w="108" w:type="dxa"/>
            </w:tcMar>
          </w:tcPr>
          <w:p w14:paraId="469E606D" w14:textId="50DC1DF8" w:rsidR="005B1925" w:rsidRPr="00FA327C" w:rsidRDefault="00824641">
            <w:pPr>
              <w:spacing w:after="0"/>
              <w:jc w:val="both"/>
              <w:rPr>
                <w:rFonts w:ascii="Calibri" w:eastAsia="Calibri" w:hAnsi="Calibri" w:cs="Calibri"/>
                <w:color w:val="000000" w:themeColor="text1"/>
                <w:lang w:val="es-ES_tradnl"/>
              </w:rPr>
            </w:pPr>
            <w:r w:rsidRPr="00FA327C">
              <w:rPr>
                <w:b/>
                <w:bCs/>
                <w:lang w:val="es-ES_tradnl"/>
              </w:rPr>
              <w:t>3.</w:t>
            </w:r>
            <w:r w:rsidRPr="00FA327C">
              <w:rPr>
                <w:lang w:val="es-ES_tradnl"/>
              </w:rPr>
              <w:t xml:space="preserve"> </w:t>
            </w:r>
            <w:r w:rsidRPr="00FA327C">
              <w:rPr>
                <w:b/>
                <w:bCs/>
                <w:lang w:val="es-ES_tradnl"/>
              </w:rPr>
              <w:t>Financia</w:t>
            </w:r>
            <w:r w:rsidR="009B1838" w:rsidRPr="00FA327C">
              <w:rPr>
                <w:b/>
                <w:bCs/>
                <w:lang w:val="es-ES_tradnl"/>
              </w:rPr>
              <w:t xml:space="preserve">ción </w:t>
            </w:r>
            <w:r w:rsidRPr="00FA327C">
              <w:rPr>
                <w:b/>
                <w:bCs/>
                <w:lang w:val="es-ES_tradnl"/>
              </w:rPr>
              <w:t xml:space="preserve">nacional para las ENT y la salud mental: ¿Cuál es el papel de los impuestos </w:t>
            </w:r>
            <w:r w:rsidR="009B1838" w:rsidRPr="00FA327C">
              <w:rPr>
                <w:b/>
                <w:bCs/>
                <w:lang w:val="es-ES_tradnl"/>
              </w:rPr>
              <w:t>saludables</w:t>
            </w:r>
            <w:r w:rsidRPr="00FA327C">
              <w:rPr>
                <w:b/>
                <w:bCs/>
                <w:lang w:val="es-ES_tradnl"/>
              </w:rPr>
              <w:t xml:space="preserve"> y otras medidas </w:t>
            </w:r>
            <w:r w:rsidR="009B1838" w:rsidRPr="00FA327C">
              <w:rPr>
                <w:b/>
                <w:bCs/>
                <w:lang w:val="es-ES_tradnl"/>
              </w:rPr>
              <w:t>fiscales</w:t>
            </w:r>
            <w:r w:rsidRPr="00FA327C">
              <w:rPr>
                <w:b/>
                <w:bCs/>
                <w:lang w:val="es-ES_tradnl"/>
              </w:rPr>
              <w:t>?</w:t>
            </w:r>
          </w:p>
          <w:p w14:paraId="469E606E" w14:textId="77777777" w:rsidR="005B1925" w:rsidRPr="00FA327C" w:rsidRDefault="005B1925">
            <w:pPr>
              <w:spacing w:after="0"/>
              <w:jc w:val="both"/>
              <w:rPr>
                <w:rFonts w:ascii="Calibri" w:eastAsia="Calibri" w:hAnsi="Calibri" w:cs="Calibri"/>
                <w:color w:val="000000" w:themeColor="text1"/>
                <w:lang w:val="es-ES_tradnl"/>
              </w:rPr>
            </w:pPr>
          </w:p>
          <w:p w14:paraId="469E606F" w14:textId="77777777" w:rsidR="005B1925" w:rsidRPr="00FA327C" w:rsidRDefault="005B1925">
            <w:pPr>
              <w:spacing w:after="0"/>
              <w:jc w:val="both"/>
              <w:rPr>
                <w:rFonts w:ascii="Calibri" w:eastAsia="Calibri" w:hAnsi="Calibri" w:cs="Calibri"/>
                <w:color w:val="000000" w:themeColor="text1"/>
                <w:lang w:val="es-ES_tradnl"/>
              </w:rPr>
            </w:pPr>
          </w:p>
          <w:p w14:paraId="469E6070" w14:textId="77777777" w:rsidR="005B1925" w:rsidRPr="00FA327C" w:rsidRDefault="005B1925">
            <w:pPr>
              <w:spacing w:after="0"/>
              <w:jc w:val="both"/>
              <w:rPr>
                <w:lang w:val="es-ES_tradnl"/>
              </w:rPr>
            </w:pPr>
          </w:p>
          <w:p w14:paraId="469E6071" w14:textId="77777777" w:rsidR="005B1925" w:rsidRPr="00FA327C" w:rsidRDefault="005B1925">
            <w:pPr>
              <w:spacing w:after="0"/>
              <w:jc w:val="both"/>
              <w:rPr>
                <w:lang w:val="es-ES_tradnl"/>
              </w:rPr>
            </w:pPr>
          </w:p>
          <w:p w14:paraId="469E6072" w14:textId="77777777" w:rsidR="005B1925" w:rsidRPr="00FA327C" w:rsidRDefault="005B1925">
            <w:pPr>
              <w:spacing w:after="0"/>
              <w:jc w:val="both"/>
              <w:rPr>
                <w:lang w:val="es-ES_tradnl"/>
              </w:rPr>
            </w:pPr>
          </w:p>
        </w:tc>
      </w:tr>
      <w:tr w:rsidR="005B1925" w:rsidRPr="00FE4A1D" w14:paraId="469E607A" w14:textId="77777777">
        <w:trPr>
          <w:trHeight w:val="360"/>
        </w:trPr>
        <w:tc>
          <w:tcPr>
            <w:tcW w:w="10610" w:type="dxa"/>
            <w:tcMar>
              <w:left w:w="108" w:type="dxa"/>
              <w:right w:w="108" w:type="dxa"/>
            </w:tcMar>
          </w:tcPr>
          <w:p w14:paraId="469E6074" w14:textId="4A822744" w:rsidR="005B1925" w:rsidRPr="00FA327C" w:rsidRDefault="00824641">
            <w:pPr>
              <w:keepNext/>
              <w:keepLines/>
              <w:spacing w:after="0"/>
              <w:jc w:val="both"/>
              <w:rPr>
                <w:rFonts w:ascii="Calibri" w:eastAsia="Calibri" w:hAnsi="Calibri" w:cs="Calibri"/>
                <w:b/>
                <w:bCs/>
                <w:color w:val="000000" w:themeColor="text1"/>
                <w:lang w:val="es-ES_tradnl"/>
              </w:rPr>
            </w:pPr>
            <w:r w:rsidRPr="00FA327C">
              <w:rPr>
                <w:b/>
                <w:bCs/>
                <w:lang w:val="es-ES_tradnl"/>
              </w:rPr>
              <w:lastRenderedPageBreak/>
              <w:t>4.</w:t>
            </w:r>
            <w:r w:rsidRPr="00FA327C">
              <w:rPr>
                <w:lang w:val="es-ES_tradnl"/>
              </w:rPr>
              <w:t xml:space="preserve"> </w:t>
            </w:r>
            <w:r w:rsidRPr="00FA327C">
              <w:rPr>
                <w:b/>
                <w:bCs/>
                <w:lang w:val="es-ES_tradnl"/>
              </w:rPr>
              <w:t>Financia</w:t>
            </w:r>
            <w:r w:rsidR="009B1838" w:rsidRPr="00FA327C">
              <w:rPr>
                <w:b/>
                <w:bCs/>
                <w:lang w:val="es-ES_tradnl"/>
              </w:rPr>
              <w:t xml:space="preserve">ción </w:t>
            </w:r>
            <w:r w:rsidRPr="00FA327C">
              <w:rPr>
                <w:b/>
                <w:bCs/>
                <w:lang w:val="es-ES_tradnl"/>
              </w:rPr>
              <w:t>nacional para las ENT y la salud mental: prioridades, compras y pagos a proveedores</w:t>
            </w:r>
          </w:p>
          <w:p w14:paraId="469E6075" w14:textId="77777777" w:rsidR="005B1925" w:rsidRPr="00FA327C" w:rsidRDefault="005B1925">
            <w:pPr>
              <w:keepNext/>
              <w:keepLines/>
              <w:spacing w:after="0"/>
              <w:jc w:val="both"/>
              <w:rPr>
                <w:rFonts w:ascii="Calibri" w:eastAsia="Calibri" w:hAnsi="Calibri" w:cs="Calibri"/>
                <w:b/>
                <w:bCs/>
                <w:color w:val="000000" w:themeColor="text1"/>
                <w:lang w:val="es-ES_tradnl"/>
              </w:rPr>
            </w:pPr>
          </w:p>
          <w:p w14:paraId="469E6076" w14:textId="77777777" w:rsidR="005B1925" w:rsidRPr="00FA327C" w:rsidRDefault="005B1925">
            <w:pPr>
              <w:keepNext/>
              <w:keepLines/>
              <w:spacing w:after="0"/>
              <w:jc w:val="both"/>
              <w:rPr>
                <w:rFonts w:ascii="Calibri" w:eastAsia="Calibri" w:hAnsi="Calibri" w:cs="Calibri"/>
                <w:color w:val="000000" w:themeColor="text1"/>
                <w:lang w:val="es-ES_tradnl"/>
              </w:rPr>
            </w:pPr>
          </w:p>
          <w:p w14:paraId="469E6077" w14:textId="77777777" w:rsidR="005B1925" w:rsidRPr="00FA327C" w:rsidRDefault="005B1925">
            <w:pPr>
              <w:keepNext/>
              <w:keepLines/>
              <w:spacing w:after="0"/>
              <w:jc w:val="both"/>
              <w:rPr>
                <w:rFonts w:ascii="Calibri" w:eastAsia="Calibri" w:hAnsi="Calibri" w:cs="Calibri"/>
                <w:color w:val="000000" w:themeColor="text1"/>
                <w:lang w:val="es-ES_tradnl"/>
              </w:rPr>
            </w:pPr>
          </w:p>
          <w:p w14:paraId="469E6078" w14:textId="77777777" w:rsidR="005B1925" w:rsidRPr="00FA327C" w:rsidRDefault="005B1925">
            <w:pPr>
              <w:keepNext/>
              <w:keepLines/>
              <w:spacing w:after="0"/>
              <w:jc w:val="both"/>
              <w:rPr>
                <w:lang w:val="es-ES_tradnl"/>
              </w:rPr>
            </w:pPr>
          </w:p>
          <w:p w14:paraId="469E6079" w14:textId="77777777" w:rsidR="005B1925" w:rsidRPr="00FA327C" w:rsidRDefault="005B1925">
            <w:pPr>
              <w:keepNext/>
              <w:keepLines/>
              <w:spacing w:after="0"/>
              <w:jc w:val="both"/>
              <w:rPr>
                <w:lang w:val="es-ES_tradnl"/>
              </w:rPr>
            </w:pPr>
          </w:p>
        </w:tc>
      </w:tr>
      <w:tr w:rsidR="005B1925" w:rsidRPr="00FE4A1D" w14:paraId="469E6081" w14:textId="77777777">
        <w:trPr>
          <w:trHeight w:val="360"/>
        </w:trPr>
        <w:tc>
          <w:tcPr>
            <w:tcW w:w="10610" w:type="dxa"/>
            <w:tcMar>
              <w:left w:w="108" w:type="dxa"/>
              <w:right w:w="108" w:type="dxa"/>
            </w:tcMar>
          </w:tcPr>
          <w:p w14:paraId="469E607B" w14:textId="04A580DF" w:rsidR="005B1925" w:rsidRPr="00FA327C" w:rsidRDefault="00824641">
            <w:pPr>
              <w:spacing w:after="0"/>
              <w:jc w:val="both"/>
              <w:rPr>
                <w:b/>
                <w:bCs/>
                <w:lang w:val="es-ES_tradnl"/>
              </w:rPr>
            </w:pPr>
            <w:r w:rsidRPr="00FA327C">
              <w:rPr>
                <w:b/>
                <w:bCs/>
                <w:lang w:val="es-ES_tradnl"/>
              </w:rPr>
              <w:t>5.</w:t>
            </w:r>
            <w:r w:rsidRPr="00FA327C">
              <w:rPr>
                <w:lang w:val="es-ES_tradnl"/>
              </w:rPr>
              <w:t xml:space="preserve"> </w:t>
            </w:r>
            <w:r w:rsidRPr="00FA327C">
              <w:rPr>
                <w:b/>
                <w:bCs/>
                <w:lang w:val="es-ES_tradnl"/>
              </w:rPr>
              <w:t xml:space="preserve">Protección financiera </w:t>
            </w:r>
            <w:r w:rsidR="009B1838" w:rsidRPr="00FA327C">
              <w:rPr>
                <w:b/>
                <w:bCs/>
                <w:lang w:val="es-ES_tradnl"/>
              </w:rPr>
              <w:t xml:space="preserve">frente a </w:t>
            </w:r>
            <w:r w:rsidRPr="00FA327C">
              <w:rPr>
                <w:b/>
                <w:bCs/>
                <w:lang w:val="es-ES_tradnl"/>
              </w:rPr>
              <w:t>las ENT y la salud mental: ¿Por qué es necesaria y cómo lograrla?</w:t>
            </w:r>
          </w:p>
          <w:p w14:paraId="469E607C" w14:textId="77777777" w:rsidR="005B1925" w:rsidRPr="00FA327C" w:rsidRDefault="005B1925">
            <w:pPr>
              <w:spacing w:after="0"/>
              <w:jc w:val="both"/>
              <w:rPr>
                <w:rFonts w:ascii="Calibri" w:eastAsia="Calibri" w:hAnsi="Calibri" w:cs="Calibri"/>
                <w:color w:val="000000" w:themeColor="text1"/>
                <w:lang w:val="es-ES_tradnl"/>
              </w:rPr>
            </w:pPr>
          </w:p>
          <w:p w14:paraId="469E607D" w14:textId="77777777" w:rsidR="005B1925" w:rsidRPr="00FA327C" w:rsidRDefault="005B1925">
            <w:pPr>
              <w:spacing w:after="0"/>
              <w:jc w:val="both"/>
              <w:rPr>
                <w:rFonts w:ascii="Calibri" w:eastAsia="Calibri" w:hAnsi="Calibri" w:cs="Calibri"/>
                <w:color w:val="000000" w:themeColor="text1"/>
                <w:lang w:val="es-ES_tradnl"/>
              </w:rPr>
            </w:pPr>
          </w:p>
          <w:p w14:paraId="469E607E" w14:textId="77777777" w:rsidR="005B1925" w:rsidRPr="00FA327C" w:rsidRDefault="005B1925">
            <w:pPr>
              <w:spacing w:after="0"/>
              <w:jc w:val="both"/>
              <w:rPr>
                <w:lang w:val="es-ES_tradnl"/>
              </w:rPr>
            </w:pPr>
          </w:p>
          <w:p w14:paraId="469E607F" w14:textId="77777777" w:rsidR="005B1925" w:rsidRPr="00FA327C" w:rsidRDefault="005B1925">
            <w:pPr>
              <w:spacing w:after="0"/>
              <w:jc w:val="both"/>
              <w:rPr>
                <w:lang w:val="es-ES_tradnl"/>
              </w:rPr>
            </w:pPr>
          </w:p>
          <w:p w14:paraId="469E6080" w14:textId="77777777" w:rsidR="005B1925" w:rsidRPr="00FA327C" w:rsidRDefault="005B1925">
            <w:pPr>
              <w:spacing w:after="0"/>
              <w:jc w:val="both"/>
              <w:rPr>
                <w:lang w:val="es-ES_tradnl"/>
              </w:rPr>
            </w:pPr>
          </w:p>
        </w:tc>
      </w:tr>
      <w:tr w:rsidR="005B1925" w:rsidRPr="00FE4A1D" w14:paraId="469E6088" w14:textId="77777777">
        <w:trPr>
          <w:trHeight w:val="360"/>
        </w:trPr>
        <w:tc>
          <w:tcPr>
            <w:tcW w:w="10610" w:type="dxa"/>
            <w:tcMar>
              <w:left w:w="108" w:type="dxa"/>
              <w:right w:w="108" w:type="dxa"/>
            </w:tcMar>
          </w:tcPr>
          <w:p w14:paraId="469E6082" w14:textId="132C3D52" w:rsidR="005B1925" w:rsidRPr="00FA327C" w:rsidRDefault="00824641">
            <w:pPr>
              <w:spacing w:after="0"/>
              <w:jc w:val="both"/>
              <w:rPr>
                <w:b/>
                <w:bCs/>
                <w:lang w:val="es-ES_tradnl"/>
              </w:rPr>
            </w:pPr>
            <w:r w:rsidRPr="00FA327C">
              <w:rPr>
                <w:b/>
                <w:bCs/>
                <w:lang w:val="es-ES_tradnl"/>
              </w:rPr>
              <w:t>6.</w:t>
            </w:r>
            <w:r w:rsidRPr="00FA327C">
              <w:rPr>
                <w:lang w:val="es-ES_tradnl"/>
              </w:rPr>
              <w:t xml:space="preserve"> </w:t>
            </w:r>
            <w:r w:rsidRPr="00FA327C">
              <w:rPr>
                <w:b/>
                <w:bCs/>
                <w:lang w:val="es-ES_tradnl"/>
              </w:rPr>
              <w:t xml:space="preserve">Recursos humanos para la salud: </w:t>
            </w:r>
            <w:r w:rsidR="00BC3B8A" w:rsidRPr="00FA327C">
              <w:rPr>
                <w:b/>
                <w:bCs/>
                <w:lang w:val="es-ES_tradnl"/>
              </w:rPr>
              <w:t xml:space="preserve">Cómo se </w:t>
            </w:r>
            <w:r w:rsidRPr="00FA327C">
              <w:rPr>
                <w:b/>
                <w:bCs/>
                <w:lang w:val="es-ES_tradnl"/>
              </w:rPr>
              <w:t xml:space="preserve">pueden fomentar las </w:t>
            </w:r>
            <w:r w:rsidR="00BC3B8A" w:rsidRPr="00FA327C">
              <w:rPr>
                <w:b/>
                <w:bCs/>
                <w:lang w:val="es-ES_tradnl"/>
              </w:rPr>
              <w:t xml:space="preserve">contribuciones </w:t>
            </w:r>
            <w:r w:rsidRPr="00FA327C">
              <w:rPr>
                <w:b/>
                <w:bCs/>
                <w:lang w:val="es-ES_tradnl"/>
              </w:rPr>
              <w:t xml:space="preserve">de la fuerza laboral </w:t>
            </w:r>
            <w:r w:rsidR="00BC3B8A" w:rsidRPr="00FA327C">
              <w:rPr>
                <w:b/>
                <w:bCs/>
                <w:lang w:val="es-ES_tradnl"/>
              </w:rPr>
              <w:t xml:space="preserve">para abordar </w:t>
            </w:r>
            <w:r w:rsidRPr="00FA327C">
              <w:rPr>
                <w:b/>
                <w:bCs/>
                <w:lang w:val="es-ES_tradnl"/>
              </w:rPr>
              <w:t>las ENT y l</w:t>
            </w:r>
            <w:r w:rsidR="00BC3B8A" w:rsidRPr="00FA327C">
              <w:rPr>
                <w:b/>
                <w:bCs/>
                <w:lang w:val="es-ES_tradnl"/>
              </w:rPr>
              <w:t xml:space="preserve">os problemas </w:t>
            </w:r>
            <w:r w:rsidRPr="00FA327C">
              <w:rPr>
                <w:b/>
                <w:bCs/>
                <w:lang w:val="es-ES_tradnl"/>
              </w:rPr>
              <w:t>de salud mental?</w:t>
            </w:r>
          </w:p>
          <w:p w14:paraId="469E6083" w14:textId="77777777" w:rsidR="005B1925" w:rsidRPr="00FA327C" w:rsidRDefault="005B1925">
            <w:pPr>
              <w:spacing w:after="0"/>
              <w:jc w:val="both"/>
              <w:rPr>
                <w:rFonts w:ascii="Calibri" w:eastAsia="Calibri" w:hAnsi="Calibri" w:cs="Calibri"/>
                <w:color w:val="000000" w:themeColor="text1"/>
                <w:lang w:val="es-ES_tradnl"/>
              </w:rPr>
            </w:pPr>
          </w:p>
          <w:p w14:paraId="469E6084" w14:textId="77777777" w:rsidR="005B1925" w:rsidRPr="00FA327C" w:rsidRDefault="005B1925">
            <w:pPr>
              <w:spacing w:after="0"/>
              <w:jc w:val="both"/>
              <w:rPr>
                <w:rFonts w:ascii="Calibri" w:eastAsia="Calibri" w:hAnsi="Calibri" w:cs="Calibri"/>
                <w:color w:val="000000" w:themeColor="text1"/>
                <w:lang w:val="es-ES_tradnl"/>
              </w:rPr>
            </w:pPr>
          </w:p>
          <w:p w14:paraId="469E6085" w14:textId="77777777" w:rsidR="005B1925" w:rsidRPr="00FA327C" w:rsidRDefault="005B1925">
            <w:pPr>
              <w:spacing w:after="0"/>
              <w:jc w:val="both"/>
              <w:rPr>
                <w:lang w:val="es-ES_tradnl"/>
              </w:rPr>
            </w:pPr>
          </w:p>
          <w:p w14:paraId="469E6086" w14:textId="77777777" w:rsidR="005B1925" w:rsidRPr="00FA327C" w:rsidRDefault="005B1925">
            <w:pPr>
              <w:spacing w:after="0"/>
              <w:jc w:val="both"/>
              <w:rPr>
                <w:lang w:val="es-ES_tradnl"/>
              </w:rPr>
            </w:pPr>
          </w:p>
          <w:p w14:paraId="469E6087" w14:textId="77777777" w:rsidR="005B1925" w:rsidRPr="00FA327C" w:rsidRDefault="005B1925">
            <w:pPr>
              <w:spacing w:after="0"/>
              <w:jc w:val="both"/>
              <w:rPr>
                <w:lang w:val="es-ES_tradnl"/>
              </w:rPr>
            </w:pPr>
          </w:p>
        </w:tc>
      </w:tr>
      <w:tr w:rsidR="005B1925" w:rsidRPr="00FE4A1D" w14:paraId="469E608F" w14:textId="77777777">
        <w:trPr>
          <w:trHeight w:val="360"/>
        </w:trPr>
        <w:tc>
          <w:tcPr>
            <w:tcW w:w="10610" w:type="dxa"/>
            <w:tcMar>
              <w:left w:w="108" w:type="dxa"/>
              <w:right w:w="108" w:type="dxa"/>
            </w:tcMar>
          </w:tcPr>
          <w:p w14:paraId="469E6089" w14:textId="3B1375A3" w:rsidR="005B1925" w:rsidRPr="00FA327C" w:rsidRDefault="00824641">
            <w:pPr>
              <w:spacing w:after="0"/>
              <w:jc w:val="both"/>
              <w:rPr>
                <w:b/>
                <w:bCs/>
                <w:lang w:val="es-ES_tradnl"/>
              </w:rPr>
            </w:pPr>
            <w:r w:rsidRPr="00FA327C">
              <w:rPr>
                <w:b/>
                <w:bCs/>
                <w:lang w:val="es-ES_tradnl"/>
              </w:rPr>
              <w:t>7.</w:t>
            </w:r>
            <w:r w:rsidRPr="00FA327C">
              <w:rPr>
                <w:lang w:val="es-ES_tradnl"/>
              </w:rPr>
              <w:t xml:space="preserve"> </w:t>
            </w:r>
            <w:r w:rsidRPr="00FA327C">
              <w:rPr>
                <w:b/>
                <w:bCs/>
                <w:lang w:val="es-ES_tradnl"/>
              </w:rPr>
              <w:t>Impulsar la inversión, la ac</w:t>
            </w:r>
            <w:r w:rsidR="00BC3B8A" w:rsidRPr="00FA327C">
              <w:rPr>
                <w:b/>
                <w:bCs/>
                <w:lang w:val="es-ES_tradnl"/>
              </w:rPr>
              <w:t>tuación</w:t>
            </w:r>
            <w:r w:rsidRPr="00FA327C">
              <w:rPr>
                <w:b/>
                <w:bCs/>
                <w:lang w:val="es-ES_tradnl"/>
              </w:rPr>
              <w:t xml:space="preserve"> y la rendición de cuentas en </w:t>
            </w:r>
            <w:r w:rsidR="00BC3B8A" w:rsidRPr="00FA327C">
              <w:rPr>
                <w:b/>
                <w:bCs/>
                <w:lang w:val="es-ES_tradnl"/>
              </w:rPr>
              <w:t xml:space="preserve">torno a las </w:t>
            </w:r>
            <w:r w:rsidRPr="00FA327C">
              <w:rPr>
                <w:b/>
                <w:bCs/>
                <w:lang w:val="es-ES_tradnl"/>
              </w:rPr>
              <w:t xml:space="preserve">ENT y </w:t>
            </w:r>
            <w:r w:rsidR="00BC3B8A" w:rsidRPr="00FA327C">
              <w:rPr>
                <w:b/>
                <w:bCs/>
                <w:lang w:val="es-ES_tradnl"/>
              </w:rPr>
              <w:t xml:space="preserve">la </w:t>
            </w:r>
            <w:r w:rsidRPr="00FA327C">
              <w:rPr>
                <w:b/>
                <w:bCs/>
                <w:lang w:val="es-ES_tradnl"/>
              </w:rPr>
              <w:t>salud mental: el papel de la sociedad civil</w:t>
            </w:r>
          </w:p>
          <w:p w14:paraId="469E608A" w14:textId="77777777" w:rsidR="005B1925" w:rsidRPr="00FA327C" w:rsidRDefault="005B1925">
            <w:pPr>
              <w:spacing w:after="0"/>
              <w:jc w:val="both"/>
              <w:rPr>
                <w:rFonts w:ascii="Calibri" w:eastAsia="Calibri" w:hAnsi="Calibri" w:cs="Calibri"/>
                <w:color w:val="000000" w:themeColor="text1"/>
                <w:lang w:val="es-ES_tradnl"/>
              </w:rPr>
            </w:pPr>
          </w:p>
          <w:p w14:paraId="469E608B" w14:textId="77777777" w:rsidR="005B1925" w:rsidRPr="00FA327C" w:rsidRDefault="005B1925">
            <w:pPr>
              <w:spacing w:after="0"/>
              <w:jc w:val="both"/>
              <w:rPr>
                <w:rFonts w:ascii="Calibri" w:eastAsia="Calibri" w:hAnsi="Calibri" w:cs="Calibri"/>
                <w:color w:val="000000" w:themeColor="text1"/>
                <w:lang w:val="es-ES_tradnl"/>
              </w:rPr>
            </w:pPr>
          </w:p>
          <w:p w14:paraId="469E608C" w14:textId="77777777" w:rsidR="005B1925" w:rsidRPr="00FA327C" w:rsidRDefault="005B1925">
            <w:pPr>
              <w:spacing w:after="0"/>
              <w:jc w:val="both"/>
              <w:rPr>
                <w:lang w:val="es-ES_tradnl"/>
              </w:rPr>
            </w:pPr>
          </w:p>
          <w:p w14:paraId="469E608D" w14:textId="77777777" w:rsidR="005B1925" w:rsidRPr="00FA327C" w:rsidRDefault="005B1925">
            <w:pPr>
              <w:spacing w:after="0"/>
              <w:jc w:val="both"/>
              <w:rPr>
                <w:lang w:val="es-ES_tradnl"/>
              </w:rPr>
            </w:pPr>
          </w:p>
          <w:p w14:paraId="469E608E" w14:textId="77777777" w:rsidR="005B1925" w:rsidRPr="00FA327C" w:rsidRDefault="005B1925">
            <w:pPr>
              <w:spacing w:after="0"/>
              <w:jc w:val="both"/>
              <w:rPr>
                <w:lang w:val="es-ES_tradnl"/>
              </w:rPr>
            </w:pPr>
          </w:p>
        </w:tc>
      </w:tr>
      <w:tr w:rsidR="005B1925" w:rsidRPr="00FA327C" w14:paraId="469E6091" w14:textId="77777777">
        <w:trPr>
          <w:trHeight w:val="360"/>
        </w:trPr>
        <w:tc>
          <w:tcPr>
            <w:tcW w:w="10610" w:type="dxa"/>
            <w:tcMar>
              <w:left w:w="108" w:type="dxa"/>
              <w:right w:w="108" w:type="dxa"/>
            </w:tcMar>
            <w:vAlign w:val="center"/>
          </w:tcPr>
          <w:p w14:paraId="469E6090" w14:textId="77777777" w:rsidR="005B1925" w:rsidRPr="00FA327C" w:rsidRDefault="00824641">
            <w:pPr>
              <w:spacing w:after="0"/>
              <w:rPr>
                <w:rFonts w:ascii="Calibri" w:eastAsia="Calibri" w:hAnsi="Calibri" w:cs="Calibri"/>
                <w:b/>
                <w:bCs/>
                <w:color w:val="000000" w:themeColor="text1"/>
                <w:lang w:val="es-ES_tradnl"/>
              </w:rPr>
            </w:pPr>
            <w:r w:rsidRPr="00FA327C">
              <w:rPr>
                <w:b/>
                <w:bCs/>
                <w:lang w:val="es-ES_tradnl"/>
              </w:rPr>
              <w:t>Otros documentos</w:t>
            </w:r>
          </w:p>
        </w:tc>
      </w:tr>
      <w:tr w:rsidR="005B1925" w:rsidRPr="00FE4A1D" w14:paraId="469E6098" w14:textId="77777777">
        <w:trPr>
          <w:trHeight w:val="459"/>
        </w:trPr>
        <w:tc>
          <w:tcPr>
            <w:tcW w:w="10610" w:type="dxa"/>
            <w:tcMar>
              <w:left w:w="108" w:type="dxa"/>
              <w:right w:w="108" w:type="dxa"/>
            </w:tcMar>
          </w:tcPr>
          <w:p w14:paraId="469E6092" w14:textId="52233279" w:rsidR="005B1925" w:rsidRPr="00FA327C" w:rsidRDefault="00BC3B8A">
            <w:pPr>
              <w:shd w:val="clear" w:color="auto" w:fill="FFFFFF"/>
              <w:spacing w:after="0" w:line="240" w:lineRule="auto"/>
              <w:rPr>
                <w:rFonts w:ascii="Calibri" w:eastAsia="Calibri" w:hAnsi="Calibri" w:cs="Calibri"/>
                <w:b/>
                <w:bCs/>
                <w:color w:val="000000" w:themeColor="text1"/>
                <w:lang w:val="es-ES_tradnl"/>
              </w:rPr>
            </w:pPr>
            <w:r w:rsidRPr="00FA327C">
              <w:rPr>
                <w:b/>
                <w:bCs/>
                <w:lang w:val="es-ES_tradnl"/>
              </w:rPr>
              <w:t xml:space="preserve">Caso </w:t>
            </w:r>
            <w:r w:rsidR="00824641" w:rsidRPr="00FA327C">
              <w:rPr>
                <w:b/>
                <w:bCs/>
                <w:lang w:val="es-ES_tradnl"/>
              </w:rPr>
              <w:t xml:space="preserve">a favor de la inversión en </w:t>
            </w:r>
            <w:r w:rsidRPr="00FA327C">
              <w:rPr>
                <w:b/>
                <w:bCs/>
                <w:lang w:val="es-ES_tradnl"/>
              </w:rPr>
              <w:t xml:space="preserve">torno a las </w:t>
            </w:r>
            <w:r w:rsidR="00824641" w:rsidRPr="00FA327C">
              <w:rPr>
                <w:b/>
                <w:bCs/>
                <w:lang w:val="es-ES_tradnl"/>
              </w:rPr>
              <w:t xml:space="preserve">ENT, </w:t>
            </w:r>
            <w:r w:rsidRPr="00FA327C">
              <w:rPr>
                <w:b/>
                <w:bCs/>
                <w:lang w:val="es-ES_tradnl"/>
              </w:rPr>
              <w:t xml:space="preserve">el </w:t>
            </w:r>
            <w:r w:rsidR="00824641" w:rsidRPr="00FA327C">
              <w:rPr>
                <w:b/>
                <w:bCs/>
                <w:lang w:val="es-ES_tradnl"/>
              </w:rPr>
              <w:t xml:space="preserve">control del tabaco y </w:t>
            </w:r>
            <w:r w:rsidRPr="00FA327C">
              <w:rPr>
                <w:b/>
                <w:bCs/>
                <w:lang w:val="es-ES_tradnl"/>
              </w:rPr>
              <w:t xml:space="preserve">la </w:t>
            </w:r>
            <w:r w:rsidR="00824641" w:rsidRPr="00FA327C">
              <w:rPr>
                <w:b/>
                <w:bCs/>
                <w:lang w:val="es-ES_tradnl"/>
              </w:rPr>
              <w:t>salud mental</w:t>
            </w:r>
          </w:p>
          <w:p w14:paraId="469E6093" w14:textId="77777777" w:rsidR="005B1925" w:rsidRPr="00FA327C" w:rsidRDefault="005B1925">
            <w:pPr>
              <w:shd w:val="clear" w:color="auto" w:fill="FFFFFF"/>
              <w:spacing w:after="0" w:line="240" w:lineRule="auto"/>
              <w:rPr>
                <w:rFonts w:ascii="Calibri" w:eastAsia="Calibri" w:hAnsi="Calibri" w:cs="Calibri"/>
                <w:color w:val="000000" w:themeColor="text1"/>
                <w:lang w:val="es-ES_tradnl"/>
              </w:rPr>
            </w:pPr>
          </w:p>
          <w:p w14:paraId="469E6094" w14:textId="77777777" w:rsidR="005B1925" w:rsidRPr="00FA327C" w:rsidRDefault="005B1925">
            <w:pPr>
              <w:shd w:val="clear" w:color="auto" w:fill="FFFFFF"/>
              <w:spacing w:after="0" w:line="240" w:lineRule="auto"/>
              <w:rPr>
                <w:rFonts w:ascii="Calibri" w:eastAsia="Calibri" w:hAnsi="Calibri" w:cs="Calibri"/>
                <w:color w:val="000000" w:themeColor="text1"/>
                <w:lang w:val="es-ES_tradnl"/>
              </w:rPr>
            </w:pPr>
          </w:p>
          <w:p w14:paraId="469E6095" w14:textId="77777777" w:rsidR="005B1925" w:rsidRPr="00FA327C" w:rsidRDefault="005B1925">
            <w:pPr>
              <w:shd w:val="clear" w:color="auto" w:fill="FFFFFF"/>
              <w:spacing w:after="0" w:line="240" w:lineRule="auto"/>
              <w:rPr>
                <w:rFonts w:ascii="Calibri" w:eastAsia="Calibri" w:hAnsi="Calibri" w:cs="Calibri"/>
                <w:color w:val="000000" w:themeColor="text1"/>
                <w:lang w:val="es-ES_tradnl"/>
              </w:rPr>
            </w:pPr>
          </w:p>
          <w:p w14:paraId="469E6096" w14:textId="77777777" w:rsidR="005B1925" w:rsidRPr="00FA327C" w:rsidRDefault="005B1925">
            <w:pPr>
              <w:shd w:val="clear" w:color="auto" w:fill="FFFFFF"/>
              <w:spacing w:after="0" w:line="240" w:lineRule="auto"/>
              <w:rPr>
                <w:rFonts w:ascii="Calibri" w:eastAsia="Calibri" w:hAnsi="Calibri" w:cs="Calibri"/>
                <w:color w:val="000000" w:themeColor="text1"/>
                <w:lang w:val="es-ES_tradnl"/>
              </w:rPr>
            </w:pPr>
          </w:p>
          <w:p w14:paraId="469E6097" w14:textId="77777777" w:rsidR="005B1925" w:rsidRPr="00FA327C" w:rsidRDefault="005B1925">
            <w:pPr>
              <w:shd w:val="clear" w:color="auto" w:fill="FFFFFF"/>
              <w:spacing w:after="0" w:line="240" w:lineRule="auto"/>
              <w:rPr>
                <w:rFonts w:ascii="Calibri" w:eastAsia="Calibri" w:hAnsi="Calibri" w:cs="Calibri"/>
                <w:color w:val="000000" w:themeColor="text1"/>
                <w:lang w:val="es-ES_tradnl"/>
              </w:rPr>
            </w:pPr>
          </w:p>
        </w:tc>
      </w:tr>
      <w:tr w:rsidR="005B1925" w:rsidRPr="00FE4A1D" w14:paraId="469E609F" w14:textId="77777777">
        <w:trPr>
          <w:trHeight w:val="1673"/>
        </w:trPr>
        <w:tc>
          <w:tcPr>
            <w:tcW w:w="10610" w:type="dxa"/>
            <w:tcMar>
              <w:left w:w="108" w:type="dxa"/>
              <w:right w:w="108" w:type="dxa"/>
            </w:tcMar>
          </w:tcPr>
          <w:p w14:paraId="469E6099" w14:textId="2036CACB" w:rsidR="005B1925" w:rsidRPr="00FA327C" w:rsidRDefault="00824641">
            <w:pPr>
              <w:shd w:val="clear" w:color="auto" w:fill="FFFFFF"/>
              <w:spacing w:after="0" w:line="240" w:lineRule="auto"/>
              <w:rPr>
                <w:rFonts w:ascii="Calibri" w:eastAsia="Calibri" w:hAnsi="Calibri" w:cs="Calibri"/>
                <w:b/>
                <w:bCs/>
                <w:color w:val="000000" w:themeColor="text1"/>
                <w:lang w:val="es-ES_tradnl"/>
              </w:rPr>
            </w:pPr>
            <w:r w:rsidRPr="00FA327C">
              <w:rPr>
                <w:b/>
                <w:bCs/>
                <w:lang w:val="es-ES_tradnl"/>
              </w:rPr>
              <w:t xml:space="preserve">Financiación de la salud en </w:t>
            </w:r>
            <w:r w:rsidR="00BC3B8A" w:rsidRPr="00FA327C">
              <w:rPr>
                <w:b/>
                <w:bCs/>
                <w:lang w:val="es-ES_tradnl"/>
              </w:rPr>
              <w:t>crisis</w:t>
            </w:r>
            <w:r w:rsidRPr="00FA327C">
              <w:rPr>
                <w:b/>
                <w:bCs/>
                <w:lang w:val="es-ES_tradnl"/>
              </w:rPr>
              <w:t xml:space="preserve"> humanitarias </w:t>
            </w:r>
            <w:r w:rsidR="00BC3B8A" w:rsidRPr="00FA327C">
              <w:rPr>
                <w:b/>
                <w:bCs/>
                <w:lang w:val="es-ES_tradnl"/>
              </w:rPr>
              <w:t xml:space="preserve">dirigida a las </w:t>
            </w:r>
            <w:r w:rsidRPr="00FA327C">
              <w:rPr>
                <w:b/>
                <w:bCs/>
                <w:lang w:val="es-ES_tradnl"/>
              </w:rPr>
              <w:t>ENT</w:t>
            </w:r>
          </w:p>
          <w:p w14:paraId="469E609A" w14:textId="77777777" w:rsidR="005B1925" w:rsidRPr="00FA327C" w:rsidRDefault="005B1925">
            <w:pPr>
              <w:shd w:val="clear" w:color="auto" w:fill="FFFFFF"/>
              <w:spacing w:after="0" w:line="240" w:lineRule="auto"/>
              <w:rPr>
                <w:rFonts w:ascii="Calibri" w:eastAsia="Calibri" w:hAnsi="Calibri" w:cs="Calibri"/>
                <w:color w:val="000000" w:themeColor="text1"/>
                <w:lang w:val="es-ES_tradnl"/>
              </w:rPr>
            </w:pPr>
          </w:p>
          <w:p w14:paraId="469E609B" w14:textId="77777777" w:rsidR="005B1925" w:rsidRPr="00FA327C" w:rsidRDefault="005B1925">
            <w:pPr>
              <w:shd w:val="clear" w:color="auto" w:fill="FFFFFF"/>
              <w:spacing w:after="0" w:line="240" w:lineRule="auto"/>
              <w:rPr>
                <w:rFonts w:ascii="Calibri" w:eastAsia="Calibri" w:hAnsi="Calibri" w:cs="Calibri"/>
                <w:color w:val="000000" w:themeColor="text1"/>
                <w:lang w:val="es-ES_tradnl"/>
              </w:rPr>
            </w:pPr>
          </w:p>
          <w:p w14:paraId="469E609C" w14:textId="77777777" w:rsidR="005B1925" w:rsidRPr="00FA327C" w:rsidRDefault="005B1925">
            <w:pPr>
              <w:shd w:val="clear" w:color="auto" w:fill="FFFFFF"/>
              <w:spacing w:after="0" w:line="240" w:lineRule="auto"/>
              <w:rPr>
                <w:rFonts w:ascii="Calibri" w:eastAsia="Calibri" w:hAnsi="Calibri" w:cs="Calibri"/>
                <w:color w:val="000000" w:themeColor="text1"/>
                <w:lang w:val="es-ES_tradnl"/>
              </w:rPr>
            </w:pPr>
          </w:p>
          <w:p w14:paraId="469E609D" w14:textId="77777777" w:rsidR="005B1925" w:rsidRPr="00FA327C" w:rsidRDefault="005B1925">
            <w:pPr>
              <w:shd w:val="clear" w:color="auto" w:fill="FFFFFF"/>
              <w:spacing w:after="0" w:line="240" w:lineRule="auto"/>
              <w:rPr>
                <w:rFonts w:ascii="Calibri" w:eastAsia="Calibri" w:hAnsi="Calibri" w:cs="Calibri"/>
                <w:color w:val="000000" w:themeColor="text1"/>
                <w:lang w:val="es-ES_tradnl"/>
              </w:rPr>
            </w:pPr>
          </w:p>
          <w:p w14:paraId="469E609E" w14:textId="77777777" w:rsidR="005B1925" w:rsidRPr="00FA327C" w:rsidRDefault="005B1925">
            <w:pPr>
              <w:shd w:val="clear" w:color="auto" w:fill="FFFFFF"/>
              <w:spacing w:after="0" w:line="240" w:lineRule="auto"/>
              <w:rPr>
                <w:rFonts w:ascii="Calibri" w:eastAsia="Calibri" w:hAnsi="Calibri" w:cs="Calibri"/>
                <w:color w:val="000000" w:themeColor="text1"/>
                <w:lang w:val="es-ES_tradnl"/>
              </w:rPr>
            </w:pPr>
          </w:p>
        </w:tc>
      </w:tr>
      <w:tr w:rsidR="005B1925" w:rsidRPr="00FA327C" w14:paraId="469E60A6" w14:textId="77777777">
        <w:trPr>
          <w:trHeight w:val="457"/>
        </w:trPr>
        <w:tc>
          <w:tcPr>
            <w:tcW w:w="10610" w:type="dxa"/>
            <w:tcMar>
              <w:left w:w="108" w:type="dxa"/>
              <w:right w:w="108" w:type="dxa"/>
            </w:tcMar>
          </w:tcPr>
          <w:p w14:paraId="469E60A0" w14:textId="77777777" w:rsidR="005B1925" w:rsidRPr="00FA327C" w:rsidRDefault="00824641">
            <w:pPr>
              <w:keepNext/>
              <w:keepLines/>
              <w:spacing w:after="0"/>
              <w:jc w:val="both"/>
              <w:rPr>
                <w:rFonts w:ascii="Calibri" w:eastAsia="Calibri" w:hAnsi="Calibri" w:cs="Calibri"/>
                <w:b/>
                <w:bCs/>
                <w:color w:val="000000" w:themeColor="text1"/>
                <w:lang w:val="es-ES_tradnl"/>
              </w:rPr>
            </w:pPr>
            <w:r w:rsidRPr="00FA327C">
              <w:rPr>
                <w:b/>
                <w:bCs/>
                <w:lang w:val="es-ES_tradnl"/>
              </w:rPr>
              <w:t>Observaciones generales relativas a varios documentos:</w:t>
            </w:r>
          </w:p>
          <w:p w14:paraId="469E60A1" w14:textId="77777777" w:rsidR="005B1925" w:rsidRPr="00FA327C" w:rsidRDefault="005B1925">
            <w:pPr>
              <w:keepNext/>
              <w:keepLines/>
              <w:spacing w:after="0"/>
              <w:jc w:val="both"/>
              <w:rPr>
                <w:rFonts w:ascii="Calibri" w:eastAsia="Calibri" w:hAnsi="Calibri" w:cs="Calibri"/>
                <w:color w:val="000000" w:themeColor="text1"/>
                <w:lang w:val="es-ES_tradnl"/>
              </w:rPr>
            </w:pPr>
          </w:p>
          <w:p w14:paraId="469E60A2" w14:textId="77777777" w:rsidR="005B1925" w:rsidRPr="00FA327C" w:rsidRDefault="005B1925">
            <w:pPr>
              <w:keepNext/>
              <w:keepLines/>
              <w:spacing w:after="0"/>
              <w:jc w:val="both"/>
              <w:rPr>
                <w:rFonts w:ascii="Calibri" w:eastAsia="Calibri" w:hAnsi="Calibri" w:cs="Calibri"/>
                <w:color w:val="000000" w:themeColor="text1"/>
                <w:lang w:val="es-ES_tradnl"/>
              </w:rPr>
            </w:pPr>
          </w:p>
          <w:p w14:paraId="469E60A3" w14:textId="77777777" w:rsidR="005B1925" w:rsidRPr="00FA327C" w:rsidRDefault="005B1925">
            <w:pPr>
              <w:keepNext/>
              <w:keepLines/>
              <w:spacing w:after="0"/>
              <w:jc w:val="both"/>
              <w:rPr>
                <w:rFonts w:ascii="Calibri" w:eastAsia="Calibri" w:hAnsi="Calibri" w:cs="Calibri"/>
                <w:color w:val="000000" w:themeColor="text1"/>
                <w:lang w:val="es-ES_tradnl"/>
              </w:rPr>
            </w:pPr>
          </w:p>
          <w:p w14:paraId="469E60A4" w14:textId="77777777" w:rsidR="005B1925" w:rsidRPr="00FA327C" w:rsidRDefault="005B1925">
            <w:pPr>
              <w:keepNext/>
              <w:keepLines/>
              <w:spacing w:after="0"/>
              <w:jc w:val="both"/>
              <w:rPr>
                <w:rFonts w:ascii="Calibri" w:eastAsia="Calibri" w:hAnsi="Calibri" w:cs="Calibri"/>
                <w:color w:val="000000" w:themeColor="text1"/>
                <w:lang w:val="es-ES_tradnl"/>
              </w:rPr>
            </w:pPr>
          </w:p>
          <w:p w14:paraId="469E60A5" w14:textId="77777777" w:rsidR="005B1925" w:rsidRPr="00FA327C" w:rsidRDefault="005B1925">
            <w:pPr>
              <w:keepNext/>
              <w:keepLines/>
              <w:spacing w:after="0"/>
              <w:jc w:val="both"/>
              <w:rPr>
                <w:rFonts w:ascii="Calibri" w:eastAsia="Calibri" w:hAnsi="Calibri" w:cs="Calibri"/>
                <w:color w:val="000000" w:themeColor="text1"/>
                <w:lang w:val="es-ES_tradnl"/>
              </w:rPr>
            </w:pPr>
          </w:p>
        </w:tc>
      </w:tr>
      <w:tr w:rsidR="005B1925" w:rsidRPr="00FE4A1D" w14:paraId="469E60AD" w14:textId="77777777">
        <w:trPr>
          <w:trHeight w:val="360"/>
        </w:trPr>
        <w:tc>
          <w:tcPr>
            <w:tcW w:w="10610" w:type="dxa"/>
            <w:tcMar>
              <w:left w:w="108" w:type="dxa"/>
              <w:right w:w="108" w:type="dxa"/>
            </w:tcMar>
          </w:tcPr>
          <w:p w14:paraId="469E60A7" w14:textId="22CD50D6" w:rsidR="005B1925" w:rsidRPr="00FA327C" w:rsidRDefault="00824641">
            <w:pPr>
              <w:pStyle w:val="Textocomentario"/>
              <w:spacing w:after="0"/>
              <w:rPr>
                <w:sz w:val="22"/>
                <w:szCs w:val="22"/>
                <w:lang w:val="es-ES_tradnl"/>
              </w:rPr>
            </w:pPr>
            <w:r w:rsidRPr="00FA327C">
              <w:rPr>
                <w:b/>
                <w:bCs/>
                <w:lang w:val="es-ES_tradnl"/>
              </w:rPr>
              <w:t xml:space="preserve">Por último, ¿tiene su organización alguna sugerencia </w:t>
            </w:r>
            <w:r w:rsidR="00BC3B8A" w:rsidRPr="00FA327C">
              <w:rPr>
                <w:b/>
                <w:bCs/>
                <w:lang w:val="es-ES_tradnl"/>
              </w:rPr>
              <w:t xml:space="preserve">sobre </w:t>
            </w:r>
            <w:r w:rsidRPr="00FA327C">
              <w:rPr>
                <w:b/>
                <w:bCs/>
                <w:lang w:val="es-ES_tradnl"/>
              </w:rPr>
              <w:t>nuevos compromisos de los Jefes de Gobierno en relación con la financiación sostenible de las ENT y la salud mental?</w:t>
            </w:r>
          </w:p>
          <w:p w14:paraId="469E60A8" w14:textId="77777777" w:rsidR="005B1925" w:rsidRPr="00FA327C" w:rsidRDefault="005B1925">
            <w:pPr>
              <w:spacing w:after="0"/>
              <w:jc w:val="both"/>
              <w:rPr>
                <w:rFonts w:ascii="Calibri" w:eastAsia="Calibri" w:hAnsi="Calibri" w:cs="Calibri"/>
                <w:color w:val="000000" w:themeColor="text1"/>
                <w:lang w:val="es-ES_tradnl"/>
              </w:rPr>
            </w:pPr>
          </w:p>
          <w:p w14:paraId="469E60A9" w14:textId="77777777" w:rsidR="005B1925" w:rsidRPr="00FA327C" w:rsidRDefault="005B1925">
            <w:pPr>
              <w:spacing w:after="0"/>
              <w:jc w:val="both"/>
              <w:rPr>
                <w:rFonts w:ascii="Calibri" w:eastAsia="Calibri" w:hAnsi="Calibri" w:cs="Calibri"/>
                <w:color w:val="000000" w:themeColor="text1"/>
                <w:lang w:val="es-ES_tradnl"/>
              </w:rPr>
            </w:pPr>
          </w:p>
          <w:p w14:paraId="469E60AA" w14:textId="77777777" w:rsidR="005B1925" w:rsidRPr="00FA327C" w:rsidRDefault="005B1925">
            <w:pPr>
              <w:spacing w:after="0"/>
              <w:jc w:val="both"/>
              <w:rPr>
                <w:rFonts w:ascii="Calibri" w:eastAsia="Calibri" w:hAnsi="Calibri" w:cs="Calibri"/>
                <w:color w:val="000000" w:themeColor="text1"/>
                <w:lang w:val="es-ES_tradnl"/>
              </w:rPr>
            </w:pPr>
          </w:p>
          <w:p w14:paraId="469E60AB" w14:textId="77777777" w:rsidR="005B1925" w:rsidRPr="00FA327C" w:rsidRDefault="005B1925">
            <w:pPr>
              <w:spacing w:after="0"/>
              <w:jc w:val="both"/>
              <w:rPr>
                <w:lang w:val="es-ES_tradnl"/>
              </w:rPr>
            </w:pPr>
          </w:p>
          <w:p w14:paraId="469E60AC" w14:textId="77777777" w:rsidR="005B1925" w:rsidRPr="00FA327C" w:rsidRDefault="005B1925">
            <w:pPr>
              <w:spacing w:after="0"/>
              <w:jc w:val="both"/>
              <w:rPr>
                <w:lang w:val="es-ES_tradnl"/>
              </w:rPr>
            </w:pPr>
          </w:p>
        </w:tc>
      </w:tr>
    </w:tbl>
    <w:p w14:paraId="469E60AE" w14:textId="77777777" w:rsidR="005B1925" w:rsidRPr="00FA327C" w:rsidRDefault="005B1925">
      <w:pPr>
        <w:rPr>
          <w:lang w:val="es-ES_tradnl"/>
        </w:rPr>
      </w:pPr>
    </w:p>
    <w:p w14:paraId="469E60AF" w14:textId="52D88024" w:rsidR="005B1925" w:rsidRPr="00FA327C" w:rsidRDefault="00BC3B8A">
      <w:pPr>
        <w:spacing w:after="0" w:line="240" w:lineRule="auto"/>
        <w:rPr>
          <w:rFonts w:ascii="Times New Roman" w:eastAsia="Times New Roman" w:hAnsi="Times New Roman" w:cs="Times New Roman"/>
          <w:sz w:val="24"/>
          <w:szCs w:val="24"/>
          <w:lang w:val="es-ES_tradnl"/>
        </w:rPr>
      </w:pPr>
      <w:r w:rsidRPr="00FA327C">
        <w:rPr>
          <w:b/>
          <w:bCs/>
          <w:lang w:val="es-ES_tradnl"/>
        </w:rPr>
        <w:lastRenderedPageBreak/>
        <w:t>Por favor, e</w:t>
      </w:r>
      <w:r w:rsidR="00824641" w:rsidRPr="00FA327C">
        <w:rPr>
          <w:b/>
          <w:bCs/>
          <w:lang w:val="es-ES_tradnl"/>
        </w:rPr>
        <w:t xml:space="preserve">nvíe este formulario </w:t>
      </w:r>
      <w:r w:rsidRPr="00FA327C">
        <w:rPr>
          <w:b/>
          <w:bCs/>
          <w:lang w:val="es-ES_tradnl"/>
        </w:rPr>
        <w:t>complet</w:t>
      </w:r>
      <w:r w:rsidR="009B38C5" w:rsidRPr="00FA327C">
        <w:rPr>
          <w:b/>
          <w:bCs/>
          <w:lang w:val="es-ES_tradnl"/>
        </w:rPr>
        <w:t>ad</w:t>
      </w:r>
      <w:r w:rsidRPr="00FA327C">
        <w:rPr>
          <w:b/>
          <w:bCs/>
          <w:lang w:val="es-ES_tradnl"/>
        </w:rPr>
        <w:t xml:space="preserve">o </w:t>
      </w:r>
      <w:r w:rsidR="00824641" w:rsidRPr="00FA327C">
        <w:rPr>
          <w:b/>
          <w:bCs/>
          <w:lang w:val="es-ES_tradnl"/>
        </w:rPr>
        <w:t xml:space="preserve">a </w:t>
      </w:r>
      <w:hyperlink r:id="rId5" w:history="1">
        <w:r w:rsidR="00824641" w:rsidRPr="00FA327C">
          <w:rPr>
            <w:rStyle w:val="Hipervnculo"/>
            <w:b/>
            <w:bCs/>
            <w:lang w:val="es-ES_tradnl"/>
          </w:rPr>
          <w:t>OnTheRoadTo2025@who.int</w:t>
        </w:r>
      </w:hyperlink>
      <w:r w:rsidR="00824641" w:rsidRPr="00FA327C">
        <w:rPr>
          <w:b/>
          <w:bCs/>
          <w:lang w:val="es-ES_tradnl"/>
        </w:rPr>
        <w:t xml:space="preserve"> entre el 1 y el 26 de mayo del 2024.</w:t>
      </w:r>
    </w:p>
    <w:sectPr w:rsidR="005B1925" w:rsidRPr="00FA327C">
      <w:pgSz w:w="11906" w:h="16838"/>
      <w:pgMar w:top="568"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095E"/>
    <w:multiLevelType w:val="hybridMultilevel"/>
    <w:tmpl w:val="0F42D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16B54"/>
    <w:multiLevelType w:val="multilevel"/>
    <w:tmpl w:val="76C4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83DF9"/>
    <w:multiLevelType w:val="hybridMultilevel"/>
    <w:tmpl w:val="C64CC426"/>
    <w:lvl w:ilvl="0" w:tplc="A2E6B99E">
      <w:start w:val="1"/>
      <w:numFmt w:val="bullet"/>
      <w:lvlText w:val=""/>
      <w:lvlJc w:val="left"/>
      <w:pPr>
        <w:ind w:left="720" w:hanging="360"/>
      </w:pPr>
      <w:rPr>
        <w:rFonts w:ascii="Symbol" w:hAnsi="Symbol" w:hint="default"/>
      </w:rPr>
    </w:lvl>
    <w:lvl w:ilvl="1" w:tplc="8CC874C6">
      <w:start w:val="1"/>
      <w:numFmt w:val="bullet"/>
      <w:lvlText w:val="o"/>
      <w:lvlJc w:val="left"/>
      <w:pPr>
        <w:ind w:left="1440" w:hanging="360"/>
      </w:pPr>
      <w:rPr>
        <w:rFonts w:ascii="Courier New" w:hAnsi="Courier New" w:hint="default"/>
      </w:rPr>
    </w:lvl>
    <w:lvl w:ilvl="2" w:tplc="409E4338">
      <w:start w:val="1"/>
      <w:numFmt w:val="bullet"/>
      <w:lvlText w:val=""/>
      <w:lvlJc w:val="left"/>
      <w:pPr>
        <w:ind w:left="2160" w:hanging="360"/>
      </w:pPr>
      <w:rPr>
        <w:rFonts w:ascii="Wingdings" w:hAnsi="Wingdings" w:hint="default"/>
      </w:rPr>
    </w:lvl>
    <w:lvl w:ilvl="3" w:tplc="241CA702">
      <w:start w:val="1"/>
      <w:numFmt w:val="bullet"/>
      <w:lvlText w:val=""/>
      <w:lvlJc w:val="left"/>
      <w:pPr>
        <w:ind w:left="2880" w:hanging="360"/>
      </w:pPr>
      <w:rPr>
        <w:rFonts w:ascii="Symbol" w:hAnsi="Symbol" w:hint="default"/>
      </w:rPr>
    </w:lvl>
    <w:lvl w:ilvl="4" w:tplc="933AC232">
      <w:start w:val="1"/>
      <w:numFmt w:val="bullet"/>
      <w:lvlText w:val="o"/>
      <w:lvlJc w:val="left"/>
      <w:pPr>
        <w:ind w:left="3600" w:hanging="360"/>
      </w:pPr>
      <w:rPr>
        <w:rFonts w:ascii="Courier New" w:hAnsi="Courier New" w:hint="default"/>
      </w:rPr>
    </w:lvl>
    <w:lvl w:ilvl="5" w:tplc="6C6001CC">
      <w:start w:val="1"/>
      <w:numFmt w:val="bullet"/>
      <w:lvlText w:val=""/>
      <w:lvlJc w:val="left"/>
      <w:pPr>
        <w:ind w:left="4320" w:hanging="360"/>
      </w:pPr>
      <w:rPr>
        <w:rFonts w:ascii="Wingdings" w:hAnsi="Wingdings" w:hint="default"/>
      </w:rPr>
    </w:lvl>
    <w:lvl w:ilvl="6" w:tplc="33EC70E4">
      <w:start w:val="1"/>
      <w:numFmt w:val="bullet"/>
      <w:lvlText w:val=""/>
      <w:lvlJc w:val="left"/>
      <w:pPr>
        <w:ind w:left="5040" w:hanging="360"/>
      </w:pPr>
      <w:rPr>
        <w:rFonts w:ascii="Symbol" w:hAnsi="Symbol" w:hint="default"/>
      </w:rPr>
    </w:lvl>
    <w:lvl w:ilvl="7" w:tplc="41188780">
      <w:start w:val="1"/>
      <w:numFmt w:val="bullet"/>
      <w:lvlText w:val="o"/>
      <w:lvlJc w:val="left"/>
      <w:pPr>
        <w:ind w:left="5760" w:hanging="360"/>
      </w:pPr>
      <w:rPr>
        <w:rFonts w:ascii="Courier New" w:hAnsi="Courier New" w:hint="default"/>
      </w:rPr>
    </w:lvl>
    <w:lvl w:ilvl="8" w:tplc="D2B03128">
      <w:start w:val="1"/>
      <w:numFmt w:val="bullet"/>
      <w:lvlText w:val=""/>
      <w:lvlJc w:val="left"/>
      <w:pPr>
        <w:ind w:left="6480" w:hanging="360"/>
      </w:pPr>
      <w:rPr>
        <w:rFonts w:ascii="Wingdings" w:hAnsi="Wingdings" w:hint="default"/>
      </w:rPr>
    </w:lvl>
  </w:abstractNum>
  <w:abstractNum w:abstractNumId="3" w15:restartNumberingAfterBreak="0">
    <w:nsid w:val="4C633446"/>
    <w:multiLevelType w:val="multilevel"/>
    <w:tmpl w:val="39C6A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4291906">
    <w:abstractNumId w:val="2"/>
  </w:num>
  <w:num w:numId="2" w16cid:durableId="1658802470">
    <w:abstractNumId w:val="3"/>
  </w:num>
  <w:num w:numId="3" w16cid:durableId="1421753697">
    <w:abstractNumId w:val="1"/>
  </w:num>
  <w:num w:numId="4" w16cid:durableId="131047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25"/>
    <w:rsid w:val="001A684B"/>
    <w:rsid w:val="005B1925"/>
    <w:rsid w:val="00703CD8"/>
    <w:rsid w:val="00824641"/>
    <w:rsid w:val="009B1838"/>
    <w:rsid w:val="009B38C5"/>
    <w:rsid w:val="00A86D56"/>
    <w:rsid w:val="00BC3B8A"/>
    <w:rsid w:val="00C027A5"/>
    <w:rsid w:val="00C9182C"/>
    <w:rsid w:val="00F933B7"/>
    <w:rsid w:val="00FA327C"/>
    <w:rsid w:val="00FE4A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6040"/>
  <w15:chartTrackingRefBased/>
  <w15:docId w15:val="{845F90BA-395D-A244-B35F-E95D2058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paragraph" w:styleId="Ttulo1">
    <w:name w:val="heading 1"/>
    <w:basedOn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lang w:val="en-US"/>
    </w:rPr>
  </w:style>
  <w:style w:type="table" w:styleId="Tablaconcuadrcula">
    <w:name w:val="Table Grid"/>
    <w:basedOn w:val="Tablanormal"/>
    <w:uiPriority w:val="3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lang w:val="en-US"/>
    </w:rPr>
  </w:style>
  <w:style w:type="character" w:customStyle="1" w:styleId="normaltextrun">
    <w:name w:val="normaltextrun"/>
    <w:basedOn w:val="Fuentedeprrafopredeter"/>
  </w:style>
  <w:style w:type="character" w:customStyle="1" w:styleId="eop">
    <w:name w:val="eop"/>
    <w:basedOn w:val="Fuentedeprrafopredete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u w:val="single"/>
    </w:rPr>
  </w:style>
  <w:style w:type="character" w:styleId="Refdenotaalpie">
    <w:name w:val="footnote reference"/>
    <w:uiPriority w:val="99"/>
    <w:semiHidden/>
    <w:unhideWhenUsed/>
    <w:rsid w:val="00771AA4"/>
    <w:rPr>
      <w:vertAlign w:val="superscript"/>
    </w:rPr>
  </w:style>
  <w:style w:type="character" w:styleId="Mencinsinresolver">
    <w:name w:val="Unresolved Mention"/>
    <w:basedOn w:val="Fuentedeprrafopredeter"/>
    <w:uiPriority w:val="99"/>
    <w:semiHidden/>
    <w:unhideWhenUsed/>
    <w:rsid w:val="00824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15709">
      <w:bodyDiv w:val="1"/>
      <w:marLeft w:val="0"/>
      <w:marRight w:val="0"/>
      <w:marTop w:val="0"/>
      <w:marBottom w:val="0"/>
      <w:divBdr>
        <w:top w:val="none" w:sz="0" w:space="0" w:color="auto"/>
        <w:left w:val="none" w:sz="0" w:space="0" w:color="auto"/>
        <w:bottom w:val="none" w:sz="0" w:space="0" w:color="auto"/>
        <w:right w:val="none" w:sz="0" w:space="0" w:color="auto"/>
      </w:divBdr>
    </w:div>
    <w:div w:id="1113134940">
      <w:bodyDiv w:val="1"/>
      <w:marLeft w:val="0"/>
      <w:marRight w:val="0"/>
      <w:marTop w:val="0"/>
      <w:marBottom w:val="0"/>
      <w:divBdr>
        <w:top w:val="none" w:sz="0" w:space="0" w:color="auto"/>
        <w:left w:val="none" w:sz="0" w:space="0" w:color="auto"/>
        <w:bottom w:val="none" w:sz="0" w:space="0" w:color="auto"/>
        <w:right w:val="none" w:sz="0" w:space="0" w:color="auto"/>
      </w:divBdr>
    </w:div>
    <w:div w:id="1438941032">
      <w:bodyDiv w:val="1"/>
      <w:marLeft w:val="0"/>
      <w:marRight w:val="0"/>
      <w:marTop w:val="0"/>
      <w:marBottom w:val="0"/>
      <w:divBdr>
        <w:top w:val="none" w:sz="0" w:space="0" w:color="auto"/>
        <w:left w:val="none" w:sz="0" w:space="0" w:color="auto"/>
        <w:bottom w:val="none" w:sz="0" w:space="0" w:color="auto"/>
        <w:right w:val="none" w:sz="0" w:space="0" w:color="auto"/>
      </w:divBdr>
    </w:div>
    <w:div w:id="19234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nTheRoadTo2025@who.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bagaria</dc:creator>
  <cp:keywords/>
  <dc:description/>
  <cp:lastModifiedBy>Cayon, Ms. Arantxa (WDC)</cp:lastModifiedBy>
  <cp:revision>2</cp:revision>
  <dcterms:created xsi:type="dcterms:W3CDTF">2024-06-10T15:17:00Z</dcterms:created>
  <dcterms:modified xsi:type="dcterms:W3CDTF">2024-06-10T15:17:00Z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Miguel.Sevener.Canals</vt:lpwstr>
  </property>
  <property fmtid="{D5CDD505-2E9C-101B-9397-08002B2CF9AE}" pid="4" name="GeneratedDate">
    <vt:lpwstr>06/06/2024 09:44:36</vt:lpwstr>
  </property>
  <property fmtid="{D5CDD505-2E9C-101B-9397-08002B2CF9AE}" pid="5" name="OriginalDocID">
    <vt:lpwstr>2c2a0fef-1817-4f73-92ef-cf2f42987c70</vt:lpwstr>
  </property>
</Properties>
</file>