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98C6B" w14:textId="0D76BBBC" w:rsidR="003C64B3" w:rsidRPr="00D53CB2" w:rsidRDefault="00AC1A72">
      <w:pPr>
        <w:shd w:val="clear" w:color="auto" w:fill="FFFFFF"/>
        <w:spacing w:line="240" w:lineRule="auto"/>
        <w:jc w:val="center"/>
        <w:rPr>
          <w:rFonts w:ascii="Source Sans Pro" w:hAnsi="Source Sans Pro" w:cs="Noto Sans"/>
          <w:b/>
          <w:bCs/>
          <w:color w:val="3C4245"/>
          <w:sz w:val="21"/>
          <w:szCs w:val="21"/>
          <w:lang w:val="es-ES_tradnl"/>
        </w:rPr>
      </w:pPr>
      <w:r w:rsidRPr="00D53CB2">
        <w:rPr>
          <w:rFonts w:ascii="Source Sans Pro" w:hAnsi="Source Sans Pro" w:cs="Noto Sans"/>
          <w:b/>
          <w:bCs/>
          <w:color w:val="3C4245"/>
          <w:sz w:val="21"/>
          <w:szCs w:val="21"/>
          <w:lang w:val="es-ES_tradnl"/>
        </w:rPr>
        <w:t xml:space="preserve">Cuarta </w:t>
      </w:r>
      <w:r w:rsidR="00881DE8" w:rsidRPr="00D53CB2">
        <w:rPr>
          <w:rFonts w:ascii="Source Sans Pro" w:hAnsi="Source Sans Pro" w:cs="Noto Sans"/>
          <w:b/>
          <w:bCs/>
          <w:color w:val="3C4245"/>
          <w:sz w:val="21"/>
          <w:szCs w:val="21"/>
          <w:lang w:val="es-ES_tradnl"/>
        </w:rPr>
        <w:t xml:space="preserve">Reunión de Alto Nivel </w:t>
      </w:r>
      <w:r w:rsidRPr="00D53CB2">
        <w:rPr>
          <w:rFonts w:ascii="Source Sans Pro" w:hAnsi="Source Sans Pro" w:cs="Noto Sans"/>
          <w:b/>
          <w:bCs/>
          <w:color w:val="3C4245"/>
          <w:sz w:val="21"/>
          <w:szCs w:val="21"/>
          <w:lang w:val="es-ES_tradnl"/>
        </w:rPr>
        <w:t xml:space="preserve">de la Asamblea General de las Naciones Unidas </w:t>
      </w:r>
      <w:r w:rsidR="00881DE8" w:rsidRPr="00D53CB2">
        <w:rPr>
          <w:rFonts w:ascii="Source Sans Pro" w:hAnsi="Source Sans Pro" w:cs="Noto Sans"/>
          <w:b/>
          <w:bCs/>
          <w:color w:val="3C4245"/>
          <w:sz w:val="21"/>
          <w:szCs w:val="21"/>
          <w:lang w:val="es-ES_tradnl"/>
        </w:rPr>
        <w:br/>
      </w:r>
      <w:r w:rsidRPr="00D53CB2">
        <w:rPr>
          <w:rFonts w:ascii="Source Sans Pro" w:hAnsi="Source Sans Pro" w:cs="Noto Sans"/>
          <w:b/>
          <w:bCs/>
          <w:color w:val="3C4245"/>
          <w:sz w:val="21"/>
          <w:szCs w:val="21"/>
          <w:lang w:val="es-ES_tradnl"/>
        </w:rPr>
        <w:t xml:space="preserve">sobre la </w:t>
      </w:r>
      <w:r w:rsidR="00881DE8" w:rsidRPr="00D53CB2">
        <w:rPr>
          <w:rFonts w:ascii="Source Sans Pro" w:hAnsi="Source Sans Pro" w:cs="Noto Sans"/>
          <w:b/>
          <w:bCs/>
          <w:color w:val="3C4245"/>
          <w:sz w:val="21"/>
          <w:szCs w:val="21"/>
          <w:lang w:val="es-ES_tradnl"/>
        </w:rPr>
        <w:t>Prevención y el Control de las Enfermedades No Transmisibles</w:t>
      </w:r>
    </w:p>
    <w:p w14:paraId="69698C6C" w14:textId="77777777" w:rsidR="003C64B3" w:rsidRPr="00D53CB2" w:rsidRDefault="00AC1A72">
      <w:pPr>
        <w:shd w:val="clear" w:color="auto" w:fill="FFFFFF"/>
        <w:spacing w:after="0" w:line="240" w:lineRule="auto"/>
        <w:jc w:val="center"/>
        <w:rPr>
          <w:rFonts w:ascii="Source Sans Pro" w:hAnsi="Source Sans Pro" w:cs="Noto Sans"/>
          <w:b/>
          <w:bCs/>
          <w:color w:val="2F5496" w:themeColor="accent1" w:themeShade="BF"/>
          <w:sz w:val="23"/>
          <w:szCs w:val="23"/>
          <w:lang w:val="es-ES_tradnl"/>
        </w:rPr>
      </w:pPr>
      <w:r w:rsidRPr="00D53CB2">
        <w:rPr>
          <w:rFonts w:ascii="Source Sans Pro" w:hAnsi="Source Sans Pro" w:cs="Noto Sans"/>
          <w:b/>
          <w:bCs/>
          <w:color w:val="2F5496" w:themeColor="accent1" w:themeShade="BF"/>
          <w:sz w:val="23"/>
          <w:szCs w:val="23"/>
          <w:lang w:val="es-ES_tradnl"/>
        </w:rPr>
        <w:t>Consulta en línea: primera fase (del 1 al 26 de mayo del 2024)</w:t>
      </w:r>
    </w:p>
    <w:p w14:paraId="69698C6D" w14:textId="76449BA1" w:rsidR="003C64B3" w:rsidRPr="00D53CB2" w:rsidRDefault="00AC1A72" w:rsidP="00C00684">
      <w:pPr>
        <w:shd w:val="clear" w:color="auto" w:fill="FFFFFF"/>
        <w:spacing w:after="120" w:line="240" w:lineRule="auto"/>
        <w:jc w:val="center"/>
        <w:rPr>
          <w:color w:val="2F5496" w:themeColor="accent1" w:themeShade="BF"/>
          <w:sz w:val="23"/>
          <w:szCs w:val="23"/>
          <w:lang w:val="es-ES_tradnl"/>
        </w:rPr>
      </w:pPr>
      <w:r w:rsidRPr="00D53CB2">
        <w:rPr>
          <w:rFonts w:ascii="Source Sans Pro" w:hAnsi="Source Sans Pro" w:cs="Noto Sans"/>
          <w:b/>
          <w:bCs/>
          <w:color w:val="2F5496" w:themeColor="accent1" w:themeShade="BF"/>
          <w:sz w:val="23"/>
          <w:szCs w:val="23"/>
          <w:lang w:val="es-ES_tradnl"/>
        </w:rPr>
        <w:t xml:space="preserve">Observaciones generales sobre las </w:t>
      </w:r>
      <w:r w:rsidR="009577F2" w:rsidRPr="00D53CB2">
        <w:rPr>
          <w:rFonts w:ascii="Source Sans Pro" w:hAnsi="Source Sans Pro" w:cs="Noto Sans"/>
          <w:b/>
          <w:bCs/>
          <w:color w:val="2F5496" w:themeColor="accent1" w:themeShade="BF"/>
          <w:sz w:val="23"/>
          <w:szCs w:val="23"/>
          <w:lang w:val="es-ES_tradnl"/>
        </w:rPr>
        <w:t>áreas</w:t>
      </w:r>
      <w:r w:rsidRPr="00D53CB2">
        <w:rPr>
          <w:rFonts w:ascii="Source Sans Pro" w:hAnsi="Source Sans Pro" w:cs="Noto Sans"/>
          <w:b/>
          <w:bCs/>
          <w:color w:val="2F5496" w:themeColor="accent1" w:themeShade="BF"/>
          <w:sz w:val="23"/>
          <w:szCs w:val="23"/>
          <w:lang w:val="es-ES_tradnl"/>
        </w:rPr>
        <w:t xml:space="preserve"> prioritarias clave en el informe del Director General de la OMS </w:t>
      </w:r>
    </w:p>
    <w:p w14:paraId="69698C6E" w14:textId="77777777" w:rsidR="003C64B3" w:rsidRPr="00D53CB2" w:rsidRDefault="00AC1A72">
      <w:pPr>
        <w:shd w:val="clear" w:color="auto" w:fill="FFFFFF"/>
        <w:rPr>
          <w:rStyle w:val="Textoennegrita"/>
          <w:rFonts w:ascii="Source Sans Pro" w:hAnsi="Source Sans Pro" w:cstheme="minorHAnsi"/>
          <w:shd w:val="clear" w:color="auto" w:fill="FFFFFF"/>
          <w:lang w:val="es-ES_tradnl"/>
        </w:rPr>
      </w:pPr>
      <w:r w:rsidRPr="00D53CB2">
        <w:rPr>
          <w:b/>
          <w:bCs/>
          <w:lang w:val="es-ES_tradnl"/>
        </w:rPr>
        <w:t>Instrucciones</w:t>
      </w:r>
    </w:p>
    <w:p w14:paraId="69698C6F" w14:textId="7A258643" w:rsidR="003C64B3" w:rsidRPr="00D53CB2" w:rsidRDefault="00AC1A72">
      <w:pPr>
        <w:shd w:val="clear" w:color="auto" w:fill="FFFFFF"/>
        <w:rPr>
          <w:rStyle w:val="normaltextrun"/>
          <w:rFonts w:ascii="Source Sans Pro" w:hAnsi="Source Sans Pro" w:cs="Calibri"/>
          <w:color w:val="000000"/>
          <w:shd w:val="clear" w:color="auto" w:fill="FFFFFF"/>
          <w:lang w:val="es-ES_tradnl"/>
        </w:rPr>
      </w:pPr>
      <w:r w:rsidRPr="00D53CB2">
        <w:rPr>
          <w:rFonts w:ascii="Source Sans Pro" w:hAnsi="Source Sans Pro"/>
          <w:lang w:val="es-ES_tradnl"/>
        </w:rPr>
        <w:t>E</w:t>
      </w:r>
      <w:r w:rsidR="00881DE8" w:rsidRPr="00D53CB2">
        <w:rPr>
          <w:rFonts w:ascii="Source Sans Pro" w:hAnsi="Source Sans Pro"/>
          <w:lang w:val="es-ES_tradnl"/>
        </w:rPr>
        <w:t>n e</w:t>
      </w:r>
      <w:r w:rsidRPr="00D53CB2">
        <w:rPr>
          <w:rFonts w:ascii="Source Sans Pro" w:hAnsi="Source Sans Pro"/>
          <w:lang w:val="es-ES_tradnl"/>
        </w:rPr>
        <w:t xml:space="preserve">l </w:t>
      </w:r>
      <w:hyperlink r:id="rId4" w:anchor="page=23" w:history="1">
        <w:r w:rsidRPr="00D53CB2">
          <w:rPr>
            <w:rStyle w:val="Hipervnculo"/>
            <w:rFonts w:ascii="Source Sans Pro" w:hAnsi="Source Sans Pro"/>
            <w:i/>
            <w:iCs/>
            <w:lang w:val="es-ES_tradnl"/>
          </w:rPr>
          <w:t>Plan de acción mundial para la prevención y el control de las enfermedades no transmisibles 2013</w:t>
        </w:r>
        <w:r w:rsidRPr="00D53CB2">
          <w:rPr>
            <w:rStyle w:val="Hipervnculo"/>
            <w:rFonts w:ascii="Source Sans Pro" w:hAnsi="Source Sans Pro"/>
            <w:i/>
            <w:iCs/>
            <w:lang w:val="es-ES_tradnl"/>
          </w:rPr>
          <w:noBreakHyphen/>
          <w:t>20</w:t>
        </w:r>
        <w:r w:rsidR="004856D0" w:rsidRPr="00D53CB2">
          <w:rPr>
            <w:rStyle w:val="Hipervnculo"/>
            <w:rFonts w:ascii="Source Sans Pro" w:hAnsi="Source Sans Pro"/>
            <w:i/>
            <w:iCs/>
            <w:lang w:val="es-ES_tradnl"/>
          </w:rPr>
          <w:t>3</w:t>
        </w:r>
        <w:r w:rsidRPr="00D53CB2">
          <w:rPr>
            <w:rStyle w:val="Hipervnculo"/>
            <w:rFonts w:ascii="Source Sans Pro" w:hAnsi="Source Sans Pro"/>
            <w:i/>
            <w:iCs/>
            <w:lang w:val="es-ES_tradnl"/>
          </w:rPr>
          <w:t>0</w:t>
        </w:r>
      </w:hyperlink>
      <w:r w:rsidR="00881DE8" w:rsidRPr="00D53CB2">
        <w:rPr>
          <w:rFonts w:ascii="Source Sans Pro" w:hAnsi="Source Sans Pro"/>
          <w:i/>
          <w:iCs/>
          <w:lang w:val="es-ES_tradnl"/>
        </w:rPr>
        <w:t xml:space="preserve"> </w:t>
      </w:r>
      <w:r w:rsidR="00881DE8" w:rsidRPr="00D53CB2">
        <w:rPr>
          <w:rFonts w:ascii="Source Sans Pro" w:hAnsi="Source Sans Pro"/>
          <w:lang w:val="es-ES_tradnl"/>
        </w:rPr>
        <w:t>se prop</w:t>
      </w:r>
      <w:r w:rsidRPr="00D53CB2">
        <w:rPr>
          <w:rFonts w:ascii="Source Sans Pro" w:hAnsi="Source Sans Pro"/>
          <w:lang w:val="es-ES_tradnl"/>
        </w:rPr>
        <w:t xml:space="preserve">orciona una hoja de ruta y un conjunto de opciones de política para que todos los Estados Miembros y partes interesadas adopten medidas coordinadas y coherentes, a todos los niveles, desde el local hasta el mundial, para alcanzar las nueve metas mundiales de aplicación voluntaria. Para acelerar el progreso en materia de prevención y control de las </w:t>
      </w:r>
      <w:r w:rsidR="00881DE8" w:rsidRPr="00D53CB2">
        <w:rPr>
          <w:rFonts w:ascii="Source Sans Pro" w:hAnsi="Source Sans Pro"/>
          <w:lang w:val="es-ES_tradnl"/>
        </w:rPr>
        <w:t>enfermedades no transmisibles (EN</w:t>
      </w:r>
      <w:r w:rsidRPr="00D53CB2">
        <w:rPr>
          <w:rFonts w:ascii="Source Sans Pro" w:hAnsi="Source Sans Pro"/>
          <w:lang w:val="es-ES_tradnl"/>
        </w:rPr>
        <w:t>T</w:t>
      </w:r>
      <w:r w:rsidR="00881DE8" w:rsidRPr="00D53CB2">
        <w:rPr>
          <w:rFonts w:ascii="Source Sans Pro" w:hAnsi="Source Sans Pro"/>
          <w:lang w:val="es-ES_tradnl"/>
        </w:rPr>
        <w:t>)</w:t>
      </w:r>
      <w:r w:rsidRPr="00D53CB2">
        <w:rPr>
          <w:rFonts w:ascii="Source Sans Pro" w:hAnsi="Source Sans Pro"/>
          <w:lang w:val="es-ES_tradnl"/>
        </w:rPr>
        <w:t>, así como en materia de salud mental y bienestar, se</w:t>
      </w:r>
      <w:r w:rsidR="00881DE8" w:rsidRPr="00D53CB2">
        <w:rPr>
          <w:rFonts w:ascii="Source Sans Pro" w:hAnsi="Source Sans Pro"/>
          <w:lang w:val="es-ES_tradnl"/>
        </w:rPr>
        <w:t xml:space="preserve"> necesitarán medidas</w:t>
      </w:r>
      <w:r w:rsidRPr="00D53CB2">
        <w:rPr>
          <w:rFonts w:ascii="Source Sans Pro" w:hAnsi="Source Sans Pro"/>
          <w:lang w:val="es-ES_tradnl"/>
        </w:rPr>
        <w:t xml:space="preserve"> específica</w:t>
      </w:r>
      <w:r w:rsidR="00881DE8" w:rsidRPr="00D53CB2">
        <w:rPr>
          <w:rFonts w:ascii="Source Sans Pro" w:hAnsi="Source Sans Pro"/>
          <w:lang w:val="es-ES_tradnl"/>
        </w:rPr>
        <w:t>s</w:t>
      </w:r>
      <w:r w:rsidRPr="00D53CB2">
        <w:rPr>
          <w:rFonts w:ascii="Source Sans Pro" w:hAnsi="Source Sans Pro"/>
          <w:lang w:val="es-ES_tradnl"/>
        </w:rPr>
        <w:t xml:space="preserve"> y colaborativa</w:t>
      </w:r>
      <w:r w:rsidR="00881DE8" w:rsidRPr="00D53CB2">
        <w:rPr>
          <w:rFonts w:ascii="Source Sans Pro" w:hAnsi="Source Sans Pro"/>
          <w:lang w:val="es-ES_tradnl"/>
        </w:rPr>
        <w:t>s</w:t>
      </w:r>
      <w:r w:rsidRPr="00D53CB2">
        <w:rPr>
          <w:rFonts w:ascii="Source Sans Pro" w:hAnsi="Source Sans Pro"/>
          <w:lang w:val="es-ES_tradnl"/>
        </w:rPr>
        <w:t xml:space="preserve"> en torno a los seis objetivos del </w:t>
      </w:r>
      <w:r w:rsidR="00881DE8" w:rsidRPr="00D53CB2">
        <w:rPr>
          <w:rFonts w:ascii="Source Sans Pro" w:hAnsi="Source Sans Pro"/>
          <w:lang w:val="es-ES_tradnl"/>
        </w:rPr>
        <w:t>plan de acción mundial</w:t>
      </w:r>
      <w:r w:rsidRPr="00D53CB2">
        <w:rPr>
          <w:rFonts w:ascii="Source Sans Pro" w:hAnsi="Source Sans Pro"/>
          <w:lang w:val="es-ES_tradnl"/>
        </w:rPr>
        <w:t>. Además, será necesario incorporar un enfoque para reducir la contaminación del aire y promover la salud mental como parte de la "agenda</w:t>
      </w:r>
      <w:r w:rsidR="00F379B9" w:rsidRPr="00D53CB2">
        <w:rPr>
          <w:rFonts w:ascii="Source Sans Pro" w:hAnsi="Source Sans Pro"/>
          <w:lang w:val="es-ES_tradnl"/>
        </w:rPr>
        <w:t> </w:t>
      </w:r>
      <w:r w:rsidRPr="00D53CB2">
        <w:rPr>
          <w:rFonts w:ascii="Source Sans Pro" w:hAnsi="Source Sans Pro"/>
          <w:lang w:val="es-ES_tradnl"/>
        </w:rPr>
        <w:t xml:space="preserve">5x5 para las ENT", respaldada por la </w:t>
      </w:r>
      <w:r w:rsidR="00881DE8" w:rsidRPr="00D53CB2">
        <w:rPr>
          <w:rFonts w:ascii="Source Sans Pro" w:hAnsi="Source Sans Pro"/>
          <w:i/>
          <w:iCs/>
          <w:lang w:val="es-ES_tradnl"/>
        </w:rPr>
        <w:t>D</w:t>
      </w:r>
      <w:r w:rsidRPr="00D53CB2">
        <w:rPr>
          <w:rFonts w:ascii="Source Sans Pro" w:hAnsi="Source Sans Pro"/>
          <w:i/>
          <w:iCs/>
          <w:lang w:val="es-ES_tradnl"/>
        </w:rPr>
        <w:t xml:space="preserve">eclaración política de la </w:t>
      </w:r>
      <w:r w:rsidR="00881DE8" w:rsidRPr="00D53CB2">
        <w:rPr>
          <w:rFonts w:ascii="Source Sans Pro" w:hAnsi="Source Sans Pro"/>
          <w:i/>
          <w:iCs/>
          <w:lang w:val="es-ES_tradnl"/>
        </w:rPr>
        <w:t xml:space="preserve">Tercera Reunión de Alto Nivel de la Asamblea General sobre la Prevención y el Control de las </w:t>
      </w:r>
      <w:r w:rsidRPr="00D53CB2">
        <w:rPr>
          <w:rFonts w:ascii="Source Sans Pro" w:hAnsi="Source Sans Pro"/>
          <w:i/>
          <w:iCs/>
          <w:lang w:val="es-ES_tradnl"/>
        </w:rPr>
        <w:t>ENT</w:t>
      </w:r>
      <w:r w:rsidRPr="00D53CB2">
        <w:rPr>
          <w:rFonts w:ascii="Source Sans Pro" w:hAnsi="Source Sans Pro"/>
          <w:lang w:val="es-ES_tradnl"/>
        </w:rPr>
        <w:t>, celebrada en el 2018.</w:t>
      </w:r>
    </w:p>
    <w:p w14:paraId="53170258" w14:textId="77777777" w:rsidR="00B671F7" w:rsidRDefault="00AC1A72">
      <w:pPr>
        <w:shd w:val="clear" w:color="auto" w:fill="FFFFFF" w:themeFill="background1"/>
        <w:spacing w:after="240" w:line="240" w:lineRule="auto"/>
        <w:rPr>
          <w:rStyle w:val="Textoennegrita"/>
          <w:rFonts w:ascii="Source Sans Pro" w:hAnsi="Source Sans Pro" w:cstheme="minorHAnsi"/>
          <w:shd w:val="clear" w:color="auto" w:fill="FFFFFF"/>
          <w:lang w:val="es-ES_tradnl"/>
        </w:rPr>
      </w:pPr>
      <w:r w:rsidRPr="00D53CB2">
        <w:rPr>
          <w:rStyle w:val="Textoennegrita"/>
          <w:rFonts w:ascii="Source Sans Pro" w:hAnsi="Source Sans Pro" w:cstheme="minorHAnsi"/>
          <w:shd w:val="clear" w:color="auto" w:fill="FFFFFF"/>
          <w:lang w:val="es-ES_tradnl"/>
        </w:rPr>
        <w:t xml:space="preserve">Utilice el cuadro a continuación para </w:t>
      </w:r>
      <w:r w:rsidR="00F379B9" w:rsidRPr="00D53CB2">
        <w:rPr>
          <w:rStyle w:val="Textoennegrita"/>
          <w:rFonts w:ascii="Source Sans Pro" w:hAnsi="Source Sans Pro" w:cstheme="minorHAnsi"/>
          <w:shd w:val="clear" w:color="auto" w:fill="FFFFFF"/>
          <w:lang w:val="es-ES_tradnl"/>
        </w:rPr>
        <w:t>proporcionar</w:t>
      </w:r>
      <w:r w:rsidRPr="00D53CB2">
        <w:rPr>
          <w:rStyle w:val="Textoennegrita"/>
          <w:rFonts w:ascii="Source Sans Pro" w:hAnsi="Source Sans Pro" w:cstheme="minorHAnsi"/>
          <w:shd w:val="clear" w:color="auto" w:fill="FFFFFF"/>
          <w:lang w:val="es-ES_tradnl"/>
        </w:rPr>
        <w:t xml:space="preserve"> observaciones sobre las </w:t>
      </w:r>
      <w:r w:rsidR="009577F2" w:rsidRPr="00D53CB2">
        <w:rPr>
          <w:rStyle w:val="Textoennegrita"/>
          <w:rFonts w:ascii="Source Sans Pro" w:hAnsi="Source Sans Pro" w:cstheme="minorHAnsi"/>
          <w:shd w:val="clear" w:color="auto" w:fill="FFFFFF"/>
          <w:lang w:val="es-ES_tradnl"/>
        </w:rPr>
        <w:t>áreas</w:t>
      </w:r>
      <w:r w:rsidRPr="00D53CB2">
        <w:rPr>
          <w:rStyle w:val="Textoennegrita"/>
          <w:rFonts w:ascii="Source Sans Pro" w:hAnsi="Source Sans Pro" w:cstheme="minorHAnsi"/>
          <w:shd w:val="clear" w:color="auto" w:fill="FFFFFF"/>
          <w:lang w:val="es-ES_tradnl"/>
        </w:rPr>
        <w:t xml:space="preserve"> prioritarias clave de cada objetivo que p</w:t>
      </w:r>
      <w:r w:rsidR="00881DE8" w:rsidRPr="00D53CB2">
        <w:rPr>
          <w:rStyle w:val="Textoennegrita"/>
          <w:rFonts w:ascii="Source Sans Pro" w:hAnsi="Source Sans Pro" w:cstheme="minorHAnsi"/>
          <w:shd w:val="clear" w:color="auto" w:fill="FFFFFF"/>
          <w:lang w:val="es-ES_tradnl"/>
        </w:rPr>
        <w:t>uedan catalizar l</w:t>
      </w:r>
      <w:r w:rsidRPr="00D53CB2">
        <w:rPr>
          <w:rStyle w:val="Textoennegrita"/>
          <w:rFonts w:ascii="Source Sans Pro" w:hAnsi="Source Sans Pro" w:cstheme="minorHAnsi"/>
          <w:shd w:val="clear" w:color="auto" w:fill="FFFFFF"/>
          <w:lang w:val="es-ES_tradnl"/>
        </w:rPr>
        <w:t xml:space="preserve">a adopción </w:t>
      </w:r>
      <w:r w:rsidR="00F379B9" w:rsidRPr="00D53CB2">
        <w:rPr>
          <w:rStyle w:val="Textoennegrita"/>
          <w:rFonts w:ascii="Source Sans Pro" w:hAnsi="Source Sans Pro" w:cstheme="minorHAnsi"/>
          <w:shd w:val="clear" w:color="auto" w:fill="FFFFFF"/>
          <w:lang w:val="es-ES_tradnl"/>
        </w:rPr>
        <w:t xml:space="preserve">urgente </w:t>
      </w:r>
      <w:r w:rsidRPr="00D53CB2">
        <w:rPr>
          <w:rStyle w:val="Textoennegrita"/>
          <w:rFonts w:ascii="Source Sans Pro" w:hAnsi="Source Sans Pro" w:cstheme="minorHAnsi"/>
          <w:shd w:val="clear" w:color="auto" w:fill="FFFFFF"/>
          <w:lang w:val="es-ES_tradnl"/>
        </w:rPr>
        <w:t>de medidas y la atención por parte de los Estados Miembros y las partes interesadas, a fin de acelerar el progreso en materia de prevención y tratamiento de las ENT, la promoción de la salud mental y el bienestar, y el tratamiento y la atención de l</w:t>
      </w:r>
      <w:r w:rsidR="00881DE8" w:rsidRPr="00D53CB2">
        <w:rPr>
          <w:rStyle w:val="Textoennegrita"/>
          <w:rFonts w:ascii="Source Sans Pro" w:hAnsi="Source Sans Pro" w:cstheme="minorHAnsi"/>
          <w:shd w:val="clear" w:color="auto" w:fill="FFFFFF"/>
          <w:lang w:val="es-ES_tradnl"/>
        </w:rPr>
        <w:t>os problemas</w:t>
      </w:r>
      <w:r w:rsidRPr="00D53CB2">
        <w:rPr>
          <w:rStyle w:val="Textoennegrita"/>
          <w:rFonts w:ascii="Source Sans Pro" w:hAnsi="Source Sans Pro" w:cstheme="minorHAnsi"/>
          <w:shd w:val="clear" w:color="auto" w:fill="FFFFFF"/>
          <w:lang w:val="es-ES_tradnl"/>
        </w:rPr>
        <w:t xml:space="preserve"> de salud mental. </w:t>
      </w:r>
      <w:r w:rsidR="00881DE8" w:rsidRPr="00D53CB2">
        <w:rPr>
          <w:rStyle w:val="Textoennegrita"/>
          <w:rFonts w:ascii="Source Sans Pro" w:hAnsi="Source Sans Pro" w:cstheme="minorHAnsi"/>
          <w:shd w:val="clear" w:color="auto" w:fill="FFFFFF"/>
          <w:lang w:val="es-ES_tradnl"/>
        </w:rPr>
        <w:t>Estas</w:t>
      </w:r>
      <w:r w:rsidRPr="00D53CB2">
        <w:rPr>
          <w:rStyle w:val="Textoennegrita"/>
          <w:rFonts w:ascii="Source Sans Pro" w:hAnsi="Source Sans Pro" w:cstheme="minorHAnsi"/>
          <w:shd w:val="clear" w:color="auto" w:fill="FFFFFF"/>
          <w:lang w:val="es-ES_tradnl"/>
        </w:rPr>
        <w:t xml:space="preserve"> contribuciones podrían utilizarse para </w:t>
      </w:r>
      <w:r w:rsidR="0092443F" w:rsidRPr="00D53CB2">
        <w:rPr>
          <w:rStyle w:val="Textoennegrita"/>
          <w:rFonts w:ascii="Source Sans Pro" w:hAnsi="Source Sans Pro" w:cstheme="minorHAnsi"/>
          <w:shd w:val="clear" w:color="auto" w:fill="FFFFFF"/>
          <w:lang w:val="es-ES_tradnl"/>
        </w:rPr>
        <w:t xml:space="preserve">fundamentar las recomendaciones que se incluirán en el informe que el </w:t>
      </w:r>
      <w:proofErr w:type="gramStart"/>
      <w:r w:rsidR="0092443F" w:rsidRPr="00D53CB2">
        <w:rPr>
          <w:rStyle w:val="Textoennegrita"/>
          <w:rFonts w:ascii="Source Sans Pro" w:hAnsi="Source Sans Pro" w:cstheme="minorHAnsi"/>
          <w:shd w:val="clear" w:color="auto" w:fill="FFFFFF"/>
          <w:lang w:val="es-ES_tradnl"/>
        </w:rPr>
        <w:t>Director General</w:t>
      </w:r>
      <w:proofErr w:type="gramEnd"/>
      <w:r w:rsidR="0092443F" w:rsidRPr="00D53CB2">
        <w:rPr>
          <w:rStyle w:val="Textoennegrita"/>
          <w:rFonts w:ascii="Source Sans Pro" w:hAnsi="Source Sans Pro" w:cstheme="minorHAnsi"/>
          <w:shd w:val="clear" w:color="auto" w:fill="FFFFFF"/>
          <w:lang w:val="es-ES_tradnl"/>
        </w:rPr>
        <w:t xml:space="preserve"> de la OMS presentará a la Asamblea Mundial de la Salud en el 2025, titulado </w:t>
      </w:r>
      <w:r w:rsidR="0092443F" w:rsidRPr="00D53CB2">
        <w:rPr>
          <w:rStyle w:val="Textoennegrita"/>
          <w:rFonts w:ascii="Source Sans Pro" w:hAnsi="Source Sans Pro" w:cstheme="minorHAnsi"/>
          <w:i/>
          <w:iCs/>
          <w:shd w:val="clear" w:color="auto" w:fill="FFFFFF"/>
          <w:lang w:val="es-ES_tradnl"/>
        </w:rPr>
        <w:t>Preparación para la cuarta Reunión de Alto Nivel de la Asamblea General sobre la Prevención y el Control de las Enfermedades No Transmisibles, que se celebrará en 2025</w:t>
      </w:r>
      <w:r w:rsidRPr="00D53CB2">
        <w:rPr>
          <w:rStyle w:val="Textoennegrita"/>
          <w:rFonts w:ascii="Source Sans Pro" w:hAnsi="Source Sans Pro" w:cstheme="minorHAnsi"/>
          <w:shd w:val="clear" w:color="auto" w:fill="FFFFFF"/>
          <w:lang w:val="es-ES_tradnl"/>
        </w:rPr>
        <w:t>.</w:t>
      </w:r>
    </w:p>
    <w:p w14:paraId="34C1B9D8" w14:textId="77777777" w:rsidR="00B671F7" w:rsidRPr="00B671F7" w:rsidRDefault="00B671F7" w:rsidP="00B671F7">
      <w:pPr>
        <w:shd w:val="clear" w:color="auto" w:fill="FFFFFF"/>
        <w:spacing w:before="240" w:after="0" w:line="240" w:lineRule="auto"/>
        <w:outlineLvl w:val="0"/>
        <w:rPr>
          <w:rFonts w:ascii="Source Sans Pro" w:hAnsi="Source Sans Pro"/>
          <w:b/>
          <w:bCs/>
          <w:i/>
          <w:iCs/>
          <w:color w:val="C00000"/>
          <w:lang w:val="es-ES"/>
        </w:rPr>
      </w:pPr>
      <w:r>
        <w:rPr>
          <w:i/>
          <w:iCs/>
          <w:lang w:val="es-ES"/>
        </w:rPr>
        <w:t xml:space="preserve">Nota: </w:t>
      </w:r>
      <w:r w:rsidRPr="00B671F7">
        <w:rPr>
          <w:i/>
          <w:iCs/>
          <w:lang w:val="es-ES"/>
        </w:rPr>
        <w:t>Se prefiere que los formularios sean completados en inglés, pero se aceptarán aquellos que estén en otros idiomas oficiales de la ONU. Estos últimos serán traducidos utilizando un traductor en línea, por lo que algunos mensajes podrían ser desvirtuados.</w:t>
      </w:r>
    </w:p>
    <w:p w14:paraId="69698C70" w14:textId="07228A0E" w:rsidR="003C64B3" w:rsidRPr="00D53CB2" w:rsidRDefault="00AC1A72">
      <w:pPr>
        <w:shd w:val="clear" w:color="auto" w:fill="FFFFFF" w:themeFill="background1"/>
        <w:spacing w:after="240" w:line="240" w:lineRule="auto"/>
        <w:rPr>
          <w:rStyle w:val="Textoennegrita"/>
          <w:lang w:val="es-ES_tradnl"/>
        </w:rPr>
      </w:pPr>
      <w:r w:rsidRPr="00D53CB2">
        <w:rPr>
          <w:rStyle w:val="Textoennegrita"/>
          <w:rFonts w:ascii="Source Sans Pro" w:hAnsi="Source Sans Pro" w:cstheme="minorHAnsi"/>
          <w:shd w:val="clear" w:color="auto" w:fill="FFFFFF"/>
          <w:lang w:val="es-ES_tradnl"/>
        </w:rPr>
        <w:t xml:space="preserve"> </w:t>
      </w:r>
    </w:p>
    <w:tbl>
      <w:tblPr>
        <w:tblW w:w="10350" w:type="dxa"/>
        <w:tblInd w:w="82" w:type="dxa"/>
        <w:tblBorders>
          <w:top w:val="single" w:sz="2" w:space="0" w:color="009ADE"/>
          <w:left w:val="single" w:sz="2" w:space="0" w:color="009ADE"/>
          <w:bottom w:val="single" w:sz="2" w:space="0" w:color="009ADE"/>
          <w:right w:val="single" w:sz="2" w:space="0" w:color="009ADE"/>
          <w:insideH w:val="single" w:sz="2" w:space="0" w:color="009ADE"/>
          <w:insideV w:val="single" w:sz="2" w:space="0" w:color="009ADE"/>
        </w:tblBorders>
        <w:tblLayout w:type="fixed"/>
        <w:tblCellMar>
          <w:left w:w="0" w:type="dxa"/>
          <w:right w:w="0" w:type="dxa"/>
        </w:tblCellMar>
        <w:tblLook w:val="04A0" w:firstRow="1" w:lastRow="0" w:firstColumn="1" w:lastColumn="0" w:noHBand="0" w:noVBand="1"/>
      </w:tblPr>
      <w:tblGrid>
        <w:gridCol w:w="450"/>
        <w:gridCol w:w="4950"/>
        <w:gridCol w:w="4950"/>
      </w:tblGrid>
      <w:tr w:rsidR="003C64B3" w:rsidRPr="00DB799F" w14:paraId="69698C74" w14:textId="77777777">
        <w:trPr>
          <w:trHeight w:val="345"/>
        </w:trPr>
        <w:tc>
          <w:tcPr>
            <w:tcW w:w="450" w:type="dxa"/>
            <w:shd w:val="clear" w:color="auto" w:fill="009ADE"/>
            <w:hideMark/>
          </w:tcPr>
          <w:p w14:paraId="69698C71" w14:textId="77777777" w:rsidR="003C64B3" w:rsidRPr="00D53CB2" w:rsidRDefault="00AC1A72">
            <w:pPr>
              <w:spacing w:after="0" w:line="240" w:lineRule="auto"/>
              <w:jc w:val="center"/>
              <w:textAlignment w:val="baseline"/>
              <w:rPr>
                <w:rFonts w:ascii="Source Sans Pro" w:eastAsia="Times New Roman" w:hAnsi="Source Sans Pro" w:cs="Calibri"/>
                <w:b/>
                <w:bCs/>
                <w:color w:val="FFFFFF"/>
                <w:lang w:val="es-ES_tradnl"/>
              </w:rPr>
            </w:pPr>
            <w:r w:rsidRPr="00D53CB2">
              <w:rPr>
                <w:rFonts w:ascii="Source Sans Pro" w:eastAsia="Times New Roman" w:hAnsi="Source Sans Pro" w:cs="Calibri"/>
                <w:b/>
                <w:bCs/>
                <w:color w:val="FFFFFF"/>
                <w:lang w:val="es-ES_tradnl"/>
              </w:rPr>
              <w:t>#</w:t>
            </w:r>
          </w:p>
        </w:tc>
        <w:tc>
          <w:tcPr>
            <w:tcW w:w="4950" w:type="dxa"/>
            <w:shd w:val="clear" w:color="auto" w:fill="009ADE"/>
            <w:hideMark/>
          </w:tcPr>
          <w:p w14:paraId="69698C72" w14:textId="7FCDE872" w:rsidR="003C64B3" w:rsidRPr="00D53CB2" w:rsidRDefault="00AC1A72">
            <w:pPr>
              <w:spacing w:after="0" w:line="240" w:lineRule="auto"/>
              <w:textAlignment w:val="baseline"/>
              <w:rPr>
                <w:rFonts w:ascii="Source Sans Pro" w:eastAsia="Times New Roman" w:hAnsi="Source Sans Pro" w:cs="Calibri"/>
                <w:b/>
                <w:bCs/>
                <w:color w:val="FFFFFF"/>
                <w:lang w:val="es-ES_tradnl"/>
              </w:rPr>
            </w:pPr>
            <w:r w:rsidRPr="00D53CB2">
              <w:rPr>
                <w:rFonts w:ascii="Source Sans Pro" w:eastAsia="Times New Roman" w:hAnsi="Source Sans Pro" w:cs="Calibri"/>
                <w:b/>
                <w:bCs/>
                <w:color w:val="FFFFFF"/>
                <w:lang w:val="es-ES_tradnl"/>
              </w:rPr>
              <w:t xml:space="preserve">Objetivo del </w:t>
            </w:r>
            <w:r w:rsidR="00881DE8" w:rsidRPr="00D53CB2">
              <w:rPr>
                <w:rFonts w:ascii="Source Sans Pro" w:eastAsia="Times New Roman" w:hAnsi="Source Sans Pro" w:cs="Calibri"/>
                <w:b/>
                <w:bCs/>
                <w:color w:val="FFFFFF"/>
                <w:lang w:val="es-ES_tradnl"/>
              </w:rPr>
              <w:t>plan de acción mundial</w:t>
            </w:r>
          </w:p>
        </w:tc>
        <w:tc>
          <w:tcPr>
            <w:tcW w:w="4950" w:type="dxa"/>
            <w:shd w:val="clear" w:color="auto" w:fill="009ADE"/>
            <w:hideMark/>
          </w:tcPr>
          <w:p w14:paraId="69698C73" w14:textId="4AFF34E5" w:rsidR="003C64B3" w:rsidRPr="00D53CB2" w:rsidRDefault="00AC1A72">
            <w:pPr>
              <w:spacing w:after="0" w:line="240" w:lineRule="auto"/>
              <w:textAlignment w:val="baseline"/>
              <w:rPr>
                <w:rFonts w:ascii="Source Sans Pro" w:eastAsia="Times New Roman" w:hAnsi="Source Sans Pro" w:cs="Calibri"/>
                <w:b/>
                <w:bCs/>
                <w:color w:val="FFFFFF"/>
                <w:lang w:val="es-ES_tradnl"/>
              </w:rPr>
            </w:pPr>
            <w:r w:rsidRPr="00D53CB2">
              <w:rPr>
                <w:rFonts w:ascii="Source Sans Pro" w:eastAsia="Times New Roman" w:hAnsi="Source Sans Pro" w:cs="Calibri"/>
                <w:b/>
                <w:bCs/>
                <w:color w:val="FFFFFF"/>
                <w:lang w:val="es-ES_tradnl"/>
              </w:rPr>
              <w:t xml:space="preserve">Observaciones sobre las </w:t>
            </w:r>
            <w:r w:rsidR="009577F2" w:rsidRPr="00D53CB2">
              <w:rPr>
                <w:rFonts w:ascii="Source Sans Pro" w:eastAsia="Times New Roman" w:hAnsi="Source Sans Pro" w:cs="Calibri"/>
                <w:b/>
                <w:bCs/>
                <w:color w:val="FFFFFF"/>
                <w:lang w:val="es-ES_tradnl"/>
              </w:rPr>
              <w:t>áreas</w:t>
            </w:r>
            <w:r w:rsidRPr="00D53CB2">
              <w:rPr>
                <w:rFonts w:ascii="Source Sans Pro" w:eastAsia="Times New Roman" w:hAnsi="Source Sans Pro" w:cs="Calibri"/>
                <w:b/>
                <w:bCs/>
                <w:color w:val="FFFFFF"/>
                <w:lang w:val="es-ES_tradnl"/>
              </w:rPr>
              <w:t xml:space="preserve"> prioritarias clave</w:t>
            </w:r>
          </w:p>
        </w:tc>
      </w:tr>
      <w:tr w:rsidR="003C64B3" w:rsidRPr="00DB799F" w14:paraId="69698C78" w14:textId="77777777">
        <w:trPr>
          <w:trHeight w:val="1011"/>
        </w:trPr>
        <w:tc>
          <w:tcPr>
            <w:tcW w:w="450" w:type="dxa"/>
            <w:shd w:val="clear" w:color="auto" w:fill="FFFFFF"/>
            <w:vAlign w:val="center"/>
            <w:hideMark/>
          </w:tcPr>
          <w:p w14:paraId="69698C75" w14:textId="77777777" w:rsidR="003C64B3" w:rsidRPr="00D53CB2" w:rsidRDefault="00AC1A72">
            <w:pPr>
              <w:spacing w:after="0" w:line="240" w:lineRule="auto"/>
              <w:jc w:val="center"/>
              <w:textAlignment w:val="baseline"/>
              <w:rPr>
                <w:rFonts w:ascii="Source Sans Pro" w:eastAsia="Times New Roman" w:hAnsi="Source Sans Pro" w:cs="Segoe UI"/>
                <w:b/>
                <w:bCs/>
                <w:sz w:val="18"/>
                <w:szCs w:val="18"/>
                <w:lang w:val="es-ES_tradnl"/>
              </w:rPr>
            </w:pPr>
            <w:r w:rsidRPr="00D53CB2">
              <w:rPr>
                <w:b/>
                <w:bCs/>
                <w:lang w:val="es-ES_tradnl"/>
              </w:rPr>
              <w:t>1</w:t>
            </w:r>
          </w:p>
        </w:tc>
        <w:tc>
          <w:tcPr>
            <w:tcW w:w="4950" w:type="dxa"/>
            <w:shd w:val="clear" w:color="auto" w:fill="auto"/>
            <w:hideMark/>
          </w:tcPr>
          <w:p w14:paraId="69698C76" w14:textId="11775984" w:rsidR="003C64B3" w:rsidRPr="00D53CB2" w:rsidRDefault="00AC1A72">
            <w:pPr>
              <w:spacing w:after="0" w:line="240" w:lineRule="auto"/>
              <w:ind w:left="32"/>
              <w:textAlignment w:val="baseline"/>
              <w:rPr>
                <w:rFonts w:ascii="Source Sans Pro" w:eastAsia="Times New Roman" w:hAnsi="Source Sans Pro" w:cs="Calibri"/>
                <w:lang w:val="es-ES_tradnl"/>
              </w:rPr>
            </w:pPr>
            <w:r w:rsidRPr="00D53CB2">
              <w:rPr>
                <w:rFonts w:ascii="Source Sans Pro" w:eastAsia="Times New Roman" w:hAnsi="Source Sans Pro" w:cs="Calibri"/>
                <w:lang w:val="es-ES_tradnl"/>
              </w:rPr>
              <w:t xml:space="preserve">Otorgar más prioridad a la prevención y el control de las </w:t>
            </w:r>
            <w:r w:rsidR="00881DE8" w:rsidRPr="00D53CB2">
              <w:rPr>
                <w:rFonts w:ascii="Source Sans Pro" w:eastAsia="Times New Roman" w:hAnsi="Source Sans Pro" w:cs="Calibri"/>
                <w:lang w:val="es-ES_tradnl"/>
              </w:rPr>
              <w:t>ENT</w:t>
            </w:r>
            <w:r w:rsidRPr="00D53CB2">
              <w:rPr>
                <w:rFonts w:ascii="Source Sans Pro" w:eastAsia="Times New Roman" w:hAnsi="Source Sans Pro" w:cs="Calibri"/>
                <w:lang w:val="es-ES_tradnl"/>
              </w:rPr>
              <w:t xml:space="preserve"> en las agendas mundial, regional y nacional y en los objetivos de desarrollo acordados internacionalmente, mediante el fortalecimiento de la promoción y la cooperación internacional.  </w:t>
            </w:r>
          </w:p>
        </w:tc>
        <w:tc>
          <w:tcPr>
            <w:tcW w:w="4950" w:type="dxa"/>
            <w:shd w:val="clear" w:color="auto" w:fill="auto"/>
            <w:hideMark/>
          </w:tcPr>
          <w:p w14:paraId="69698C77" w14:textId="77777777" w:rsidR="003C64B3" w:rsidRPr="00D53CB2" w:rsidRDefault="003C64B3">
            <w:pPr>
              <w:spacing w:after="0" w:line="240" w:lineRule="auto"/>
              <w:ind w:left="1080"/>
              <w:textAlignment w:val="baseline"/>
              <w:rPr>
                <w:rFonts w:ascii="Source Sans Pro" w:eastAsia="Times New Roman" w:hAnsi="Source Sans Pro" w:cs="Calibri"/>
                <w:lang w:val="es-ES_tradnl"/>
              </w:rPr>
            </w:pPr>
          </w:p>
        </w:tc>
      </w:tr>
      <w:tr w:rsidR="003C64B3" w:rsidRPr="00DB799F" w14:paraId="69698C7C" w14:textId="77777777">
        <w:trPr>
          <w:trHeight w:val="993"/>
        </w:trPr>
        <w:tc>
          <w:tcPr>
            <w:tcW w:w="450" w:type="dxa"/>
            <w:shd w:val="clear" w:color="auto" w:fill="FFFFFF"/>
            <w:vAlign w:val="center"/>
            <w:hideMark/>
          </w:tcPr>
          <w:p w14:paraId="69698C79" w14:textId="77777777" w:rsidR="003C64B3" w:rsidRPr="00D53CB2" w:rsidRDefault="00AC1A72">
            <w:pPr>
              <w:spacing w:after="0" w:line="240" w:lineRule="auto"/>
              <w:jc w:val="center"/>
              <w:textAlignment w:val="baseline"/>
              <w:rPr>
                <w:rFonts w:ascii="Source Sans Pro" w:eastAsia="Times New Roman" w:hAnsi="Source Sans Pro" w:cs="Segoe UI"/>
                <w:b/>
                <w:bCs/>
                <w:sz w:val="18"/>
                <w:szCs w:val="18"/>
                <w:lang w:val="es-ES_tradnl"/>
              </w:rPr>
            </w:pPr>
            <w:r w:rsidRPr="00D53CB2">
              <w:rPr>
                <w:b/>
                <w:bCs/>
                <w:lang w:val="es-ES_tradnl"/>
              </w:rPr>
              <w:t>2</w:t>
            </w:r>
          </w:p>
        </w:tc>
        <w:tc>
          <w:tcPr>
            <w:tcW w:w="4950" w:type="dxa"/>
            <w:shd w:val="clear" w:color="auto" w:fill="auto"/>
            <w:hideMark/>
          </w:tcPr>
          <w:p w14:paraId="69698C7A" w14:textId="0C170EAA" w:rsidR="003C64B3" w:rsidRPr="00D53CB2" w:rsidRDefault="00AC1A72">
            <w:pPr>
              <w:spacing w:after="0" w:line="240" w:lineRule="auto"/>
              <w:ind w:left="32"/>
              <w:textAlignment w:val="baseline"/>
              <w:rPr>
                <w:rFonts w:ascii="Source Sans Pro" w:eastAsia="Times New Roman" w:hAnsi="Source Sans Pro" w:cs="Calibri"/>
                <w:lang w:val="es-ES_tradnl"/>
              </w:rPr>
            </w:pPr>
            <w:r w:rsidRPr="00D53CB2">
              <w:rPr>
                <w:rFonts w:ascii="Source Sans Pro" w:eastAsia="Times New Roman" w:hAnsi="Source Sans Pro" w:cs="Calibri"/>
                <w:lang w:val="es-ES_tradnl"/>
              </w:rPr>
              <w:t xml:space="preserve">Reforzar la capacidad, el liderazgo, la gobernanza, la acción multisectorial y las alianzas para acelerar la respuesta de los países en materia de prevención y control de </w:t>
            </w:r>
            <w:r w:rsidR="00881DE8" w:rsidRPr="00D53CB2">
              <w:rPr>
                <w:rFonts w:ascii="Source Sans Pro" w:eastAsia="Times New Roman" w:hAnsi="Source Sans Pro" w:cs="Calibri"/>
                <w:lang w:val="es-ES_tradnl"/>
              </w:rPr>
              <w:t>las ENT</w:t>
            </w:r>
            <w:r w:rsidRPr="00D53CB2">
              <w:rPr>
                <w:rFonts w:ascii="Source Sans Pro" w:eastAsia="Times New Roman" w:hAnsi="Source Sans Pro" w:cs="Calibri"/>
                <w:lang w:val="es-ES_tradnl"/>
              </w:rPr>
              <w:t>.</w:t>
            </w:r>
          </w:p>
        </w:tc>
        <w:tc>
          <w:tcPr>
            <w:tcW w:w="4950" w:type="dxa"/>
            <w:shd w:val="clear" w:color="auto" w:fill="auto"/>
            <w:hideMark/>
          </w:tcPr>
          <w:p w14:paraId="69698C7B" w14:textId="77777777" w:rsidR="003C64B3" w:rsidRPr="00D53CB2" w:rsidRDefault="00AC1A72">
            <w:pPr>
              <w:spacing w:after="0" w:line="240" w:lineRule="auto"/>
              <w:textAlignment w:val="baseline"/>
              <w:rPr>
                <w:rFonts w:ascii="Source Sans Pro" w:eastAsia="Times New Roman" w:hAnsi="Source Sans Pro" w:cs="Segoe UI"/>
                <w:sz w:val="18"/>
                <w:szCs w:val="18"/>
                <w:lang w:val="es-ES_tradnl"/>
              </w:rPr>
            </w:pPr>
            <w:r w:rsidRPr="00D53CB2">
              <w:rPr>
                <w:rFonts w:ascii="Source Sans Pro" w:eastAsia="Times New Roman" w:hAnsi="Source Sans Pro" w:cs="Calibri"/>
                <w:lang w:val="es-ES_tradnl"/>
              </w:rPr>
              <w:t> </w:t>
            </w:r>
          </w:p>
        </w:tc>
      </w:tr>
      <w:tr w:rsidR="003C64B3" w:rsidRPr="00DB799F" w14:paraId="69698C82" w14:textId="77777777">
        <w:trPr>
          <w:trHeight w:val="723"/>
        </w:trPr>
        <w:tc>
          <w:tcPr>
            <w:tcW w:w="450" w:type="dxa"/>
            <w:shd w:val="clear" w:color="auto" w:fill="FFFFFF"/>
            <w:vAlign w:val="center"/>
            <w:hideMark/>
          </w:tcPr>
          <w:p w14:paraId="69698C7D" w14:textId="77777777" w:rsidR="003C64B3" w:rsidRPr="00D53CB2" w:rsidRDefault="00AC1A72">
            <w:pPr>
              <w:spacing w:after="0" w:line="240" w:lineRule="auto"/>
              <w:jc w:val="center"/>
              <w:textAlignment w:val="baseline"/>
              <w:rPr>
                <w:rFonts w:ascii="Source Sans Pro" w:eastAsia="Times New Roman" w:hAnsi="Source Sans Pro" w:cs="Segoe UI"/>
                <w:b/>
                <w:bCs/>
                <w:sz w:val="18"/>
                <w:szCs w:val="18"/>
                <w:lang w:val="es-ES_tradnl"/>
              </w:rPr>
            </w:pPr>
            <w:r w:rsidRPr="00D53CB2">
              <w:rPr>
                <w:b/>
                <w:bCs/>
                <w:lang w:val="es-ES_tradnl"/>
              </w:rPr>
              <w:t>3</w:t>
            </w:r>
          </w:p>
        </w:tc>
        <w:tc>
          <w:tcPr>
            <w:tcW w:w="4950" w:type="dxa"/>
            <w:shd w:val="clear" w:color="auto" w:fill="auto"/>
            <w:hideMark/>
          </w:tcPr>
          <w:p w14:paraId="69698C7E" w14:textId="2BEC7E8A" w:rsidR="003C64B3" w:rsidRPr="00D53CB2" w:rsidRDefault="00AC1A72">
            <w:pPr>
              <w:spacing w:after="0" w:line="240" w:lineRule="auto"/>
              <w:ind w:left="32"/>
              <w:textAlignment w:val="baseline"/>
              <w:rPr>
                <w:rFonts w:ascii="Source Sans Pro" w:eastAsia="Times New Roman" w:hAnsi="Source Sans Pro" w:cs="Calibri"/>
                <w:lang w:val="es-ES_tradnl"/>
              </w:rPr>
            </w:pPr>
            <w:r w:rsidRPr="00D53CB2">
              <w:rPr>
                <w:rFonts w:ascii="Source Sans Pro" w:eastAsia="Times New Roman" w:hAnsi="Source Sans Pro" w:cs="Calibri"/>
                <w:lang w:val="es-ES_tradnl"/>
              </w:rPr>
              <w:t xml:space="preserve">Reducir la exposición a factores de riesgo modificables de las </w:t>
            </w:r>
            <w:r w:rsidR="00881DE8" w:rsidRPr="00D53CB2">
              <w:rPr>
                <w:rFonts w:ascii="Source Sans Pro" w:eastAsia="Times New Roman" w:hAnsi="Source Sans Pro" w:cs="Calibri"/>
                <w:lang w:val="es-ES_tradnl"/>
              </w:rPr>
              <w:t>ENT</w:t>
            </w:r>
            <w:r w:rsidRPr="00D53CB2">
              <w:rPr>
                <w:rFonts w:ascii="Source Sans Pro" w:eastAsia="Times New Roman" w:hAnsi="Source Sans Pro" w:cs="Calibri"/>
                <w:lang w:val="es-ES_tradnl"/>
              </w:rPr>
              <w:t xml:space="preserve"> y los determinantes sociales subyacentes mediante la creación de entornos que fomenten la salud.  </w:t>
            </w:r>
          </w:p>
        </w:tc>
        <w:tc>
          <w:tcPr>
            <w:tcW w:w="4950" w:type="dxa"/>
            <w:shd w:val="clear" w:color="auto" w:fill="auto"/>
            <w:hideMark/>
          </w:tcPr>
          <w:p w14:paraId="69698C7F" w14:textId="77777777" w:rsidR="003C64B3" w:rsidRPr="00D53CB2" w:rsidRDefault="00AC1A72">
            <w:pPr>
              <w:spacing w:after="0" w:line="240" w:lineRule="auto"/>
              <w:textAlignment w:val="baseline"/>
              <w:rPr>
                <w:rFonts w:ascii="Source Sans Pro" w:eastAsia="Times New Roman" w:hAnsi="Source Sans Pro" w:cs="Segoe UI"/>
                <w:sz w:val="18"/>
                <w:szCs w:val="18"/>
                <w:lang w:val="es-ES_tradnl"/>
              </w:rPr>
            </w:pPr>
            <w:r w:rsidRPr="00D53CB2">
              <w:rPr>
                <w:rFonts w:ascii="Source Sans Pro" w:eastAsia="Times New Roman" w:hAnsi="Source Sans Pro" w:cs="Calibri"/>
                <w:lang w:val="es-ES_tradnl"/>
              </w:rPr>
              <w:t> </w:t>
            </w:r>
          </w:p>
          <w:p w14:paraId="69698C80" w14:textId="77777777" w:rsidR="003C64B3" w:rsidRPr="00D53CB2" w:rsidRDefault="00AC1A72">
            <w:pPr>
              <w:spacing w:after="0" w:line="240" w:lineRule="auto"/>
              <w:textAlignment w:val="baseline"/>
              <w:rPr>
                <w:rFonts w:ascii="Source Sans Pro" w:eastAsia="Times New Roman" w:hAnsi="Source Sans Pro" w:cs="Segoe UI"/>
                <w:sz w:val="18"/>
                <w:szCs w:val="18"/>
                <w:lang w:val="es-ES_tradnl"/>
              </w:rPr>
            </w:pPr>
            <w:r w:rsidRPr="00D53CB2">
              <w:rPr>
                <w:rFonts w:ascii="Source Sans Pro" w:eastAsia="Times New Roman" w:hAnsi="Source Sans Pro" w:cs="Calibri"/>
                <w:lang w:val="es-ES_tradnl"/>
              </w:rPr>
              <w:t> </w:t>
            </w:r>
          </w:p>
          <w:p w14:paraId="69698C81" w14:textId="77777777" w:rsidR="003C64B3" w:rsidRPr="00D53CB2" w:rsidRDefault="00AC1A72">
            <w:pPr>
              <w:spacing w:after="0" w:line="240" w:lineRule="auto"/>
              <w:textAlignment w:val="baseline"/>
              <w:rPr>
                <w:rFonts w:ascii="Source Sans Pro" w:eastAsia="Times New Roman" w:hAnsi="Source Sans Pro" w:cs="Segoe UI"/>
                <w:sz w:val="18"/>
                <w:szCs w:val="18"/>
                <w:lang w:val="es-ES_tradnl"/>
              </w:rPr>
            </w:pPr>
            <w:r w:rsidRPr="00D53CB2">
              <w:rPr>
                <w:rFonts w:ascii="Source Sans Pro" w:eastAsia="Times New Roman" w:hAnsi="Source Sans Pro" w:cs="Calibri"/>
                <w:lang w:val="es-ES_tradnl"/>
              </w:rPr>
              <w:t> </w:t>
            </w:r>
          </w:p>
        </w:tc>
      </w:tr>
      <w:tr w:rsidR="003C64B3" w:rsidRPr="00DB799F" w14:paraId="69698C86" w14:textId="77777777">
        <w:trPr>
          <w:trHeight w:val="993"/>
        </w:trPr>
        <w:tc>
          <w:tcPr>
            <w:tcW w:w="450" w:type="dxa"/>
            <w:shd w:val="clear" w:color="auto" w:fill="FFFFFF"/>
            <w:vAlign w:val="center"/>
            <w:hideMark/>
          </w:tcPr>
          <w:p w14:paraId="69698C83" w14:textId="77777777" w:rsidR="003C64B3" w:rsidRPr="00D53CB2" w:rsidRDefault="00AC1A72">
            <w:pPr>
              <w:spacing w:after="0" w:line="240" w:lineRule="auto"/>
              <w:jc w:val="center"/>
              <w:textAlignment w:val="baseline"/>
              <w:rPr>
                <w:rFonts w:ascii="Source Sans Pro" w:eastAsia="Times New Roman" w:hAnsi="Source Sans Pro" w:cs="Segoe UI"/>
                <w:b/>
                <w:bCs/>
                <w:sz w:val="18"/>
                <w:szCs w:val="18"/>
                <w:lang w:val="es-ES_tradnl"/>
              </w:rPr>
            </w:pPr>
            <w:r w:rsidRPr="00D53CB2">
              <w:rPr>
                <w:b/>
                <w:bCs/>
                <w:lang w:val="es-ES_tradnl"/>
              </w:rPr>
              <w:t>4</w:t>
            </w:r>
          </w:p>
        </w:tc>
        <w:tc>
          <w:tcPr>
            <w:tcW w:w="4950" w:type="dxa"/>
            <w:shd w:val="clear" w:color="auto" w:fill="auto"/>
            <w:hideMark/>
          </w:tcPr>
          <w:p w14:paraId="69698C84" w14:textId="6385F4D6" w:rsidR="003C64B3" w:rsidRPr="00D53CB2" w:rsidRDefault="00AC1A72">
            <w:pPr>
              <w:spacing w:after="0" w:line="240" w:lineRule="auto"/>
              <w:ind w:left="32"/>
              <w:textAlignment w:val="baseline"/>
              <w:rPr>
                <w:rFonts w:ascii="Source Sans Pro" w:eastAsia="Times New Roman" w:hAnsi="Source Sans Pro" w:cs="Calibri"/>
                <w:lang w:val="es-ES_tradnl"/>
              </w:rPr>
            </w:pPr>
            <w:r w:rsidRPr="00D53CB2">
              <w:rPr>
                <w:rFonts w:ascii="Source Sans Pro" w:eastAsia="Times New Roman" w:hAnsi="Source Sans Pro" w:cs="Calibri"/>
                <w:lang w:val="es-ES_tradnl"/>
              </w:rPr>
              <w:t xml:space="preserve">Fortalecer y reorientar los sistemas de salud para abordar la prevención y control de las enfermedades transmisibles y los determinantes sociales subyacentes mediante una atención primaria centrada en las personas y la cobertura universal.  </w:t>
            </w:r>
          </w:p>
        </w:tc>
        <w:tc>
          <w:tcPr>
            <w:tcW w:w="4950" w:type="dxa"/>
            <w:shd w:val="clear" w:color="auto" w:fill="auto"/>
            <w:hideMark/>
          </w:tcPr>
          <w:p w14:paraId="69698C85" w14:textId="77777777" w:rsidR="003C64B3" w:rsidRPr="00D53CB2" w:rsidRDefault="003C64B3">
            <w:pPr>
              <w:spacing w:after="0" w:line="240" w:lineRule="auto"/>
              <w:textAlignment w:val="baseline"/>
              <w:rPr>
                <w:rFonts w:ascii="Source Sans Pro" w:eastAsia="Times New Roman" w:hAnsi="Source Sans Pro" w:cs="Calibri"/>
                <w:lang w:val="es-ES_tradnl"/>
              </w:rPr>
            </w:pPr>
          </w:p>
        </w:tc>
      </w:tr>
      <w:tr w:rsidR="003C64B3" w:rsidRPr="00DB799F" w14:paraId="69698C8A" w14:textId="77777777">
        <w:trPr>
          <w:trHeight w:val="885"/>
        </w:trPr>
        <w:tc>
          <w:tcPr>
            <w:tcW w:w="450" w:type="dxa"/>
            <w:shd w:val="clear" w:color="auto" w:fill="FFFFFF"/>
            <w:vAlign w:val="center"/>
            <w:hideMark/>
          </w:tcPr>
          <w:p w14:paraId="69698C87" w14:textId="77777777" w:rsidR="003C64B3" w:rsidRPr="00D53CB2" w:rsidRDefault="00AC1A72">
            <w:pPr>
              <w:spacing w:after="0" w:line="240" w:lineRule="auto"/>
              <w:jc w:val="center"/>
              <w:textAlignment w:val="baseline"/>
              <w:rPr>
                <w:rFonts w:ascii="Source Sans Pro" w:eastAsia="Times New Roman" w:hAnsi="Source Sans Pro" w:cs="Segoe UI"/>
                <w:b/>
                <w:bCs/>
                <w:sz w:val="18"/>
                <w:szCs w:val="18"/>
                <w:lang w:val="es-ES_tradnl"/>
              </w:rPr>
            </w:pPr>
            <w:r w:rsidRPr="00D53CB2">
              <w:rPr>
                <w:b/>
                <w:bCs/>
                <w:lang w:val="es-ES_tradnl"/>
              </w:rPr>
              <w:lastRenderedPageBreak/>
              <w:t>5</w:t>
            </w:r>
          </w:p>
        </w:tc>
        <w:tc>
          <w:tcPr>
            <w:tcW w:w="4950" w:type="dxa"/>
            <w:shd w:val="clear" w:color="auto" w:fill="auto"/>
            <w:hideMark/>
          </w:tcPr>
          <w:p w14:paraId="69698C88" w14:textId="0BFC483A" w:rsidR="003C64B3" w:rsidRPr="00D53CB2" w:rsidRDefault="00AC1A72">
            <w:pPr>
              <w:spacing w:after="0" w:line="240" w:lineRule="auto"/>
              <w:ind w:left="32"/>
              <w:textAlignment w:val="baseline"/>
              <w:rPr>
                <w:rFonts w:ascii="Source Sans Pro" w:eastAsia="Times New Roman" w:hAnsi="Source Sans Pro" w:cs="Calibri"/>
                <w:lang w:val="es-ES_tradnl"/>
              </w:rPr>
            </w:pPr>
            <w:r w:rsidRPr="00D53CB2">
              <w:rPr>
                <w:rFonts w:ascii="Source Sans Pro" w:eastAsia="Times New Roman" w:hAnsi="Source Sans Pro" w:cs="Calibri"/>
                <w:lang w:val="es-ES_tradnl"/>
              </w:rPr>
              <w:t xml:space="preserve">Fomentar y apoyar la capacidad nacional de investigación y desarrollo de calidad en relación con la prevención y el control de las </w:t>
            </w:r>
            <w:r w:rsidR="00881DE8" w:rsidRPr="00D53CB2">
              <w:rPr>
                <w:rFonts w:ascii="Source Sans Pro" w:eastAsia="Times New Roman" w:hAnsi="Source Sans Pro" w:cs="Calibri"/>
                <w:lang w:val="es-ES_tradnl"/>
              </w:rPr>
              <w:t>ENT.</w:t>
            </w:r>
          </w:p>
        </w:tc>
        <w:tc>
          <w:tcPr>
            <w:tcW w:w="4950" w:type="dxa"/>
            <w:shd w:val="clear" w:color="auto" w:fill="auto"/>
            <w:hideMark/>
          </w:tcPr>
          <w:p w14:paraId="69698C89" w14:textId="77777777" w:rsidR="003C64B3" w:rsidRPr="00D53CB2" w:rsidRDefault="00AC1A72">
            <w:pPr>
              <w:spacing w:after="0" w:line="240" w:lineRule="auto"/>
              <w:textAlignment w:val="baseline"/>
              <w:rPr>
                <w:rFonts w:ascii="Source Sans Pro" w:eastAsia="Times New Roman" w:hAnsi="Source Sans Pro" w:cs="Segoe UI"/>
                <w:sz w:val="18"/>
                <w:szCs w:val="18"/>
                <w:lang w:val="es-ES_tradnl"/>
              </w:rPr>
            </w:pPr>
            <w:r w:rsidRPr="00D53CB2">
              <w:rPr>
                <w:rFonts w:ascii="Source Sans Pro" w:eastAsia="Times New Roman" w:hAnsi="Source Sans Pro" w:cs="Calibri"/>
                <w:lang w:val="es-ES_tradnl"/>
              </w:rPr>
              <w:t> </w:t>
            </w:r>
          </w:p>
        </w:tc>
      </w:tr>
      <w:tr w:rsidR="003C64B3" w:rsidRPr="00DB799F" w14:paraId="69698C8E" w14:textId="77777777">
        <w:trPr>
          <w:trHeight w:val="615"/>
        </w:trPr>
        <w:tc>
          <w:tcPr>
            <w:tcW w:w="450" w:type="dxa"/>
            <w:shd w:val="clear" w:color="auto" w:fill="FFFFFF"/>
            <w:vAlign w:val="center"/>
            <w:hideMark/>
          </w:tcPr>
          <w:p w14:paraId="69698C8B" w14:textId="77777777" w:rsidR="003C64B3" w:rsidRPr="00D53CB2" w:rsidRDefault="00AC1A72">
            <w:pPr>
              <w:spacing w:after="0" w:line="240" w:lineRule="auto"/>
              <w:jc w:val="center"/>
              <w:textAlignment w:val="baseline"/>
              <w:rPr>
                <w:rFonts w:ascii="Source Sans Pro" w:eastAsia="Times New Roman" w:hAnsi="Source Sans Pro" w:cs="Segoe UI"/>
                <w:b/>
                <w:bCs/>
                <w:sz w:val="18"/>
                <w:szCs w:val="18"/>
                <w:lang w:val="es-ES_tradnl"/>
              </w:rPr>
            </w:pPr>
            <w:r w:rsidRPr="00D53CB2">
              <w:rPr>
                <w:b/>
                <w:bCs/>
                <w:lang w:val="es-ES_tradnl"/>
              </w:rPr>
              <w:t>6</w:t>
            </w:r>
          </w:p>
        </w:tc>
        <w:tc>
          <w:tcPr>
            <w:tcW w:w="4950" w:type="dxa"/>
            <w:shd w:val="clear" w:color="auto" w:fill="auto"/>
            <w:hideMark/>
          </w:tcPr>
          <w:p w14:paraId="69698C8C" w14:textId="4E578CC5" w:rsidR="003C64B3" w:rsidRPr="00D53CB2" w:rsidRDefault="00AC1A72">
            <w:pPr>
              <w:spacing w:after="0" w:line="240" w:lineRule="auto"/>
              <w:ind w:left="32"/>
              <w:textAlignment w:val="baseline"/>
              <w:rPr>
                <w:rFonts w:ascii="Source Sans Pro" w:eastAsia="Times New Roman" w:hAnsi="Source Sans Pro" w:cs="Calibri"/>
                <w:lang w:val="es-ES_tradnl"/>
              </w:rPr>
            </w:pPr>
            <w:r w:rsidRPr="00D53CB2">
              <w:rPr>
                <w:rFonts w:ascii="Source Sans Pro" w:eastAsia="Times New Roman" w:hAnsi="Source Sans Pro" w:cs="Calibri"/>
                <w:lang w:val="es-ES_tradnl"/>
              </w:rPr>
              <w:t>Vigilar la</w:t>
            </w:r>
            <w:r w:rsidR="00881DE8" w:rsidRPr="00D53CB2">
              <w:rPr>
                <w:rFonts w:ascii="Source Sans Pro" w:eastAsia="Times New Roman" w:hAnsi="Source Sans Pro" w:cs="Calibri"/>
                <w:lang w:val="es-ES_tradnl"/>
              </w:rPr>
              <w:t xml:space="preserve"> evolución </w:t>
            </w:r>
            <w:r w:rsidRPr="00D53CB2">
              <w:rPr>
                <w:rFonts w:ascii="Source Sans Pro" w:eastAsia="Times New Roman" w:hAnsi="Source Sans Pro" w:cs="Calibri"/>
                <w:lang w:val="es-ES_tradnl"/>
              </w:rPr>
              <w:t xml:space="preserve">y los determinantes de las </w:t>
            </w:r>
            <w:r w:rsidR="00881DE8" w:rsidRPr="00D53CB2">
              <w:rPr>
                <w:rFonts w:ascii="Source Sans Pro" w:eastAsia="Times New Roman" w:hAnsi="Source Sans Pro" w:cs="Calibri"/>
                <w:lang w:val="es-ES_tradnl"/>
              </w:rPr>
              <w:t>ENT</w:t>
            </w:r>
            <w:r w:rsidRPr="00D53CB2">
              <w:rPr>
                <w:rFonts w:ascii="Source Sans Pro" w:eastAsia="Times New Roman" w:hAnsi="Source Sans Pro" w:cs="Calibri"/>
                <w:lang w:val="es-ES_tradnl"/>
              </w:rPr>
              <w:t xml:space="preserve"> y evaluar los progresos </w:t>
            </w:r>
            <w:r w:rsidR="00881DE8" w:rsidRPr="00D53CB2">
              <w:rPr>
                <w:rFonts w:ascii="Source Sans Pro" w:eastAsia="Times New Roman" w:hAnsi="Source Sans Pro" w:cs="Calibri"/>
                <w:lang w:val="es-ES_tradnl"/>
              </w:rPr>
              <w:t>hacia</w:t>
            </w:r>
            <w:r w:rsidRPr="00D53CB2">
              <w:rPr>
                <w:rFonts w:ascii="Source Sans Pro" w:eastAsia="Times New Roman" w:hAnsi="Source Sans Pro" w:cs="Calibri"/>
                <w:lang w:val="es-ES_tradnl"/>
              </w:rPr>
              <w:t xml:space="preserve"> su prevención y control. </w:t>
            </w:r>
          </w:p>
        </w:tc>
        <w:tc>
          <w:tcPr>
            <w:tcW w:w="4950" w:type="dxa"/>
            <w:shd w:val="clear" w:color="auto" w:fill="auto"/>
            <w:hideMark/>
          </w:tcPr>
          <w:p w14:paraId="69698C8D" w14:textId="77777777" w:rsidR="003C64B3" w:rsidRPr="00D53CB2" w:rsidRDefault="00AC1A72">
            <w:pPr>
              <w:spacing w:after="0" w:line="240" w:lineRule="auto"/>
              <w:textAlignment w:val="baseline"/>
              <w:rPr>
                <w:rFonts w:ascii="Source Sans Pro" w:eastAsia="Times New Roman" w:hAnsi="Source Sans Pro" w:cs="Segoe UI"/>
                <w:sz w:val="18"/>
                <w:szCs w:val="18"/>
                <w:lang w:val="es-ES_tradnl"/>
              </w:rPr>
            </w:pPr>
            <w:r w:rsidRPr="00D53CB2">
              <w:rPr>
                <w:rFonts w:ascii="Source Sans Pro" w:eastAsia="Times New Roman" w:hAnsi="Source Sans Pro" w:cs="Calibri"/>
                <w:lang w:val="es-ES_tradnl"/>
              </w:rPr>
              <w:t> </w:t>
            </w:r>
          </w:p>
        </w:tc>
      </w:tr>
      <w:tr w:rsidR="003C64B3" w:rsidRPr="00DB799F" w14:paraId="69698C92" w14:textId="77777777">
        <w:trPr>
          <w:trHeight w:val="543"/>
        </w:trPr>
        <w:tc>
          <w:tcPr>
            <w:tcW w:w="450" w:type="dxa"/>
            <w:shd w:val="clear" w:color="auto" w:fill="FFFFFF"/>
            <w:vAlign w:val="center"/>
          </w:tcPr>
          <w:p w14:paraId="69698C8F" w14:textId="77777777" w:rsidR="003C64B3" w:rsidRPr="00D53CB2" w:rsidRDefault="00AC1A72">
            <w:pPr>
              <w:spacing w:after="0" w:line="240" w:lineRule="auto"/>
              <w:jc w:val="center"/>
              <w:textAlignment w:val="baseline"/>
              <w:rPr>
                <w:rFonts w:ascii="Source Sans Pro" w:eastAsia="Times New Roman" w:hAnsi="Source Sans Pro" w:cs="Calibri"/>
                <w:b/>
                <w:bCs/>
                <w:lang w:val="es-ES_tradnl"/>
              </w:rPr>
            </w:pPr>
            <w:r w:rsidRPr="00D53CB2">
              <w:rPr>
                <w:b/>
                <w:bCs/>
                <w:lang w:val="es-ES_tradnl"/>
              </w:rPr>
              <w:t>*</w:t>
            </w:r>
          </w:p>
        </w:tc>
        <w:tc>
          <w:tcPr>
            <w:tcW w:w="4950" w:type="dxa"/>
            <w:shd w:val="clear" w:color="auto" w:fill="auto"/>
          </w:tcPr>
          <w:p w14:paraId="69698C90" w14:textId="77777777" w:rsidR="003C64B3" w:rsidRPr="00D53CB2" w:rsidRDefault="00AC1A72">
            <w:pPr>
              <w:spacing w:after="0" w:line="240" w:lineRule="auto"/>
              <w:ind w:left="32"/>
              <w:textAlignment w:val="baseline"/>
              <w:rPr>
                <w:rFonts w:ascii="Source Sans Pro" w:eastAsia="Times New Roman" w:hAnsi="Source Sans Pro" w:cs="Calibri"/>
                <w:lang w:val="es-ES_tradnl"/>
              </w:rPr>
            </w:pPr>
            <w:r w:rsidRPr="00D53CB2">
              <w:rPr>
                <w:rFonts w:ascii="Source Sans Pro" w:eastAsia="Times New Roman" w:hAnsi="Source Sans Pro" w:cs="Calibri"/>
                <w:i/>
                <w:iCs/>
                <w:lang w:val="es-ES_tradnl"/>
              </w:rPr>
              <w:t>Objetivo adicional</w:t>
            </w:r>
            <w:r w:rsidRPr="00D53CB2">
              <w:rPr>
                <w:rFonts w:ascii="Source Sans Pro" w:eastAsia="Times New Roman" w:hAnsi="Source Sans Pro" w:cs="Calibri"/>
                <w:lang w:val="es-ES_tradnl"/>
              </w:rPr>
              <w:t>: Promover la salud mental y el bienestar como un componente fundamental para alcanzar la meta 3.4 de los ODS.</w:t>
            </w:r>
          </w:p>
        </w:tc>
        <w:tc>
          <w:tcPr>
            <w:tcW w:w="4950" w:type="dxa"/>
            <w:shd w:val="clear" w:color="auto" w:fill="auto"/>
          </w:tcPr>
          <w:p w14:paraId="69698C91" w14:textId="77777777" w:rsidR="003C64B3" w:rsidRPr="00D53CB2" w:rsidRDefault="003C64B3">
            <w:pPr>
              <w:spacing w:after="0" w:line="240" w:lineRule="auto"/>
              <w:textAlignment w:val="baseline"/>
              <w:rPr>
                <w:rFonts w:ascii="Source Sans Pro" w:eastAsia="Times New Roman" w:hAnsi="Source Sans Pro" w:cs="Calibri"/>
                <w:lang w:val="es-ES_tradnl"/>
              </w:rPr>
            </w:pPr>
          </w:p>
        </w:tc>
      </w:tr>
    </w:tbl>
    <w:p w14:paraId="69698C93" w14:textId="68C55B18" w:rsidR="003C64B3" w:rsidRDefault="00881DE8" w:rsidP="0022094F">
      <w:pPr>
        <w:shd w:val="clear" w:color="auto" w:fill="FFFFFF"/>
        <w:spacing w:before="240" w:after="0" w:line="240" w:lineRule="auto"/>
        <w:jc w:val="center"/>
        <w:outlineLvl w:val="0"/>
        <w:rPr>
          <w:rFonts w:ascii="Source Sans Pro" w:hAnsi="Source Sans Pro"/>
          <w:b/>
          <w:bCs/>
          <w:color w:val="C00000"/>
          <w:lang w:val="es-ES_tradnl"/>
        </w:rPr>
      </w:pPr>
      <w:r w:rsidRPr="00D53CB2">
        <w:rPr>
          <w:rFonts w:ascii="Source Sans Pro" w:hAnsi="Source Sans Pro"/>
          <w:b/>
          <w:bCs/>
          <w:color w:val="C00000"/>
          <w:lang w:val="es-ES_tradnl"/>
        </w:rPr>
        <w:t>Por favor, e</w:t>
      </w:r>
      <w:r w:rsidR="00AC1A72" w:rsidRPr="00D53CB2">
        <w:rPr>
          <w:rFonts w:ascii="Source Sans Pro" w:hAnsi="Source Sans Pro"/>
          <w:b/>
          <w:bCs/>
          <w:color w:val="C00000"/>
          <w:lang w:val="es-ES_tradnl"/>
        </w:rPr>
        <w:t>nvíe e</w:t>
      </w:r>
      <w:r w:rsidRPr="00D53CB2">
        <w:rPr>
          <w:rFonts w:ascii="Source Sans Pro" w:hAnsi="Source Sans Pro"/>
          <w:b/>
          <w:bCs/>
          <w:color w:val="C00000"/>
          <w:lang w:val="es-ES_tradnl"/>
        </w:rPr>
        <w:t xml:space="preserve">l </w:t>
      </w:r>
      <w:r w:rsidR="00AC1A72" w:rsidRPr="00D53CB2">
        <w:rPr>
          <w:rFonts w:ascii="Source Sans Pro" w:hAnsi="Source Sans Pro"/>
          <w:b/>
          <w:bCs/>
          <w:color w:val="C00000"/>
          <w:lang w:val="es-ES_tradnl"/>
        </w:rPr>
        <w:t>formulario c</w:t>
      </w:r>
      <w:r w:rsidRPr="00D53CB2">
        <w:rPr>
          <w:rFonts w:ascii="Source Sans Pro" w:hAnsi="Source Sans Pro"/>
          <w:b/>
          <w:bCs/>
          <w:color w:val="C00000"/>
          <w:lang w:val="es-ES_tradnl"/>
        </w:rPr>
        <w:t>o</w:t>
      </w:r>
      <w:r w:rsidR="00AC1A72" w:rsidRPr="00D53CB2">
        <w:rPr>
          <w:rFonts w:ascii="Source Sans Pro" w:hAnsi="Source Sans Pro"/>
          <w:b/>
          <w:bCs/>
          <w:color w:val="C00000"/>
          <w:lang w:val="es-ES_tradnl"/>
        </w:rPr>
        <w:t>mpl</w:t>
      </w:r>
      <w:r w:rsidRPr="00D53CB2">
        <w:rPr>
          <w:rFonts w:ascii="Source Sans Pro" w:hAnsi="Source Sans Pro"/>
          <w:b/>
          <w:bCs/>
          <w:color w:val="C00000"/>
          <w:lang w:val="es-ES_tradnl"/>
        </w:rPr>
        <w:t xml:space="preserve">etado </w:t>
      </w:r>
      <w:r w:rsidR="00AC1A72" w:rsidRPr="00D53CB2">
        <w:rPr>
          <w:rFonts w:ascii="Source Sans Pro" w:hAnsi="Source Sans Pro"/>
          <w:b/>
          <w:bCs/>
          <w:color w:val="C00000"/>
          <w:lang w:val="es-ES_tradnl"/>
        </w:rPr>
        <w:t xml:space="preserve">a </w:t>
      </w:r>
      <w:hyperlink r:id="rId5" w:history="1">
        <w:r w:rsidRPr="00D53CB2">
          <w:rPr>
            <w:rStyle w:val="Hipervnculo"/>
            <w:rFonts w:ascii="Source Sans Pro" w:hAnsi="Source Sans Pro"/>
            <w:b/>
            <w:bCs/>
            <w:lang w:val="es-ES_tradnl"/>
          </w:rPr>
          <w:t>OnTheRoadTo2025@who.int</w:t>
        </w:r>
      </w:hyperlink>
      <w:r w:rsidR="00AC1A72" w:rsidRPr="00D53CB2">
        <w:rPr>
          <w:rFonts w:ascii="Source Sans Pro" w:hAnsi="Source Sans Pro"/>
          <w:b/>
          <w:bCs/>
          <w:color w:val="C00000"/>
          <w:lang w:val="es-ES_tradnl"/>
        </w:rPr>
        <w:t xml:space="preserve"> entre el 1 y el 26 de mayo del 2024.</w:t>
      </w:r>
    </w:p>
    <w:p w14:paraId="0E6A13C1" w14:textId="77777777" w:rsidR="00DB799F" w:rsidRPr="00D53CB2" w:rsidRDefault="00DB799F" w:rsidP="0022094F">
      <w:pPr>
        <w:shd w:val="clear" w:color="auto" w:fill="FFFFFF"/>
        <w:spacing w:before="240" w:after="0" w:line="240" w:lineRule="auto"/>
        <w:jc w:val="center"/>
        <w:outlineLvl w:val="0"/>
        <w:rPr>
          <w:rFonts w:ascii="Source Sans Pro" w:hAnsi="Source Sans Pro"/>
          <w:b/>
          <w:bCs/>
          <w:color w:val="C00000"/>
          <w:lang w:val="es-ES_tradnl"/>
        </w:rPr>
      </w:pPr>
    </w:p>
    <w:sectPr w:rsidR="00DB799F" w:rsidRPr="00D53CB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B3"/>
    <w:rsid w:val="00002722"/>
    <w:rsid w:val="000E74D4"/>
    <w:rsid w:val="00133F33"/>
    <w:rsid w:val="0022094F"/>
    <w:rsid w:val="00272BC1"/>
    <w:rsid w:val="003C64B3"/>
    <w:rsid w:val="0045264E"/>
    <w:rsid w:val="004856D0"/>
    <w:rsid w:val="00571450"/>
    <w:rsid w:val="00706D71"/>
    <w:rsid w:val="00881DE8"/>
    <w:rsid w:val="0092443F"/>
    <w:rsid w:val="009577F2"/>
    <w:rsid w:val="00A402AC"/>
    <w:rsid w:val="00A86D56"/>
    <w:rsid w:val="00AB0896"/>
    <w:rsid w:val="00AC1A72"/>
    <w:rsid w:val="00B03FCF"/>
    <w:rsid w:val="00B671F7"/>
    <w:rsid w:val="00C00684"/>
    <w:rsid w:val="00C9182C"/>
    <w:rsid w:val="00CC1709"/>
    <w:rsid w:val="00D53CB2"/>
    <w:rsid w:val="00DB799F"/>
    <w:rsid w:val="00DF13F8"/>
    <w:rsid w:val="00E23241"/>
    <w:rsid w:val="00F379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98C6B"/>
  <w15:chartTrackingRefBased/>
  <w15:docId w15:val="{62A67373-5554-43EC-BCAD-7775FC10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Pr>
      <w:b/>
      <w:bCs/>
    </w:rPr>
  </w:style>
  <w:style w:type="character" w:styleId="Hipervnculo">
    <w:name w:val="Hyperlink"/>
    <w:basedOn w:val="Fuentedeprrafopredeter"/>
    <w:uiPriority w:val="99"/>
    <w:unhideWhenUsed/>
    <w:rPr>
      <w:color w:val="0000FF"/>
      <w:u w:val="single"/>
    </w:rPr>
  </w:style>
  <w:style w:type="character" w:customStyle="1" w:styleId="normaltextrun">
    <w:name w:val="normaltextrun"/>
    <w:basedOn w:val="Fuentedeprrafopredeter"/>
  </w:style>
  <w:style w:type="character" w:styleId="Hipervnculovisitado">
    <w:name w:val="FollowedHyperlink"/>
    <w:basedOn w:val="Fuentedeprrafopredeter"/>
    <w:uiPriority w:val="99"/>
    <w:semiHidden/>
    <w:unhideWhenUsed/>
    <w:rPr>
      <w:color w:val="954F72" w:themeColor="followedHyperlink"/>
      <w:u w:val="single"/>
    </w:rPr>
  </w:style>
  <w:style w:type="character" w:styleId="Refdenotaalpie">
    <w:name w:val="footnote reference"/>
    <w:uiPriority w:val="99"/>
    <w:semiHidden/>
    <w:unhideWhenUsed/>
    <w:rsid w:val="00771AA4"/>
    <w:rPr>
      <w:vertAlign w:val="superscript"/>
    </w:rPr>
  </w:style>
  <w:style w:type="character" w:styleId="Mencinsinresolver">
    <w:name w:val="Unresolved Mention"/>
    <w:basedOn w:val="Fuentedeprrafopredeter"/>
    <w:uiPriority w:val="99"/>
    <w:semiHidden/>
    <w:unhideWhenUsed/>
    <w:rsid w:val="00E23241"/>
    <w:rPr>
      <w:color w:val="605E5C"/>
      <w:shd w:val="clear" w:color="auto" w:fill="E1DFDD"/>
    </w:rPr>
  </w:style>
  <w:style w:type="character" w:styleId="Refdecomentario">
    <w:name w:val="annotation reference"/>
    <w:basedOn w:val="Fuentedeprrafopredeter"/>
    <w:uiPriority w:val="99"/>
    <w:semiHidden/>
    <w:unhideWhenUsed/>
    <w:rsid w:val="00AC1A72"/>
    <w:rPr>
      <w:sz w:val="16"/>
      <w:szCs w:val="16"/>
    </w:rPr>
  </w:style>
  <w:style w:type="paragraph" w:styleId="Textocomentario">
    <w:name w:val="annotation text"/>
    <w:basedOn w:val="Normal"/>
    <w:link w:val="TextocomentarioCar"/>
    <w:uiPriority w:val="99"/>
    <w:unhideWhenUsed/>
    <w:rsid w:val="00AC1A72"/>
    <w:pPr>
      <w:spacing w:line="240" w:lineRule="auto"/>
    </w:pPr>
    <w:rPr>
      <w:sz w:val="20"/>
      <w:szCs w:val="20"/>
    </w:rPr>
  </w:style>
  <w:style w:type="character" w:customStyle="1" w:styleId="TextocomentarioCar">
    <w:name w:val="Texto comentario Car"/>
    <w:basedOn w:val="Fuentedeprrafopredeter"/>
    <w:link w:val="Textocomentario"/>
    <w:uiPriority w:val="99"/>
    <w:rsid w:val="00AC1A72"/>
    <w:rPr>
      <w:sz w:val="20"/>
      <w:szCs w:val="20"/>
    </w:rPr>
  </w:style>
  <w:style w:type="paragraph" w:styleId="Asuntodelcomentario">
    <w:name w:val="annotation subject"/>
    <w:basedOn w:val="Textocomentario"/>
    <w:next w:val="Textocomentario"/>
    <w:link w:val="AsuntodelcomentarioCar"/>
    <w:uiPriority w:val="99"/>
    <w:semiHidden/>
    <w:unhideWhenUsed/>
    <w:rsid w:val="00AC1A72"/>
    <w:rPr>
      <w:b/>
      <w:bCs/>
    </w:rPr>
  </w:style>
  <w:style w:type="character" w:customStyle="1" w:styleId="AsuntodelcomentarioCar">
    <w:name w:val="Asunto del comentario Car"/>
    <w:basedOn w:val="TextocomentarioCar"/>
    <w:link w:val="Asuntodelcomentario"/>
    <w:uiPriority w:val="99"/>
    <w:semiHidden/>
    <w:rsid w:val="00AC1A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nTheRoadTo2025@who.int" TargetMode="External"/><Relationship Id="rId4" Type="http://schemas.openxmlformats.org/officeDocument/2006/relationships/hyperlink" Target="https://apps.who.int/gb/ebwha/pdf_files/WHA66-REC1/A66_REC1-s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591</Words>
  <Characters>3372</Characters>
  <Application>Microsoft Office Word</Application>
  <DocSecurity>0</DocSecurity>
  <Lines>28</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SPACKMAN, Susan</dc:creator>
  <cp:keywords/>
  <dc:description/>
  <cp:lastModifiedBy>Cayon, Ms. Arantxa (WDC)</cp:lastModifiedBy>
  <cp:revision>2</cp:revision>
  <dcterms:created xsi:type="dcterms:W3CDTF">2024-06-10T15:16:00Z</dcterms:created>
  <dcterms:modified xsi:type="dcterms:W3CDTF">2024-06-10T15:16:00Z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Miguel.Sevener.Canals</vt:lpwstr>
  </property>
  <property fmtid="{D5CDD505-2E9C-101B-9397-08002B2CF9AE}" pid="4" name="GeneratedDate">
    <vt:lpwstr>06/06/2024 10:48:24</vt:lpwstr>
  </property>
  <property fmtid="{D5CDD505-2E9C-101B-9397-08002B2CF9AE}" pid="5" name="OriginalDocID">
    <vt:lpwstr>b0afaabd-fa73-43cc-b2ea-40ca3c3ebd03</vt:lpwstr>
  </property>
</Properties>
</file>