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6E39" w14:textId="77777777" w:rsidR="007403B9" w:rsidRPr="007403B9" w:rsidRDefault="007403B9" w:rsidP="007403B9">
      <w:pPr>
        <w:pStyle w:val="NormalWeb"/>
        <w:shd w:val="clear" w:color="auto" w:fill="D9D9D9" w:themeFill="background1" w:themeFillShade="D9"/>
        <w:contextualSpacing/>
        <w:jc w:val="center"/>
        <w:rPr>
          <w:rFonts w:ascii="Times" w:hAnsi="Times" w:cs="Times"/>
          <w:b/>
          <w:bCs/>
          <w:sz w:val="36"/>
          <w:szCs w:val="36"/>
          <w:lang w:val="pt-BR"/>
        </w:rPr>
      </w:pPr>
      <w:r w:rsidRPr="007403B9">
        <w:rPr>
          <w:rFonts w:ascii="Times" w:hAnsi="Times" w:cs="Times"/>
          <w:b/>
          <w:bCs/>
          <w:sz w:val="36"/>
          <w:szCs w:val="36"/>
          <w:lang w:val="pt-BR"/>
        </w:rPr>
        <w:t>Indicadores para o fortalecimento dos sistemas nacionais de ética em pesquisa</w:t>
      </w:r>
    </w:p>
    <w:p w14:paraId="1183C33B" w14:textId="7A6DBE9F" w:rsidR="004C5B92" w:rsidRPr="007403B9" w:rsidRDefault="007403B9" w:rsidP="004C5B92">
      <w:pPr>
        <w:pStyle w:val="NormalWeb"/>
        <w:contextualSpacing/>
        <w:jc w:val="center"/>
        <w:rPr>
          <w:rFonts w:ascii="Times" w:hAnsi="Times"/>
          <w:sz w:val="28"/>
          <w:szCs w:val="28"/>
          <w:lang w:val="pt-BR"/>
        </w:rPr>
      </w:pPr>
      <w:r w:rsidRPr="007403B9">
        <w:rPr>
          <w:rFonts w:ascii="Times" w:hAnsi="Times" w:cs="Times"/>
          <w:sz w:val="28"/>
          <w:szCs w:val="28"/>
          <w:lang w:val="pt-BR"/>
        </w:rPr>
        <w:t>Programa Regional de Bioética</w:t>
      </w:r>
    </w:p>
    <w:p w14:paraId="27578B6C" w14:textId="56D3809F" w:rsidR="004C5B92" w:rsidRPr="007403B9" w:rsidRDefault="007403B9" w:rsidP="004C5B92">
      <w:pPr>
        <w:pStyle w:val="NormalWeb"/>
        <w:contextualSpacing/>
        <w:jc w:val="center"/>
        <w:rPr>
          <w:rFonts w:ascii="Times" w:hAnsi="Times"/>
          <w:b/>
          <w:bCs/>
          <w:sz w:val="28"/>
          <w:szCs w:val="28"/>
          <w:lang w:val="pt-BR"/>
        </w:rPr>
      </w:pPr>
      <w:r w:rsidRPr="007403B9">
        <w:rPr>
          <w:rFonts w:ascii="Times" w:hAnsi="Times" w:cs="Times"/>
          <w:sz w:val="28"/>
          <w:szCs w:val="28"/>
          <w:lang w:val="pt-BR"/>
        </w:rPr>
        <w:t>Organização Pan-Americana da Saúde (OPAS)</w:t>
      </w:r>
    </w:p>
    <w:p w14:paraId="648C891F" w14:textId="3DA4E0B2" w:rsidR="004C5B92" w:rsidRPr="007403B9" w:rsidRDefault="007403B9" w:rsidP="002E06C3">
      <w:pPr>
        <w:pStyle w:val="NormalWeb"/>
        <w:shd w:val="clear" w:color="auto" w:fill="D9D9D9" w:themeFill="background1" w:themeFillShade="D9"/>
        <w:contextualSpacing/>
        <w:jc w:val="center"/>
        <w:rPr>
          <w:rFonts w:ascii="Times" w:hAnsi="Times"/>
          <w:b/>
          <w:bCs/>
          <w:sz w:val="36"/>
          <w:szCs w:val="36"/>
          <w:lang w:val="es-ES"/>
        </w:rPr>
      </w:pPr>
      <w:r w:rsidRPr="007403B9">
        <w:rPr>
          <w:rFonts w:ascii="Times" w:hAnsi="Times" w:cs="Times"/>
          <w:b/>
          <w:bCs/>
          <w:sz w:val="36"/>
          <w:szCs w:val="36"/>
          <w:lang w:val="pt-BR"/>
        </w:rPr>
        <w:t xml:space="preserve">Ficha de avaliação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3033"/>
        <w:gridCol w:w="9296"/>
      </w:tblGrid>
      <w:tr w:rsidR="007403B9" w14:paraId="0AF92670" w14:textId="77777777" w:rsidTr="000C3467">
        <w:tc>
          <w:tcPr>
            <w:tcW w:w="14390" w:type="dxa"/>
            <w:gridSpan w:val="3"/>
          </w:tcPr>
          <w:p w14:paraId="5636AF8A" w14:textId="77777777" w:rsidR="007403B9" w:rsidRPr="007403B9" w:rsidRDefault="007403B9" w:rsidP="007403B9">
            <w:pPr>
              <w:keepNext/>
              <w:rPr>
                <w:rFonts w:ascii="Times" w:hAnsi="Times" w:cs="Times"/>
                <w:b/>
                <w:sz w:val="28"/>
                <w:szCs w:val="28"/>
                <w:lang w:val="pt-BR"/>
              </w:rPr>
            </w:pPr>
            <w:r w:rsidRPr="007403B9">
              <w:rPr>
                <w:rFonts w:ascii="Times" w:hAnsi="Times" w:cs="Times"/>
                <w:b/>
                <w:sz w:val="28"/>
                <w:szCs w:val="28"/>
                <w:lang w:val="pt-BR"/>
              </w:rPr>
              <w:t>País:</w:t>
            </w:r>
          </w:p>
        </w:tc>
      </w:tr>
      <w:tr w:rsidR="007403B9" w:rsidRPr="007403B9" w14:paraId="4130D8A6" w14:textId="77777777" w:rsidTr="000C3467">
        <w:tc>
          <w:tcPr>
            <w:tcW w:w="14390" w:type="dxa"/>
            <w:gridSpan w:val="3"/>
            <w:shd w:val="clear" w:color="auto" w:fill="D9D9D9" w:themeFill="background1" w:themeFillShade="D9"/>
          </w:tcPr>
          <w:p w14:paraId="13446058" w14:textId="77777777" w:rsidR="007403B9" w:rsidRPr="007403B9" w:rsidRDefault="007403B9" w:rsidP="000C3467">
            <w:pPr>
              <w:keepNext/>
              <w:rPr>
                <w:rFonts w:ascii="Times" w:hAnsi="Times" w:cs="Times"/>
                <w:b/>
                <w:sz w:val="28"/>
                <w:szCs w:val="28"/>
                <w:lang w:val="pt-BR"/>
              </w:rPr>
            </w:pPr>
            <w:r w:rsidRPr="007403B9">
              <w:rPr>
                <w:rFonts w:ascii="Times" w:hAnsi="Times" w:cs="Times"/>
                <w:b/>
                <w:sz w:val="28"/>
                <w:szCs w:val="28"/>
                <w:lang w:val="pt-BR"/>
              </w:rPr>
              <w:t xml:space="preserve">Fortalecer os sistemas de ética em pesquisa </w:t>
            </w:r>
          </w:p>
        </w:tc>
      </w:tr>
      <w:tr w:rsidR="00F56632" w:rsidRPr="007403B9" w14:paraId="22D4D245" w14:textId="77777777" w:rsidTr="000C3467">
        <w:trPr>
          <w:trHeight w:val="944"/>
        </w:trPr>
        <w:tc>
          <w:tcPr>
            <w:tcW w:w="2061" w:type="dxa"/>
          </w:tcPr>
          <w:p w14:paraId="09F4397E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 xml:space="preserve">Normas éticas para pesquisa envolvendo seres humanos </w:t>
            </w:r>
          </w:p>
        </w:tc>
        <w:tc>
          <w:tcPr>
            <w:tcW w:w="3033" w:type="dxa"/>
          </w:tcPr>
          <w:p w14:paraId="794E3A70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Existência de instrumentos jurídicos vinculantes de acordo com as diretrizes internacionais para pesquisa relacionada à saúde envolvendo seres humanos</w:t>
            </w:r>
          </w:p>
        </w:tc>
        <w:tc>
          <w:tcPr>
            <w:tcW w:w="9296" w:type="dxa"/>
          </w:tcPr>
          <w:p w14:paraId="4924C636" w14:textId="23B1BBE0" w:rsidR="007403B9" w:rsidRDefault="007403B9" w:rsidP="000C3467">
            <w:pPr>
              <w:rPr>
                <w:rFonts w:ascii="Times" w:hAnsi="Times" w:cs="Times"/>
                <w:sz w:val="21"/>
                <w:szCs w:val="21"/>
                <w:lang w:val="pt-BR"/>
              </w:rPr>
            </w:pPr>
          </w:p>
        </w:tc>
      </w:tr>
      <w:tr w:rsidR="00F56632" w:rsidRPr="007403B9" w14:paraId="4892BF46" w14:textId="77777777" w:rsidTr="000C3467">
        <w:trPr>
          <w:trHeight w:val="1124"/>
        </w:trPr>
        <w:tc>
          <w:tcPr>
            <w:tcW w:w="2061" w:type="dxa"/>
          </w:tcPr>
          <w:p w14:paraId="599373F0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Mecanismos efetivos para a supervisão ética das pesquisas</w:t>
            </w:r>
          </w:p>
        </w:tc>
        <w:tc>
          <w:tcPr>
            <w:tcW w:w="3033" w:type="dxa"/>
          </w:tcPr>
          <w:p w14:paraId="08D393FC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Existência de um órgão nacional responsável pela supervisão dos comitês de ética</w:t>
            </w:r>
          </w:p>
        </w:tc>
        <w:tc>
          <w:tcPr>
            <w:tcW w:w="9296" w:type="dxa"/>
          </w:tcPr>
          <w:p w14:paraId="37E0DD33" w14:textId="77777777" w:rsidR="007403B9" w:rsidRDefault="007403B9" w:rsidP="000C3467">
            <w:pPr>
              <w:rPr>
                <w:rFonts w:ascii="Times" w:hAnsi="Times" w:cs="Times"/>
                <w:sz w:val="21"/>
                <w:szCs w:val="21"/>
                <w:lang w:val="pt-BR"/>
              </w:rPr>
            </w:pPr>
          </w:p>
        </w:tc>
      </w:tr>
      <w:tr w:rsidR="00F56632" w:rsidRPr="007403B9" w14:paraId="0D450898" w14:textId="77777777" w:rsidTr="000C3467">
        <w:trPr>
          <w:trHeight w:val="1250"/>
        </w:trPr>
        <w:tc>
          <w:tcPr>
            <w:tcW w:w="2061" w:type="dxa"/>
          </w:tcPr>
          <w:p w14:paraId="40C0C0CA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Capacidade ética de pesquisadores e comitês de ética</w:t>
            </w:r>
          </w:p>
        </w:tc>
        <w:tc>
          <w:tcPr>
            <w:tcW w:w="3033" w:type="dxa"/>
          </w:tcPr>
          <w:p w14:paraId="3DB0CF7D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Existência de políticas de fomento à formação ética de pesquisadores e comitês de ética</w:t>
            </w:r>
          </w:p>
        </w:tc>
        <w:tc>
          <w:tcPr>
            <w:tcW w:w="9296" w:type="dxa"/>
          </w:tcPr>
          <w:p w14:paraId="4314BA8A" w14:textId="77777777" w:rsidR="007403B9" w:rsidRDefault="007403B9" w:rsidP="000C3467">
            <w:pPr>
              <w:rPr>
                <w:rFonts w:ascii="Times" w:hAnsi="Times" w:cs="Times"/>
                <w:sz w:val="21"/>
                <w:szCs w:val="21"/>
                <w:lang w:val="pt-BR"/>
              </w:rPr>
            </w:pPr>
          </w:p>
        </w:tc>
      </w:tr>
      <w:tr w:rsidR="00F56632" w:rsidRPr="007403B9" w14:paraId="28F93A3B" w14:textId="77777777" w:rsidTr="000C3467">
        <w:trPr>
          <w:trHeight w:val="620"/>
        </w:trPr>
        <w:tc>
          <w:tcPr>
            <w:tcW w:w="2061" w:type="dxa"/>
            <w:vMerge w:val="restart"/>
          </w:tcPr>
          <w:p w14:paraId="2C675522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Transparência e integridade em pesquisa</w:t>
            </w:r>
          </w:p>
          <w:p w14:paraId="1339CFBF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</w:p>
        </w:tc>
        <w:tc>
          <w:tcPr>
            <w:tcW w:w="3033" w:type="dxa"/>
          </w:tcPr>
          <w:p w14:paraId="2BE3966C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Existência da exigência de registro prospectivo de ensaios clínicos de acordo com as normas da Organização Mundial da Saúde</w:t>
            </w:r>
          </w:p>
        </w:tc>
        <w:tc>
          <w:tcPr>
            <w:tcW w:w="9296" w:type="dxa"/>
          </w:tcPr>
          <w:p w14:paraId="550E8460" w14:textId="77777777" w:rsidR="007403B9" w:rsidRDefault="007403B9" w:rsidP="000C3467">
            <w:pPr>
              <w:rPr>
                <w:rFonts w:ascii="Times" w:hAnsi="Times" w:cs="Times"/>
                <w:sz w:val="21"/>
                <w:szCs w:val="21"/>
                <w:lang w:val="pt-BR"/>
              </w:rPr>
            </w:pPr>
          </w:p>
        </w:tc>
      </w:tr>
      <w:tr w:rsidR="00F56632" w:rsidRPr="007403B9" w14:paraId="3A898CF7" w14:textId="77777777" w:rsidTr="000C3467">
        <w:trPr>
          <w:trHeight w:val="440"/>
        </w:trPr>
        <w:tc>
          <w:tcPr>
            <w:tcW w:w="2061" w:type="dxa"/>
            <w:vMerge/>
          </w:tcPr>
          <w:p w14:paraId="7C3BBDB9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</w:p>
        </w:tc>
        <w:tc>
          <w:tcPr>
            <w:tcW w:w="3033" w:type="dxa"/>
          </w:tcPr>
          <w:p w14:paraId="1AEA6FAD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Existência de políticas para a condução responsável de pesquisas</w:t>
            </w:r>
          </w:p>
        </w:tc>
        <w:tc>
          <w:tcPr>
            <w:tcW w:w="9296" w:type="dxa"/>
          </w:tcPr>
          <w:p w14:paraId="2ECAF0ED" w14:textId="38845ABB" w:rsidR="007403B9" w:rsidRDefault="007403B9" w:rsidP="000C3467">
            <w:pPr>
              <w:rPr>
                <w:rFonts w:ascii="Times" w:hAnsi="Times" w:cs="Times"/>
                <w:sz w:val="21"/>
                <w:szCs w:val="21"/>
                <w:lang w:val="pt-BR"/>
              </w:rPr>
            </w:pPr>
          </w:p>
        </w:tc>
      </w:tr>
      <w:tr w:rsidR="007403B9" w:rsidRPr="007403B9" w14:paraId="561BCDBB" w14:textId="77777777" w:rsidTr="000C3467">
        <w:tc>
          <w:tcPr>
            <w:tcW w:w="14390" w:type="dxa"/>
            <w:gridSpan w:val="3"/>
            <w:shd w:val="clear" w:color="auto" w:fill="D9D9D9" w:themeFill="background1" w:themeFillShade="D9"/>
          </w:tcPr>
          <w:p w14:paraId="49F1A38A" w14:textId="77777777" w:rsidR="007403B9" w:rsidRPr="007403B9" w:rsidRDefault="007403B9" w:rsidP="000C3467">
            <w:pPr>
              <w:rPr>
                <w:rFonts w:ascii="Times" w:hAnsi="Times" w:cs="Times"/>
                <w:b/>
                <w:color w:val="000000" w:themeColor="text1"/>
                <w:sz w:val="28"/>
                <w:szCs w:val="28"/>
                <w:lang w:val="pt-BR"/>
              </w:rPr>
            </w:pPr>
            <w:r w:rsidRPr="007403B9">
              <w:rPr>
                <w:rFonts w:ascii="Times" w:hAnsi="Times" w:cs="Times"/>
                <w:b/>
                <w:color w:val="000000" w:themeColor="text1"/>
                <w:sz w:val="28"/>
                <w:szCs w:val="28"/>
                <w:lang w:val="pt-BR"/>
              </w:rPr>
              <w:t>Fortalecer a preparação ética para situações de emergência</w:t>
            </w:r>
          </w:p>
        </w:tc>
      </w:tr>
      <w:tr w:rsidR="00F56632" w:rsidRPr="007403B9" w14:paraId="643722AC" w14:textId="77777777" w:rsidTr="000C3467">
        <w:trPr>
          <w:trHeight w:val="953"/>
        </w:trPr>
        <w:tc>
          <w:tcPr>
            <w:tcW w:w="2061" w:type="dxa"/>
          </w:tcPr>
          <w:p w14:paraId="03B06EA8" w14:textId="77777777" w:rsidR="007403B9" w:rsidRPr="007403B9" w:rsidRDefault="007403B9" w:rsidP="000C3467">
            <w:pPr>
              <w:pStyle w:val="ListParagraph"/>
              <w:spacing w:after="0" w:line="240" w:lineRule="auto"/>
              <w:ind w:left="0"/>
              <w:rPr>
                <w:rFonts w:ascii="Times" w:hAnsi="Times" w:cs="Times"/>
                <w:color w:val="000000" w:themeColor="text1"/>
                <w:sz w:val="24"/>
                <w:szCs w:val="24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sz w:val="24"/>
                <w:szCs w:val="24"/>
                <w:lang w:val="pt-BR"/>
              </w:rPr>
              <w:t>Capacidade de realizar pesquisas de forma ética em situações de emergência</w:t>
            </w:r>
          </w:p>
        </w:tc>
        <w:tc>
          <w:tcPr>
            <w:tcW w:w="3033" w:type="dxa"/>
          </w:tcPr>
          <w:p w14:paraId="2291CFD7" w14:textId="77777777" w:rsidR="007403B9" w:rsidRPr="007403B9" w:rsidRDefault="007403B9" w:rsidP="000C3467">
            <w:pPr>
              <w:rPr>
                <w:rFonts w:ascii="Times" w:hAnsi="Times" w:cs="Times"/>
                <w:color w:val="000000" w:themeColor="text1"/>
                <w:lang w:val="pt-BR"/>
              </w:rPr>
            </w:pPr>
            <w:r w:rsidRPr="007403B9">
              <w:rPr>
                <w:rFonts w:ascii="Times" w:hAnsi="Times" w:cs="Times"/>
                <w:color w:val="000000" w:themeColor="text1"/>
                <w:lang w:val="pt-BR"/>
              </w:rPr>
              <w:t>Existência de procedimentos implantados para a revisão ética acelerada de pesquisas em situações de emergência</w:t>
            </w:r>
          </w:p>
        </w:tc>
        <w:tc>
          <w:tcPr>
            <w:tcW w:w="9296" w:type="dxa"/>
          </w:tcPr>
          <w:p w14:paraId="4EDF3668" w14:textId="77777777" w:rsidR="007403B9" w:rsidRDefault="007403B9" w:rsidP="000C3467">
            <w:pPr>
              <w:rPr>
                <w:rFonts w:ascii="Times" w:hAnsi="Times" w:cs="Times"/>
                <w:sz w:val="21"/>
                <w:szCs w:val="21"/>
                <w:lang w:val="pt-BR"/>
              </w:rPr>
            </w:pPr>
          </w:p>
        </w:tc>
      </w:tr>
    </w:tbl>
    <w:p w14:paraId="4900294F" w14:textId="77777777" w:rsidR="004C5B92" w:rsidRPr="007403B9" w:rsidRDefault="004C5B92">
      <w:pPr>
        <w:rPr>
          <w:lang w:val="pt-BR"/>
        </w:rPr>
      </w:pPr>
    </w:p>
    <w:sectPr w:rsidR="004C5B92" w:rsidRPr="007403B9" w:rsidSect="007403B9">
      <w:pgSz w:w="15840" w:h="12240" w:orient="landscape" w:code="1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92"/>
    <w:rsid w:val="00031F1B"/>
    <w:rsid w:val="000C3467"/>
    <w:rsid w:val="00275E59"/>
    <w:rsid w:val="002E06C3"/>
    <w:rsid w:val="004851B0"/>
    <w:rsid w:val="004C5B92"/>
    <w:rsid w:val="00576949"/>
    <w:rsid w:val="00660308"/>
    <w:rsid w:val="006975AD"/>
    <w:rsid w:val="007403B9"/>
    <w:rsid w:val="00750201"/>
    <w:rsid w:val="00960B32"/>
    <w:rsid w:val="00E46817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CF7A"/>
  <w15:chartTrackingRefBased/>
  <w15:docId w15:val="{6A3DC8FD-551A-4BFA-B8C5-518D187E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9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B92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4C5B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5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1037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 Silvina (WDC)</dc:creator>
  <cp:keywords/>
  <dc:description/>
  <cp:lastModifiedBy>Mitchell, Cristina (WDC)</cp:lastModifiedBy>
  <cp:revision>2</cp:revision>
  <dcterms:created xsi:type="dcterms:W3CDTF">2026-04-09T17:21:00Z</dcterms:created>
  <dcterms:modified xsi:type="dcterms:W3CDTF">2026-04-09T17:21:00Z</dcterms:modified>
</cp:coreProperties>
</file>