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6A5CE" w14:textId="77777777" w:rsidR="004C5B92" w:rsidRPr="002E06C3" w:rsidRDefault="004C5B92" w:rsidP="002E06C3">
      <w:pPr>
        <w:pStyle w:val="NormalWeb"/>
        <w:shd w:val="clear" w:color="auto" w:fill="D9D9D9" w:themeFill="background1" w:themeFillShade="D9"/>
        <w:ind w:right="83"/>
        <w:contextualSpacing/>
        <w:jc w:val="center"/>
        <w:rPr>
          <w:rFonts w:ascii="Times" w:hAnsi="Times"/>
          <w:b/>
          <w:bCs/>
          <w:sz w:val="36"/>
          <w:szCs w:val="36"/>
          <w:lang w:val="es-ES"/>
        </w:rPr>
      </w:pPr>
      <w:r w:rsidRPr="002E06C3">
        <w:rPr>
          <w:rFonts w:ascii="Times" w:hAnsi="Times"/>
          <w:b/>
          <w:bCs/>
          <w:sz w:val="36"/>
          <w:szCs w:val="36"/>
          <w:lang w:val="es-ES"/>
        </w:rPr>
        <w:t>Indicadores para el fortalecimiento de los sistemas nacionales de ética de la investigación</w:t>
      </w:r>
    </w:p>
    <w:p w14:paraId="1183C33B" w14:textId="77777777" w:rsidR="004C5B92" w:rsidRPr="002E06C3" w:rsidRDefault="004C5B92" w:rsidP="004C5B92">
      <w:pPr>
        <w:pStyle w:val="NormalWeb"/>
        <w:contextualSpacing/>
        <w:jc w:val="center"/>
        <w:rPr>
          <w:rFonts w:ascii="Times" w:hAnsi="Times"/>
          <w:sz w:val="28"/>
          <w:szCs w:val="28"/>
          <w:lang w:val="es-ES"/>
        </w:rPr>
      </w:pPr>
      <w:r w:rsidRPr="002E06C3">
        <w:rPr>
          <w:rFonts w:ascii="Times" w:hAnsi="Times"/>
          <w:sz w:val="28"/>
          <w:szCs w:val="28"/>
          <w:lang w:val="es-ES"/>
        </w:rPr>
        <w:t>Programa Regional de Bioética</w:t>
      </w:r>
    </w:p>
    <w:p w14:paraId="06E5576C" w14:textId="77777777" w:rsidR="004C5B92" w:rsidRPr="002E06C3" w:rsidRDefault="004C5B92" w:rsidP="004C5B92">
      <w:pPr>
        <w:pStyle w:val="NormalWeb"/>
        <w:contextualSpacing/>
        <w:jc w:val="center"/>
        <w:rPr>
          <w:rFonts w:ascii="Times" w:hAnsi="Times"/>
          <w:sz w:val="28"/>
          <w:szCs w:val="28"/>
          <w:lang w:val="es-ES"/>
        </w:rPr>
      </w:pPr>
      <w:r w:rsidRPr="002E06C3">
        <w:rPr>
          <w:rFonts w:ascii="Times" w:hAnsi="Times"/>
          <w:sz w:val="28"/>
          <w:szCs w:val="28"/>
          <w:lang w:val="es-ES"/>
        </w:rPr>
        <w:t>Organización Panamericana de la Salud (OPS)</w:t>
      </w:r>
    </w:p>
    <w:p w14:paraId="27578B6C" w14:textId="77777777" w:rsidR="004C5B92" w:rsidRDefault="004C5B92" w:rsidP="004C5B92">
      <w:pPr>
        <w:pStyle w:val="NormalWeb"/>
        <w:contextualSpacing/>
        <w:jc w:val="center"/>
        <w:rPr>
          <w:rFonts w:ascii="Times" w:hAnsi="Times"/>
          <w:b/>
          <w:bCs/>
          <w:sz w:val="22"/>
          <w:szCs w:val="22"/>
          <w:lang w:val="es-ES"/>
        </w:rPr>
      </w:pPr>
    </w:p>
    <w:p w14:paraId="648C891F" w14:textId="77777777" w:rsidR="004C5B92" w:rsidRPr="002E06C3" w:rsidRDefault="004C5B92" w:rsidP="002E06C3">
      <w:pPr>
        <w:pStyle w:val="NormalWeb"/>
        <w:shd w:val="clear" w:color="auto" w:fill="D9D9D9" w:themeFill="background1" w:themeFillShade="D9"/>
        <w:contextualSpacing/>
        <w:jc w:val="center"/>
        <w:rPr>
          <w:rFonts w:ascii="Times" w:hAnsi="Times"/>
          <w:b/>
          <w:bCs/>
          <w:sz w:val="36"/>
          <w:szCs w:val="36"/>
          <w:lang w:val="es-ES"/>
        </w:rPr>
      </w:pPr>
      <w:r w:rsidRPr="002E06C3">
        <w:rPr>
          <w:rFonts w:ascii="Times" w:hAnsi="Times"/>
          <w:b/>
          <w:bCs/>
          <w:sz w:val="36"/>
          <w:szCs w:val="36"/>
          <w:lang w:val="es-ES"/>
        </w:rPr>
        <w:t>Ficha de Evaluación</w:t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070"/>
        <w:gridCol w:w="3456"/>
        <w:gridCol w:w="9355"/>
      </w:tblGrid>
      <w:tr w:rsidR="004C5B92" w:rsidRPr="00053EF9" w14:paraId="75A83542" w14:textId="77777777" w:rsidTr="002E06C3">
        <w:tc>
          <w:tcPr>
            <w:tcW w:w="14881" w:type="dxa"/>
            <w:gridSpan w:val="3"/>
          </w:tcPr>
          <w:p w14:paraId="061D3E11" w14:textId="77777777" w:rsidR="004C5B92" w:rsidRDefault="004C5B92" w:rsidP="004C5B92">
            <w:pPr>
              <w:rPr>
                <w:rFonts w:ascii="Times" w:hAnsi="Times"/>
                <w:b/>
                <w:sz w:val="28"/>
                <w:szCs w:val="28"/>
                <w:lang w:val="es-ES"/>
              </w:rPr>
            </w:pPr>
            <w:r w:rsidRPr="004C5B92">
              <w:rPr>
                <w:rFonts w:ascii="Times" w:hAnsi="Times"/>
                <w:b/>
                <w:sz w:val="28"/>
                <w:szCs w:val="28"/>
                <w:lang w:val="es-ES"/>
              </w:rPr>
              <w:t>País:</w:t>
            </w:r>
          </w:p>
          <w:p w14:paraId="7E7550C3" w14:textId="3132D4DF" w:rsidR="002E06C3" w:rsidRPr="004C5B92" w:rsidRDefault="002E06C3" w:rsidP="004C5B92">
            <w:pPr>
              <w:rPr>
                <w:rFonts w:ascii="Times" w:hAnsi="Times"/>
                <w:b/>
                <w:sz w:val="28"/>
                <w:szCs w:val="28"/>
                <w:lang w:val="es-ES"/>
              </w:rPr>
            </w:pPr>
          </w:p>
        </w:tc>
      </w:tr>
      <w:tr w:rsidR="004C5B92" w:rsidRPr="002E06C3" w14:paraId="727DB251" w14:textId="77777777" w:rsidTr="002E06C3">
        <w:tc>
          <w:tcPr>
            <w:tcW w:w="14881" w:type="dxa"/>
            <w:gridSpan w:val="3"/>
            <w:shd w:val="clear" w:color="auto" w:fill="D9D9D9" w:themeFill="background1" w:themeFillShade="D9"/>
          </w:tcPr>
          <w:p w14:paraId="51101EE2" w14:textId="77777777" w:rsidR="004C5B92" w:rsidRPr="002E06C3" w:rsidRDefault="004C5B92" w:rsidP="00F92C0A">
            <w:pPr>
              <w:jc w:val="both"/>
              <w:rPr>
                <w:rFonts w:ascii="Times" w:hAnsi="Times"/>
                <w:b/>
                <w:sz w:val="28"/>
                <w:szCs w:val="28"/>
                <w:lang w:val="es-PE"/>
              </w:rPr>
            </w:pPr>
            <w:r w:rsidRPr="002E06C3">
              <w:rPr>
                <w:rFonts w:ascii="Times" w:hAnsi="Times"/>
                <w:b/>
                <w:sz w:val="28"/>
                <w:szCs w:val="28"/>
                <w:lang w:val="es-ES"/>
              </w:rPr>
              <w:t xml:space="preserve">Fortalecimiento de los sistemas de ética de la investigación </w:t>
            </w:r>
          </w:p>
        </w:tc>
      </w:tr>
      <w:tr w:rsidR="004C5B92" w:rsidRPr="002E06C3" w14:paraId="597FDF99" w14:textId="77777777" w:rsidTr="002E06C3">
        <w:trPr>
          <w:trHeight w:val="944"/>
        </w:trPr>
        <w:tc>
          <w:tcPr>
            <w:tcW w:w="2070" w:type="dxa"/>
          </w:tcPr>
          <w:p w14:paraId="5B2ED50B" w14:textId="0BC92368" w:rsidR="004C5B92" w:rsidRPr="00053EF9" w:rsidRDefault="004C5B92" w:rsidP="00E46817">
            <w:pPr>
              <w:rPr>
                <w:rFonts w:ascii="Times" w:hAnsi="Times"/>
                <w:lang w:val="es-ES"/>
              </w:rPr>
            </w:pPr>
            <w:r w:rsidRPr="00053EF9">
              <w:rPr>
                <w:rFonts w:ascii="Times" w:hAnsi="Times"/>
                <w:lang w:val="es-ES"/>
              </w:rPr>
              <w:t>E</w:t>
            </w:r>
            <w:r w:rsidR="00960B32">
              <w:rPr>
                <w:rFonts w:ascii="Times" w:hAnsi="Times"/>
                <w:lang w:val="es-PE"/>
              </w:rPr>
              <w:t>s</w:t>
            </w:r>
            <w:r w:rsidR="00960B32" w:rsidRPr="00053EF9">
              <w:rPr>
                <w:rFonts w:ascii="Times" w:hAnsi="Times"/>
                <w:lang w:val="es-PE"/>
              </w:rPr>
              <w:t>tándares</w:t>
            </w:r>
            <w:r w:rsidRPr="00053EF9">
              <w:rPr>
                <w:rFonts w:ascii="Times" w:hAnsi="Times"/>
                <w:lang w:val="es-PE"/>
              </w:rPr>
              <w:t xml:space="preserve"> éticos para la investigación con seres humanos </w:t>
            </w:r>
          </w:p>
        </w:tc>
        <w:tc>
          <w:tcPr>
            <w:tcW w:w="3456" w:type="dxa"/>
          </w:tcPr>
          <w:p w14:paraId="2EAFFE82" w14:textId="77777777" w:rsidR="004C5B92" w:rsidRPr="00053EF9" w:rsidRDefault="004C5B92" w:rsidP="00E46817">
            <w:pPr>
              <w:rPr>
                <w:rFonts w:ascii="Times" w:hAnsi="Times"/>
                <w:lang w:val="es-ES"/>
              </w:rPr>
            </w:pPr>
            <w:r w:rsidRPr="00053EF9">
              <w:rPr>
                <w:rFonts w:ascii="Times" w:hAnsi="Times"/>
                <w:lang w:val="es-PE"/>
              </w:rPr>
              <w:t>Existencia de instrumentos legalmente vinculantes para la investigación en salud con seres humanos acordes con las pautas internacionales.</w:t>
            </w:r>
          </w:p>
        </w:tc>
        <w:tc>
          <w:tcPr>
            <w:tcW w:w="9355" w:type="dxa"/>
          </w:tcPr>
          <w:p w14:paraId="30C39034" w14:textId="449D3297" w:rsidR="004C5B92" w:rsidRPr="00053EF9" w:rsidRDefault="004C5B92" w:rsidP="002E06C3">
            <w:pPr>
              <w:tabs>
                <w:tab w:val="left" w:pos="9103"/>
              </w:tabs>
              <w:rPr>
                <w:rFonts w:ascii="Times" w:hAnsi="Times"/>
                <w:lang w:val="es-ES"/>
              </w:rPr>
            </w:pPr>
          </w:p>
        </w:tc>
      </w:tr>
      <w:tr w:rsidR="004C5B92" w:rsidRPr="002E06C3" w14:paraId="5CF51A4F" w14:textId="77777777" w:rsidTr="002E06C3">
        <w:trPr>
          <w:trHeight w:val="1124"/>
        </w:trPr>
        <w:tc>
          <w:tcPr>
            <w:tcW w:w="2070" w:type="dxa"/>
          </w:tcPr>
          <w:p w14:paraId="19B1E014" w14:textId="77777777" w:rsidR="004C5B92" w:rsidRPr="00053EF9" w:rsidRDefault="004C5B92" w:rsidP="00E46817">
            <w:pPr>
              <w:rPr>
                <w:rFonts w:ascii="Times" w:hAnsi="Times"/>
                <w:lang w:val="es-ES"/>
              </w:rPr>
            </w:pPr>
            <w:r w:rsidRPr="00053EF9">
              <w:rPr>
                <w:rFonts w:ascii="Times" w:hAnsi="Times"/>
                <w:lang w:val="es-PE"/>
              </w:rPr>
              <w:t>Mecanismos efectivos para la supervisión ética de la investigación</w:t>
            </w:r>
          </w:p>
        </w:tc>
        <w:tc>
          <w:tcPr>
            <w:tcW w:w="3456" w:type="dxa"/>
          </w:tcPr>
          <w:p w14:paraId="57EE1D88" w14:textId="77777777" w:rsidR="004C5B92" w:rsidRPr="00053EF9" w:rsidRDefault="004C5B92" w:rsidP="00E46817">
            <w:pPr>
              <w:rPr>
                <w:rFonts w:ascii="Times" w:hAnsi="Times"/>
                <w:lang w:val="es-PE"/>
              </w:rPr>
            </w:pPr>
            <w:r w:rsidRPr="00053EF9">
              <w:rPr>
                <w:rFonts w:ascii="Times" w:hAnsi="Times"/>
                <w:lang w:val="es-PE"/>
              </w:rPr>
              <w:t>Existencia de un ente nacional encargado de la supervisión de los comités de ética de la investigación.</w:t>
            </w:r>
          </w:p>
        </w:tc>
        <w:tc>
          <w:tcPr>
            <w:tcW w:w="9355" w:type="dxa"/>
          </w:tcPr>
          <w:p w14:paraId="64EFC212" w14:textId="77777777" w:rsidR="004C5B92" w:rsidRPr="00053EF9" w:rsidRDefault="004C5B92" w:rsidP="00F92C0A">
            <w:pPr>
              <w:rPr>
                <w:rFonts w:ascii="Times" w:hAnsi="Times"/>
                <w:lang w:val="es-ES"/>
              </w:rPr>
            </w:pPr>
          </w:p>
        </w:tc>
      </w:tr>
      <w:tr w:rsidR="004C5B92" w:rsidRPr="002E06C3" w14:paraId="11AF5332" w14:textId="77777777" w:rsidTr="002E06C3">
        <w:trPr>
          <w:trHeight w:val="1250"/>
        </w:trPr>
        <w:tc>
          <w:tcPr>
            <w:tcW w:w="2070" w:type="dxa"/>
          </w:tcPr>
          <w:p w14:paraId="41FF2682" w14:textId="77777777" w:rsidR="004C5B92" w:rsidRPr="00053EF9" w:rsidRDefault="004C5B92" w:rsidP="00E46817">
            <w:pPr>
              <w:rPr>
                <w:rFonts w:ascii="Times" w:hAnsi="Times"/>
                <w:lang w:val="es-ES"/>
              </w:rPr>
            </w:pPr>
            <w:r w:rsidRPr="00053EF9">
              <w:rPr>
                <w:rFonts w:ascii="Times" w:hAnsi="Times"/>
                <w:lang w:val="es-PE"/>
              </w:rPr>
              <w:t>Capacidad en ética en investigadores y comités de revisión ética</w:t>
            </w:r>
          </w:p>
        </w:tc>
        <w:tc>
          <w:tcPr>
            <w:tcW w:w="3456" w:type="dxa"/>
          </w:tcPr>
          <w:p w14:paraId="747532F3" w14:textId="77777777" w:rsidR="004C5B92" w:rsidRPr="00053EF9" w:rsidRDefault="004C5B92" w:rsidP="00E46817">
            <w:pPr>
              <w:rPr>
                <w:rFonts w:ascii="Times" w:hAnsi="Times"/>
                <w:lang w:val="es-PE"/>
              </w:rPr>
            </w:pPr>
            <w:r w:rsidRPr="00053EF9">
              <w:rPr>
                <w:rFonts w:ascii="Times" w:hAnsi="Times"/>
                <w:lang w:val="es-PE"/>
              </w:rPr>
              <w:t xml:space="preserve">Existencia de políticas que apoyan el entrenamiento en ética para investigadores y comités de revisión ética. </w:t>
            </w:r>
          </w:p>
        </w:tc>
        <w:tc>
          <w:tcPr>
            <w:tcW w:w="9355" w:type="dxa"/>
          </w:tcPr>
          <w:p w14:paraId="4F30796E" w14:textId="77777777" w:rsidR="004C5B92" w:rsidRPr="00660308" w:rsidRDefault="004C5B92" w:rsidP="00F92C0A">
            <w:pPr>
              <w:rPr>
                <w:rFonts w:ascii="Times" w:hAnsi="Times"/>
                <w:lang w:val="es-PE"/>
              </w:rPr>
            </w:pPr>
          </w:p>
        </w:tc>
      </w:tr>
      <w:tr w:rsidR="004C5B92" w:rsidRPr="002E06C3" w14:paraId="08A60651" w14:textId="77777777" w:rsidTr="002E06C3">
        <w:trPr>
          <w:trHeight w:val="620"/>
        </w:trPr>
        <w:tc>
          <w:tcPr>
            <w:tcW w:w="2070" w:type="dxa"/>
            <w:vMerge w:val="restart"/>
          </w:tcPr>
          <w:p w14:paraId="0E175DAA" w14:textId="77777777" w:rsidR="004C5B92" w:rsidRPr="00053EF9" w:rsidRDefault="004C5B92" w:rsidP="00E46817">
            <w:pPr>
              <w:rPr>
                <w:rFonts w:ascii="Times" w:hAnsi="Times"/>
                <w:lang w:val="es-ES"/>
              </w:rPr>
            </w:pPr>
            <w:r w:rsidRPr="00053EF9">
              <w:rPr>
                <w:rFonts w:ascii="Times" w:hAnsi="Times"/>
                <w:lang w:val="es-ES"/>
              </w:rPr>
              <w:t>Transparencia e integridad de la investigación</w:t>
            </w:r>
          </w:p>
          <w:p w14:paraId="3170F496" w14:textId="77777777" w:rsidR="004C5B92" w:rsidRPr="00053EF9" w:rsidRDefault="004C5B92" w:rsidP="00E46817">
            <w:pPr>
              <w:rPr>
                <w:rFonts w:ascii="Times" w:hAnsi="Times"/>
                <w:lang w:val="es-ES"/>
              </w:rPr>
            </w:pPr>
          </w:p>
        </w:tc>
        <w:tc>
          <w:tcPr>
            <w:tcW w:w="3456" w:type="dxa"/>
          </w:tcPr>
          <w:p w14:paraId="5563F050" w14:textId="77777777" w:rsidR="004C5B92" w:rsidRPr="00053EF9" w:rsidRDefault="004C5B92" w:rsidP="00E46817">
            <w:pPr>
              <w:rPr>
                <w:rFonts w:ascii="Times" w:hAnsi="Times"/>
                <w:lang w:val="es-ES"/>
              </w:rPr>
            </w:pPr>
            <w:r w:rsidRPr="00053EF9">
              <w:rPr>
                <w:rFonts w:ascii="Times" w:hAnsi="Times"/>
                <w:lang w:val="es-PE"/>
              </w:rPr>
              <w:t>Requisito del registro prospectivo de los ensayos clínicos según los estándares de OMS.</w:t>
            </w:r>
          </w:p>
        </w:tc>
        <w:tc>
          <w:tcPr>
            <w:tcW w:w="9355" w:type="dxa"/>
          </w:tcPr>
          <w:p w14:paraId="76071463" w14:textId="77777777" w:rsidR="004C5B92" w:rsidRPr="00053EF9" w:rsidRDefault="004C5B92" w:rsidP="00F92C0A">
            <w:pPr>
              <w:rPr>
                <w:rFonts w:ascii="Times" w:hAnsi="Times"/>
                <w:lang w:val="es-ES"/>
              </w:rPr>
            </w:pPr>
          </w:p>
        </w:tc>
      </w:tr>
      <w:tr w:rsidR="004C5B92" w:rsidRPr="002E06C3" w14:paraId="1170A881" w14:textId="77777777" w:rsidTr="002E06C3">
        <w:trPr>
          <w:trHeight w:val="440"/>
        </w:trPr>
        <w:tc>
          <w:tcPr>
            <w:tcW w:w="2070" w:type="dxa"/>
            <w:vMerge/>
          </w:tcPr>
          <w:p w14:paraId="644CF7B6" w14:textId="77777777" w:rsidR="004C5B92" w:rsidRPr="00053EF9" w:rsidRDefault="004C5B92" w:rsidP="00E46817">
            <w:pPr>
              <w:rPr>
                <w:rFonts w:ascii="Times" w:hAnsi="Times"/>
                <w:lang w:val="es-ES"/>
              </w:rPr>
            </w:pPr>
          </w:p>
        </w:tc>
        <w:tc>
          <w:tcPr>
            <w:tcW w:w="3456" w:type="dxa"/>
          </w:tcPr>
          <w:p w14:paraId="77C7FA59" w14:textId="77777777" w:rsidR="004C5B92" w:rsidRPr="00053EF9" w:rsidRDefault="004C5B92" w:rsidP="00E46817">
            <w:pPr>
              <w:rPr>
                <w:rFonts w:ascii="Times" w:hAnsi="Times"/>
                <w:lang w:val="es-ES"/>
              </w:rPr>
            </w:pPr>
            <w:r w:rsidRPr="00053EF9">
              <w:rPr>
                <w:rFonts w:ascii="Times" w:hAnsi="Times"/>
                <w:lang w:val="es-PE"/>
              </w:rPr>
              <w:t>Existencia de políticas sobre la conducta responsable de la investigación.</w:t>
            </w:r>
            <w:r w:rsidRPr="00053EF9">
              <w:rPr>
                <w:rFonts w:ascii="Times" w:hAnsi="Times"/>
                <w:lang w:val="es-ES"/>
              </w:rPr>
              <w:t xml:space="preserve"> </w:t>
            </w:r>
          </w:p>
        </w:tc>
        <w:tc>
          <w:tcPr>
            <w:tcW w:w="9355" w:type="dxa"/>
          </w:tcPr>
          <w:p w14:paraId="4DDC247D" w14:textId="77777777" w:rsidR="004C5B92" w:rsidRPr="00053EF9" w:rsidRDefault="004C5B92" w:rsidP="00F92C0A">
            <w:pPr>
              <w:rPr>
                <w:rFonts w:ascii="Times" w:hAnsi="Times"/>
                <w:lang w:val="es-ES"/>
              </w:rPr>
            </w:pPr>
          </w:p>
        </w:tc>
      </w:tr>
      <w:tr w:rsidR="004C5B92" w:rsidRPr="002E06C3" w14:paraId="6C3D8D37" w14:textId="77777777" w:rsidTr="002E06C3">
        <w:tc>
          <w:tcPr>
            <w:tcW w:w="14881" w:type="dxa"/>
            <w:gridSpan w:val="3"/>
            <w:shd w:val="clear" w:color="auto" w:fill="D9D9D9" w:themeFill="background1" w:themeFillShade="D9"/>
          </w:tcPr>
          <w:p w14:paraId="29FD0F37" w14:textId="77777777" w:rsidR="004C5B92" w:rsidRPr="002E06C3" w:rsidRDefault="004C5B92" w:rsidP="00E46817">
            <w:pPr>
              <w:rPr>
                <w:rFonts w:ascii="Times" w:hAnsi="Times"/>
                <w:b/>
                <w:sz w:val="28"/>
                <w:szCs w:val="28"/>
                <w:lang w:val="es-ES"/>
              </w:rPr>
            </w:pPr>
            <w:r w:rsidRPr="002E06C3">
              <w:rPr>
                <w:rFonts w:ascii="Times" w:hAnsi="Times"/>
                <w:b/>
                <w:sz w:val="28"/>
                <w:szCs w:val="28"/>
                <w:lang w:val="es-ES"/>
              </w:rPr>
              <w:t>Fortalecimiento de la preparación ética para las emergencias</w:t>
            </w:r>
          </w:p>
        </w:tc>
      </w:tr>
      <w:tr w:rsidR="004C5B92" w:rsidRPr="002E06C3" w14:paraId="6554E1BB" w14:textId="77777777" w:rsidTr="002E06C3">
        <w:trPr>
          <w:trHeight w:val="953"/>
        </w:trPr>
        <w:tc>
          <w:tcPr>
            <w:tcW w:w="2070" w:type="dxa"/>
          </w:tcPr>
          <w:p w14:paraId="105F67D3" w14:textId="77777777" w:rsidR="004C5B92" w:rsidRPr="00053EF9" w:rsidRDefault="004C5B92" w:rsidP="00E46817">
            <w:pPr>
              <w:pStyle w:val="ListParagraph"/>
              <w:spacing w:line="240" w:lineRule="auto"/>
              <w:ind w:left="0"/>
              <w:rPr>
                <w:rFonts w:ascii="Times" w:hAnsi="Times"/>
                <w:lang w:val="es-ES"/>
              </w:rPr>
            </w:pPr>
            <w:r w:rsidRPr="00053EF9">
              <w:rPr>
                <w:rFonts w:ascii="Times" w:hAnsi="Times"/>
                <w:lang w:val="es-ES"/>
              </w:rPr>
              <w:t>Capacidad de realizar investigación ética durante emergencias</w:t>
            </w:r>
          </w:p>
        </w:tc>
        <w:tc>
          <w:tcPr>
            <w:tcW w:w="3456" w:type="dxa"/>
          </w:tcPr>
          <w:p w14:paraId="371ED269" w14:textId="77777777" w:rsidR="004C5B92" w:rsidRPr="00053EF9" w:rsidRDefault="004C5B92" w:rsidP="00E46817">
            <w:pPr>
              <w:rPr>
                <w:rFonts w:ascii="Times" w:hAnsi="Times"/>
                <w:lang w:val="es-ES"/>
              </w:rPr>
            </w:pPr>
            <w:r w:rsidRPr="00053EF9">
              <w:rPr>
                <w:rFonts w:ascii="Times" w:hAnsi="Times"/>
                <w:lang w:val="es-PE"/>
              </w:rPr>
              <w:t>Procedimientos establecidos para la revisión ética acelerada de la investigación durante emergencias.</w:t>
            </w:r>
          </w:p>
        </w:tc>
        <w:tc>
          <w:tcPr>
            <w:tcW w:w="9355" w:type="dxa"/>
          </w:tcPr>
          <w:p w14:paraId="347AC7EF" w14:textId="77777777" w:rsidR="004C5B92" w:rsidRPr="00053EF9" w:rsidRDefault="004C5B92" w:rsidP="00F92C0A">
            <w:pPr>
              <w:jc w:val="both"/>
              <w:rPr>
                <w:rFonts w:ascii="Times" w:hAnsi="Times"/>
                <w:lang w:val="es-ES"/>
              </w:rPr>
            </w:pPr>
          </w:p>
        </w:tc>
      </w:tr>
    </w:tbl>
    <w:p w14:paraId="4900294F" w14:textId="77777777" w:rsidR="004C5B92" w:rsidRPr="004C5B92" w:rsidRDefault="004C5B92">
      <w:pPr>
        <w:rPr>
          <w:lang w:val="es-ES"/>
        </w:rPr>
      </w:pPr>
    </w:p>
    <w:sectPr w:rsidR="004C5B92" w:rsidRPr="004C5B92" w:rsidSect="002E06C3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92"/>
    <w:rsid w:val="00031F1B"/>
    <w:rsid w:val="002E06C3"/>
    <w:rsid w:val="004C5B92"/>
    <w:rsid w:val="00660308"/>
    <w:rsid w:val="00750201"/>
    <w:rsid w:val="00960B32"/>
    <w:rsid w:val="00961DD8"/>
    <w:rsid w:val="00E4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FCF7A"/>
  <w15:chartTrackingRefBased/>
  <w15:docId w15:val="{6A3DC8FD-551A-4BFA-B8C5-518D187E9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B92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5B92"/>
    <w:pPr>
      <w:spacing w:after="200" w:line="276" w:lineRule="auto"/>
      <w:ind w:left="720"/>
      <w:contextualSpacing/>
    </w:pPr>
    <w:rPr>
      <w:sz w:val="22"/>
      <w:szCs w:val="22"/>
    </w:rPr>
  </w:style>
  <w:style w:type="table" w:styleId="TableGrid">
    <w:name w:val="Table Grid"/>
    <w:basedOn w:val="TableNormal"/>
    <w:uiPriority w:val="59"/>
    <w:rsid w:val="004C5B9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C5B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Acosta,  Silvina (WDC)</dc:creator>
  <cp:keywords/>
  <dc:description/>
  <cp:lastModifiedBy>Cristina Mitchell</cp:lastModifiedBy>
  <cp:revision>2</cp:revision>
  <dcterms:created xsi:type="dcterms:W3CDTF">2022-09-08T21:02:00Z</dcterms:created>
  <dcterms:modified xsi:type="dcterms:W3CDTF">2022-09-08T21:02:00Z</dcterms:modified>
</cp:coreProperties>
</file>